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240</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240'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240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Terms defined in Annex A have the meaning given in that Annex.</w:t>
      </w:r>
    </w:p>
    <w:p>
      <w:pPr>
        <w:pStyle w:val="Heading1"/>
      </w:pPr>
      <w:r>
        <w:t>Contents</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compliance and human resources — and across all purposes, whether or not the model produces a regulatory number.</w:t>
      </w:r>
    </w:p>
    <w:p>
      <w:pPr>
        <w:pStyle w:val="CrossRef"/>
      </w:pPr>
      <w:r>
        <w:rPr>
          <w:i/>
        </w:rPr>
        <w:t>→ Guidance: CPG 240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240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240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and must document, time-bound, approve at an authority commensurate with the risk, and periodically review any exception to or reduction of the controls otherwise required.</w:t>
      </w:r>
    </w:p>
    <w:p>
      <w:pPr>
        <w:pStyle w:val="Guidance"/>
      </w:pPr>
      <w:r>
        <w:t>Proportionality changes the depth, frequency and formality of controls. It does not change whether a model must be identified, owned, classified or capable of being explained to the Board and to APRA.</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240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240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240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240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240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240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240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240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240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 complete, accurate and current enterprise-wide inventory of its models, including models supplied by third parties, models embedded in acquired systems, models under development and models that have been retired but whose outputs remain in use.</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240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240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240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240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240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240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240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240 paragraphs 69.</w:t>
      </w:r>
    </w:p>
    <w:p>
      <w:pPr>
        <w:pStyle w:val="Heading3"/>
      </w:pPr>
      <w:r>
        <w:t>M21 — Scope of validation</w:t>
      </w:r>
    </w:p>
    <w:p>
      <w:pPr>
        <w:pStyle w:val="Requirement"/>
      </w:pPr>
      <w:r>
        <w:rPr>
          <w:b/>
        </w:rPr>
        <w:t>M21. Validation of a model must address conceptual soundness, outcomes analysis comparing model outputs with corresponding actual outcomes, and ongoing model monitoring, and must reach an explicit conclusion on the model's fitness for its intended use together with any conditions or limitations.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240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240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240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240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240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240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240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240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240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240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or implement compensating controls where that information cannot be obtained.</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240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arising from common models, data sources, platforms and providers.</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240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potential for biased outcomes,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240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AI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240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240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240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must apply this Prudential Standard to models used to determine insurance liabilities, premiums, reinsurance recoveries and capital, and must ensure that the role of the Appointed Actuary and this Prudential Standard's validation requirements operate together without gaps in independent review.</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240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240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240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assessment,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240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240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240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of a model failure or model risk event that has, or is likely to have, a material impact on its financial position, its regulatory reporting or its ability to meet its prudential obligations, and must provide APRA with information relating to its models and model risk management on request.</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240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analysis by parties with the competence to identify deficiencies, the standing for their findings to carry weight, and incentives that reward raising issues.</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An APRA-regulated entity's model inventory must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a price or an employment outcome.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240)</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Firms set their own definition; Principle 1.1 requires one, and requires consideration of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5 model risk mitigants, and aggregate model risk reporting.</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240.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FSB-AI-2024</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The Financial Stability Implications of Artificial Intelligence</w:t>
            </w:r>
          </w:p>
        </w:tc>
        <w:tc>
          <w:tcPr>
            <w:tcW w:type="dxa" w:w="1304"/>
            <w:shd w:val="clear" w:color="auto" w:fill="F4F6FA"/>
          </w:tcPr>
          <w:p>
            <w:pPr>
              <w:pStyle w:val="TableText"/>
            </w:pPr>
            <w:r>
              <w:rPr>
                <w:rFonts w:ascii="Arial" w:hAnsi="Arial"/>
                <w:sz w:val="14"/>
              </w:rPr>
              <w:t>14 Nov 2024</w:t>
            </w:r>
          </w:p>
        </w:tc>
        <w:tc>
          <w:tcPr>
            <w:tcW w:type="dxa" w:w="1701"/>
            <w:shd w:val="clear" w:color="auto" w:fill="F4F6FA"/>
          </w:tcPr>
          <w:p>
            <w:pPr>
              <w:pStyle w:val="TableText"/>
            </w:pPr>
            <w:r>
              <w:rPr>
                <w:rFonts w:ascii="Arial" w:hAnsi="Arial"/>
                <w:sz w:val="14"/>
              </w:rPr>
              <w:t>Analytical report. Expressly not a standard.</w:t>
            </w:r>
          </w:p>
        </w:tc>
        <w:tc>
          <w:tcPr>
            <w:tcW w:type="dxa" w:w="1984"/>
            <w:shd w:val="clear" w:color="auto" w:fill="F4F6FA"/>
          </w:tcPr>
          <w:p>
            <w:pPr>
              <w:pStyle w:val="TableText"/>
            </w:pPr>
            <w:r>
              <w:rPr>
                <w:rFonts w:ascii="Arial" w:hAnsi="Arial"/>
                <w:sz w:val="14"/>
              </w:rPr>
              <w:t>https://www.fsb.org/2024/11/the-financial-stability-implications-of-artificial-intelligence/</w:t>
            </w:r>
          </w:p>
        </w:tc>
      </w:tr>
      <w:tr>
        <w:tc>
          <w:tcPr>
            <w:tcW w:type="dxa" w:w="1077"/>
          </w:tcPr>
          <w:p>
            <w:pPr>
              <w:pStyle w:val="TableText"/>
            </w:pPr>
            <w:r>
              <w:rPr>
                <w:rFonts w:ascii="Arial" w:hAnsi="Arial"/>
                <w:sz w:val="14"/>
              </w:rPr>
              <w:t>FSB-AI-2017</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Artificial intelligence and machine learning in financial services</w:t>
            </w:r>
          </w:p>
        </w:tc>
        <w:tc>
          <w:tcPr>
            <w:tcW w:type="dxa" w:w="1304"/>
          </w:tcPr>
          <w:p>
            <w:pPr>
              <w:pStyle w:val="TableText"/>
            </w:pPr>
            <w:r>
              <w:rPr>
                <w:rFonts w:ascii="Arial" w:hAnsi="Arial"/>
                <w:sz w:val="14"/>
              </w:rPr>
              <w:t>1 Nov 2017</w:t>
            </w:r>
          </w:p>
        </w:tc>
        <w:tc>
          <w:tcPr>
            <w:tcW w:type="dxa" w:w="1701"/>
          </w:tcPr>
          <w:p>
            <w:pPr>
              <w:pStyle w:val="TableText"/>
            </w:pPr>
            <w:r>
              <w:rPr>
                <w:rFonts w:ascii="Arial" w:hAnsi="Arial"/>
                <w:sz w:val="14"/>
              </w:rPr>
              <w:t>Analytical report. Not a standard.</w:t>
            </w:r>
          </w:p>
        </w:tc>
        <w:tc>
          <w:tcPr>
            <w:tcW w:type="dxa" w:w="1984"/>
          </w:tcPr>
          <w:p>
            <w:pPr>
              <w:pStyle w:val="TableText"/>
            </w:pPr>
            <w:r>
              <w:rPr>
                <w:rFonts w:ascii="Arial" w:hAnsi="Arial"/>
                <w:sz w:val="14"/>
              </w:rPr>
              <w:t>https://www.fsb.org/2017/11/artificial-intelligence-and-machine-learning-in-financial-service/</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https://www.apra.gov.au/standards/cps-220</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https://www.apra.gov.au/standards/sps-220</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Eff. 1 Jul 2025</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https://www.apra.gov.au/standards/cps-230</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Eff.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https://www.apra.gov.au/standards/cps-234</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https://www.apra.gov.au/system/files/Prudential-Practice-Guide-CPG-235-Managing-Data-Risk_1.pdf</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https://www.apra.gov.au/standards/aps-113</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https://www.apra.gov.au/standards/cps-320</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https://www.apra.gov.au/standards/sps-530</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240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