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53"/>
        <w:gridCol w:w="4953"/>
      </w:tblGrid>
      <w:tr>
        <w:tc>
          <w:tcPr>
            <w:tcW w:type="dxa" w:w="4953"/>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pPr>
            <w:r>
              <w:drawing>
                <wp:inline distT="0" distB="0" distL="0" distR="0">
                  <wp:extent cx="10287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28700" cy="257175"/>
                          </a:xfrm>
                          <a:prstGeom prst="rect">
                            <a:avLst/>
                          </a:prstGeom>
                        </pic:spPr>
                      </pic:pic>
                    </a:graphicData>
                  </a:graphic>
                </wp:inline>
              </w:drawing>
            </w:r>
          </w:p>
        </w:tc>
        <w:tc>
          <w:tcPr>
            <w:tcW w:type="dxa" w:w="4953"/>
            <w:tcBorders>
              <w:top w:val="none" w:color="FFFFFF" w:sz="0"/>
              <w:left w:val="none" w:color="FFFFFF" w:sz="0"/>
              <w:bottom w:val="none" w:color="FFFFFF" w:sz="0"/>
              <w:right w:val="none" w:color="FFFFFF" w:sz="0"/>
            </w:tcBorders>
            <w:tcMar>
              <w:top w:type="dxa" w:w="40"/>
              <w:left w:type="dxa" w:w="0"/>
              <w:bottom w:type="dxa" w:w="0"/>
              <w:right w:type="dxa" w:w="0"/>
            </w:tcMar>
          </w:tcPr>
          <w:p>
            <w:pPr>
              <w:spacing w:after="20"/>
              <w:jc w:val="right"/>
            </w:pPr>
            <w:r>
              <w:rPr>
                <w:rFonts w:ascii="Arial" w:cs="Arial" w:eastAsia="Arial" w:hAnsi="Arial"/>
                <w:b/>
                <w:bCs/>
                <w:caps/>
                <w:color w:val="890C58"/>
                <w:sz w:val="15"/>
                <w:szCs w:val="15"/>
              </w:rPr>
              <w:t xml:space="preserve">OFFICIAL — SENSITIVE</w:t>
            </w:r>
          </w:p>
          <w:p>
            <w:pPr>
              <w:spacing w:after="0"/>
              <w:jc w:val="right"/>
            </w:pPr>
            <w:r>
              <w:rPr>
                <w:rFonts w:ascii="Arial" w:cs="Arial" w:eastAsia="Arial" w:hAnsi="Arial"/>
                <w:color w:val="898781"/>
                <w:sz w:val="15"/>
                <w:szCs w:val="15"/>
              </w:rPr>
              <w:t xml:space="preserve">26 July 2026</w:t>
            </w:r>
          </w:p>
        </w:tc>
      </w:tr>
    </w:tbl>
    <w:p>
      <w:pPr>
        <w:spacing w:after="50" w:before="220" w:line="340"/>
      </w:pPr>
      <w:r>
        <w:rPr>
          <w:rFonts w:ascii="Arial" w:cs="Arial" w:eastAsia="Arial" w:hAnsi="Arial"/>
          <w:b/>
          <w:bCs/>
          <w:color w:val="012169"/>
          <w:sz w:val="34"/>
          <w:szCs w:val="34"/>
        </w:rPr>
        <w:t xml:space="preserve">Division 296 and the prudential framework</w:t>
      </w:r>
    </w:p>
    <w:p>
      <w:pPr>
        <w:pBdr>
          <w:bottom w:val="single" w:color="00B398" w:sz="12" w:space="8"/>
        </w:pBdr>
        <w:spacing w:after="40" w:line="270"/>
      </w:pPr>
      <w:r>
        <w:rPr>
          <w:rFonts w:ascii="Arial" w:cs="Arial" w:eastAsia="Arial" w:hAnsi="Arial"/>
          <w:color w:val="52514E"/>
          <w:sz w:val="20"/>
          <w:szCs w:val="20"/>
        </w:rPr>
        <w:t xml:space="preserve">What the new tax on large superannuation balances asks of us — and what it does not</w:t>
      </w:r>
    </w:p>
    <w:p>
      <w:pPr>
        <w:spacing w:after="140" w:before="0" w:line="264"/>
      </w:pPr>
      <w:r>
        <w:rPr>
          <w:rFonts w:ascii="Arial" w:cs="Arial" w:eastAsia="Arial" w:hAnsi="Arial"/>
          <w:color w:val="1A1A1A"/>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012169" w:sz="24"/>
              <w:bottom w:val="none" w:color="FFFFFF" w:sz="0"/>
              <w:right w:val="none" w:color="FFFFFF" w:sz="0"/>
            </w:tcBorders>
            <w:shd w:fill="F4F9FC" w:color="auto" w:val="clear"/>
            <w:tcMar>
              <w:top w:type="dxa" w:w="150"/>
              <w:left w:type="dxa" w:w="180"/>
              <w:bottom w:type="dxa" w:w="150"/>
              <w:right w:type="dxa" w:w="180"/>
            </w:tcMar>
          </w:tcPr>
          <w:p>
            <w:pPr>
              <w:spacing w:after="80" w:line="240"/>
            </w:pPr>
            <w:r>
              <w:rPr>
                <w:rFonts w:ascii="Arial" w:cs="Arial" w:eastAsia="Arial" w:hAnsi="Arial"/>
                <w:b/>
                <w:bCs/>
                <w:caps/>
                <w:color w:val="012169"/>
                <w:sz w:val="19"/>
                <w:szCs w:val="19"/>
              </w:rPr>
              <w:t xml:space="preserve">The bottom line</w:t>
            </w:r>
          </w:p>
          <w:p>
            <w:pPr>
              <w:pStyle w:val="ListParagraph"/>
              <w:numPr>
                <w:ilvl w:val="0"/>
                <w:numId w:val="2"/>
              </w:numPr>
              <w:spacing w:after="60" w:line="258"/>
            </w:pPr>
            <w:r>
              <w:rPr>
                <w:rFonts w:ascii="Arial" w:cs="Arial" w:eastAsia="Arial" w:hAnsi="Arial"/>
                <w:color w:val="1A1A1A"/>
                <w:sz w:val="18"/>
                <w:szCs w:val="18"/>
              </w:rPr>
              <w:t xml:space="preserve">This is not a proposal. Division 296 has been law since March and started on 1 July 2026. We are already inside the first measurement year. The final regulations were registered twelve days before it began, and the Tax Office guidance explaining how to do the calculation is still unwritten.</w:t>
            </w:r>
          </w:p>
          <w:p>
            <w:pPr>
              <w:pStyle w:val="ListParagraph"/>
              <w:numPr>
                <w:ilvl w:val="0"/>
                <w:numId w:val="2"/>
              </w:numPr>
              <w:spacing w:after="60" w:line="258"/>
            </w:pPr>
            <w:r>
              <w:rPr>
                <w:rFonts w:ascii="Arial" w:cs="Arial" w:eastAsia="Arial" w:hAnsi="Arial"/>
                <w:color w:val="1A1A1A"/>
                <w:sz w:val="18"/>
                <w:szCs w:val="18"/>
              </w:rPr>
              <w:t xml:space="preserve">It is not a liquidity event, and we should say so. In our own System Risk Stress Test, six large funds absorbed $174 billion of cumulative liquidity demand — just under 16 per cent of net assets — while largely avoiding sales of unlisted assets, primarily selling listed equities instead. Division 296 outflows are a small fraction of that. Leading with a liquidity warning would be wrong, and people in the room will know it.</w:t>
            </w:r>
          </w:p>
          <w:p>
            <w:pPr>
              <w:pStyle w:val="ListParagraph"/>
              <w:numPr>
                <w:ilvl w:val="0"/>
                <w:numId w:val="2"/>
              </w:numPr>
              <w:spacing w:after="60" w:line="258"/>
            </w:pPr>
            <w:r>
              <w:rPr>
                <w:rFonts w:ascii="Arial" w:cs="Arial" w:eastAsia="Arial" w:hAnsi="Arial"/>
                <w:color w:val="1A1A1A"/>
                <w:sz w:val="18"/>
                <w:szCs w:val="18"/>
              </w:rPr>
              <w:t xml:space="preserve">The real change is that a trustee judgement now feeds an individual member's personal tax bill. Every large fund we supervise must split fund earnings between members on a 'fair and reasonable' basis it designs itself, and report that figure to the Tax Office. Two funds holding identical assets for identical members can lawfully report different numbers. No standard governs how that judgement is made, signed off or independently checked.</w:t>
            </w:r>
          </w:p>
          <w:p>
            <w:pPr>
              <w:pStyle w:val="ListParagraph"/>
              <w:numPr>
                <w:ilvl w:val="0"/>
                <w:numId w:val="2"/>
              </w:numPr>
              <w:spacing w:after="60" w:line="258"/>
            </w:pPr>
            <w:r>
              <w:rPr>
                <w:rFonts w:ascii="Arial" w:cs="Arial" w:eastAsia="Arial" w:hAnsi="Arial"/>
                <w:color w:val="1A1A1A"/>
                <w:sz w:val="18"/>
                <w:szCs w:val="18"/>
              </w:rPr>
              <w:t xml:space="preserve">The framework mostly already covers this. Of 23 instruments we examined, 11 need no change at all and only one needs amending — our own reporting standard, which cannot see above $1 million. What would add most value is guidance confirming that existing obligations apply to this measure, supervision focused on the cohort least able to absorb it, and a prudential perspective reflected in the attribution work still under way.</w:t>
            </w:r>
          </w:p>
        </w:tc>
      </w:tr>
    </w:tbl>
    <w:p>
      <w:pPr>
        <w:spacing w:after="160" w:before="0" w:line="264"/>
      </w:pPr>
      <w:r>
        <w:rPr>
          <w:rFonts w:ascii="Arial" w:cs="Arial" w:eastAsia="Arial" w:hAnsi="Arial"/>
          <w:color w:val="1A1A1A"/>
          <w:sz w:val="19"/>
          <w:szCs w:val="19"/>
        </w:rPr>
        <w:t xml:space="preserve"/>
      </w:r>
    </w:p>
    <w:p>
      <w:pPr>
        <w:spacing w:after="60" w:before="0"/>
      </w:pPr>
      <w:r>
        <w:rPr>
          <w:rFonts w:ascii="Arial" w:cs="Arial" w:eastAsia="Arial" w:hAnsi="Arial"/>
          <w:b/>
          <w:bCs/>
          <w:color w:val="0072CE"/>
          <w:sz w:val="19"/>
          <w:szCs w:val="19"/>
        </w:rPr>
        <w:t xml:space="preserve">What Division 296 now does</w:t>
      </w:r>
    </w:p>
    <w:p>
      <w:pPr>
        <w:spacing w:after="40" w:before="90"/>
        <w:jc w:val="center"/>
      </w:pPr>
      <w:r>
        <w:drawing>
          <wp:inline distT="0" distB="0" distL="0" distR="0">
            <wp:extent cx="61436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19087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1 — What Division 296 charges, and on which slice of a member's balance.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2"/>
        <w:gridCol w:w="3302"/>
        <w:gridCol w:w="3302"/>
      </w:tblGrid>
      <w:tr>
        <w:tc>
          <w:tcPr>
            <w:tcW w:type="dxa" w:w="3302"/>
            <w:tcBorders>
              <w:top w:val="single" w:color="0072CE" w:sz="14"/>
              <w:left w:val="single" w:color="FFFFFF" w:sz="8"/>
              <w:bottom w:val="none" w:color="FFFFFF" w:sz="0"/>
              <w:right w:val="single" w:color="FFFFFF" w:sz="8"/>
            </w:tcBorders>
            <w:shd w:fill="F4F9FC" w:color="auto" w:val="clear"/>
            <w:tcMar>
              <w:top w:type="dxa" w:w="130"/>
              <w:left w:type="dxa" w:w="150"/>
              <w:bottom w:type="dxa" w:w="130"/>
              <w:right w:type="dxa" w:w="150"/>
            </w:tcMar>
          </w:tcPr>
          <w:p>
            <w:pPr>
              <w:spacing w:after="30" w:line="300"/>
            </w:pPr>
            <w:r>
              <w:rPr>
                <w:rFonts w:ascii="Arial" w:cs="Arial" w:eastAsia="Arial" w:hAnsi="Arial"/>
                <w:b/>
                <w:bCs/>
                <w:color w:val="012169"/>
                <w:sz w:val="34"/>
                <w:szCs w:val="34"/>
              </w:rPr>
              <w:t xml:space="preserve">$3m / $10m</w:t>
            </w:r>
          </w:p>
          <w:p>
            <w:pPr>
              <w:spacing w:after="0" w:line="230"/>
            </w:pPr>
            <w:r>
              <w:rPr>
                <w:rFonts w:ascii="Arial" w:cs="Arial" w:eastAsia="Arial" w:hAnsi="Arial"/>
                <w:color w:val="52514E"/>
                <w:sz w:val="14"/>
                <w:szCs w:val="14"/>
              </w:rPr>
              <w:t xml:space="preserve">The two thresholds, both now indexed. Extra tax applies only to the share of earnings above them — so someone just over $3m pays very little.</w:t>
            </w:r>
            <w:r>
              <w:rPr>
                <w:rFonts w:ascii="Arial" w:cs="Arial" w:eastAsia="Arial" w:hAnsi="Arial"/>
                <w:b/>
                <w:bCs/>
                <w:color w:val="00806D"/>
                <w:sz w:val="13"/>
                <w:szCs w:val="13"/>
                <w:vertAlign w:val="superscript"/>
              </w:rPr>
              <w:t xml:space="preserve"> [S]</w:t>
            </w:r>
          </w:p>
        </w:tc>
        <w:tc>
          <w:tcPr>
            <w:tcW w:type="dxa" w:w="3302"/>
            <w:tcBorders>
              <w:top w:val="single" w:color="0072CE" w:sz="14"/>
              <w:left w:val="single" w:color="FFFFFF" w:sz="8"/>
              <w:bottom w:val="none" w:color="FFFFFF" w:sz="0"/>
              <w:right w:val="single" w:color="FFFFFF" w:sz="8"/>
            </w:tcBorders>
            <w:shd w:fill="F4F9FC" w:color="auto" w:val="clear"/>
            <w:tcMar>
              <w:top w:type="dxa" w:w="130"/>
              <w:left w:type="dxa" w:w="150"/>
              <w:bottom w:type="dxa" w:w="130"/>
              <w:right w:type="dxa" w:w="150"/>
            </w:tcMar>
          </w:tcPr>
          <w:p>
            <w:pPr>
              <w:spacing w:after="30" w:line="300"/>
            </w:pPr>
            <w:r>
              <w:rPr>
                <w:rFonts w:ascii="Arial" w:cs="Arial" w:eastAsia="Arial" w:hAnsi="Arial"/>
                <w:b/>
                <w:bCs/>
                <w:color w:val="012169"/>
                <w:sz w:val="34"/>
                <w:szCs w:val="34"/>
              </w:rPr>
              <w:t xml:space="preserve">$1m+</w:t>
            </w:r>
          </w:p>
          <w:p>
            <w:pPr>
              <w:spacing w:after="0" w:line="230"/>
            </w:pPr>
            <w:r>
              <w:rPr>
                <w:rFonts w:ascii="Arial" w:cs="Arial" w:eastAsia="Arial" w:hAnsi="Arial"/>
                <w:color w:val="52514E"/>
                <w:sz w:val="14"/>
                <w:szCs w:val="14"/>
              </w:rPr>
              <w:t xml:space="preserve">Our highest member balance bracket — one third of the lower threshold. We cannot count or locate the affected population from our own collections.</w:t>
            </w:r>
            <w:r>
              <w:rPr>
                <w:rFonts w:ascii="Arial" w:cs="Arial" w:eastAsia="Arial" w:hAnsi="Arial"/>
                <w:b/>
                <w:bCs/>
                <w:color w:val="00806D"/>
                <w:sz w:val="13"/>
                <w:szCs w:val="13"/>
                <w:vertAlign w:val="superscript"/>
              </w:rPr>
              <w:t xml:space="preserve"> [S]</w:t>
            </w:r>
          </w:p>
        </w:tc>
        <w:tc>
          <w:tcPr>
            <w:tcW w:type="dxa" w:w="3302"/>
            <w:tcBorders>
              <w:top w:val="single" w:color="0072CE" w:sz="14"/>
              <w:left w:val="single" w:color="FFFFFF" w:sz="8"/>
              <w:bottom w:val="none" w:color="FFFFFF" w:sz="0"/>
              <w:right w:val="single" w:color="FFFFFF" w:sz="8"/>
            </w:tcBorders>
            <w:shd w:fill="F4F9FC" w:color="auto" w:val="clear"/>
            <w:tcMar>
              <w:top w:type="dxa" w:w="130"/>
              <w:left w:type="dxa" w:w="150"/>
              <w:bottom w:type="dxa" w:w="130"/>
              <w:right w:type="dxa" w:w="150"/>
            </w:tcMar>
          </w:tcPr>
          <w:p>
            <w:pPr>
              <w:spacing w:after="30" w:line="300"/>
            </w:pPr>
            <w:r>
              <w:rPr>
                <w:rFonts w:ascii="Arial" w:cs="Arial" w:eastAsia="Arial" w:hAnsi="Arial"/>
                <w:b/>
                <w:bCs/>
                <w:color w:val="012169"/>
                <w:sz w:val="34"/>
                <w:szCs w:val="34"/>
              </w:rPr>
              <w:t xml:space="preserve">30 Jun 2027</w:t>
            </w:r>
          </w:p>
          <w:p>
            <w:pPr>
              <w:spacing w:after="0" w:line="230"/>
            </w:pPr>
            <w:r>
              <w:rPr>
                <w:rFonts w:ascii="Arial" w:cs="Arial" w:eastAsia="Arial" w:hAnsi="Arial"/>
                <w:color w:val="52514E"/>
                <w:sz w:val="14"/>
                <w:szCs w:val="14"/>
              </w:rPr>
              <w:t xml:space="preserve">First measurement of balances. The attribution method needs to be settled, documented and reproducible well before it.</w:t>
            </w:r>
            <w:r>
              <w:rPr>
                <w:rFonts w:ascii="Arial" w:cs="Arial" w:eastAsia="Arial" w:hAnsi="Arial"/>
                <w:b/>
                <w:bCs/>
                <w:color w:val="00806D"/>
                <w:sz w:val="13"/>
                <w:szCs w:val="13"/>
                <w:vertAlign w:val="superscript"/>
              </w:rPr>
              <w:t xml:space="preserve"> [S]</w:t>
            </w:r>
          </w:p>
        </w:tc>
      </w:tr>
    </w:tbl>
    <w:p>
      <w:r>
        <w:br w:type="page"/>
      </w:r>
    </w:p>
    <w:p>
      <w:pPr>
        <w:spacing w:after="60" w:before="0"/>
      </w:pPr>
      <w:r>
        <w:rPr>
          <w:rFonts w:ascii="Arial" w:cs="Arial" w:eastAsia="Arial" w:hAnsi="Arial"/>
          <w:b/>
          <w:bCs/>
          <w:color w:val="0072CE"/>
          <w:sz w:val="19"/>
          <w:szCs w:val="19"/>
        </w:rPr>
        <w:t xml:space="preserve">Why this is a prudential matter, not just a tax matter</w:t>
      </w:r>
    </w:p>
    <w:p>
      <w:pPr>
        <w:pStyle w:val="ListParagraph"/>
        <w:numPr>
          <w:ilvl w:val="0"/>
          <w:numId w:val="2"/>
        </w:numPr>
        <w:spacing w:after="50" w:before="0" w:line="258"/>
      </w:pPr>
      <w:r>
        <w:rPr>
          <w:rFonts w:ascii="Arial" w:cs="Arial" w:eastAsia="Arial" w:hAnsi="Arial"/>
          <w:color w:val="1A1A1A"/>
          <w:sz w:val="17"/>
          <w:szCs w:val="17"/>
        </w:rPr>
        <w:t xml:space="preserve">The tax is assessed on the member, but the work lands on the trustee — a calculation and attribution function that did not exist before, and that no prudential standard was written for.</w:t>
      </w:r>
      <w:r>
        <w:rPr>
          <w:rFonts w:ascii="Arial" w:cs="Arial" w:eastAsia="Arial" w:hAnsi="Arial"/>
          <w:b/>
          <w:bCs/>
          <w:color w:val="0072CE"/>
          <w:sz w:val="13"/>
          <w:szCs w:val="13"/>
          <w:vertAlign w:val="superscript"/>
        </w:rPr>
        <w:t xml:space="preserve"> [I]</w:t>
      </w:r>
    </w:p>
    <w:p>
      <w:pPr>
        <w:pStyle w:val="ListParagraph"/>
        <w:numPr>
          <w:ilvl w:val="0"/>
          <w:numId w:val="2"/>
        </w:numPr>
        <w:spacing w:after="50" w:before="0" w:line="258"/>
      </w:pPr>
      <w:r>
        <w:rPr>
          <w:rFonts w:ascii="Arial" w:cs="Arial" w:eastAsia="Arial" w:hAnsi="Arial"/>
          <w:color w:val="1A1A1A"/>
          <w:sz w:val="17"/>
          <w:szCs w:val="17"/>
        </w:rPr>
        <w:t xml:space="preserve">The attribution standard is a discretion, not a formula. The dividing line is fund size, not who regulates, so the loose 'fair and reasonable' test lands on the large funds holding almost all the money.</w:t>
      </w:r>
      <w:r>
        <w:rPr>
          <w:rFonts w:ascii="Arial" w:cs="Arial" w:eastAsia="Arial" w:hAnsi="Arial"/>
          <w:b/>
          <w:bCs/>
          <w:color w:val="00806D"/>
          <w:sz w:val="13"/>
          <w:szCs w:val="13"/>
          <w:vertAlign w:val="superscript"/>
        </w:rPr>
        <w:t xml:space="preserve"> [S]</w:t>
      </w:r>
    </w:p>
    <w:p>
      <w:pPr>
        <w:pStyle w:val="ListParagraph"/>
        <w:numPr>
          <w:ilvl w:val="0"/>
          <w:numId w:val="2"/>
        </w:numPr>
        <w:spacing w:after="50" w:before="0" w:line="258"/>
      </w:pPr>
      <w:r>
        <w:rPr>
          <w:rFonts w:ascii="Arial" w:cs="Arial" w:eastAsia="Arial" w:hAnsi="Arial"/>
          <w:color w:val="1A1A1A"/>
          <w:sz w:val="17"/>
          <w:szCs w:val="17"/>
        </w:rPr>
        <w:t xml:space="preserve">It is a member-equity problem wearing a tax label. A whole-of-fund tax figure and a daily unit price cannot be reconciled exactly, so any method advantages some members over others — and industry has asked that the judgement sit outside AFCA's reach.</w:t>
      </w:r>
      <w:r>
        <w:rPr>
          <w:rFonts w:ascii="Arial" w:cs="Arial" w:eastAsia="Arial" w:hAnsi="Arial"/>
          <w:b/>
          <w:bCs/>
          <w:color w:val="E87722"/>
          <w:sz w:val="13"/>
          <w:szCs w:val="13"/>
          <w:vertAlign w:val="superscript"/>
        </w:rPr>
        <w:t xml:space="preserve"> [C]</w:t>
      </w:r>
    </w:p>
    <w:p>
      <w:pPr>
        <w:pStyle w:val="ListParagraph"/>
        <w:numPr>
          <w:ilvl w:val="0"/>
          <w:numId w:val="2"/>
        </w:numPr>
        <w:spacing w:after="50" w:before="0" w:line="258"/>
      </w:pPr>
      <w:r>
        <w:rPr>
          <w:rFonts w:ascii="Arial" w:cs="Arial" w:eastAsia="Arial" w:hAnsi="Arial"/>
          <w:color w:val="1A1A1A"/>
          <w:sz w:val="17"/>
          <w:szCs w:val="17"/>
        </w:rPr>
        <w:t xml:space="preserve">There is a hard new duty on a short clock: 14 days to tell the Tax Office when an end benefit will be paid, 7 to correct an error — attached to debt accounts that must survive mergers, transfers and changes of administrator.</w:t>
      </w:r>
      <w:r>
        <w:rPr>
          <w:rFonts w:ascii="Arial" w:cs="Arial" w:eastAsia="Arial" w:hAnsi="Arial"/>
          <w:b/>
          <w:bCs/>
          <w:color w:val="00806D"/>
          <w:sz w:val="13"/>
          <w:szCs w:val="13"/>
          <w:vertAlign w:val="superscript"/>
        </w:rPr>
        <w:t xml:space="preserve"> [S]</w:t>
      </w:r>
    </w:p>
    <w:p>
      <w:pPr>
        <w:pStyle w:val="ListParagraph"/>
        <w:numPr>
          <w:ilvl w:val="0"/>
          <w:numId w:val="2"/>
        </w:numPr>
        <w:spacing w:after="50" w:before="0" w:line="258"/>
      </w:pPr>
      <w:r>
        <w:rPr>
          <w:rFonts w:ascii="Arial" w:cs="Arial" w:eastAsia="Arial" w:hAnsi="Arial"/>
          <w:color w:val="1A1A1A"/>
          <w:sz w:val="17"/>
          <w:szCs w:val="17"/>
        </w:rPr>
        <w:t xml:space="preserve">We cannot see the affected population. Our highest balance bracket is $1 million, and because the threshold spans everything a person holds, no per-fund collection could ever produce that view.</w:t>
      </w:r>
      <w:r>
        <w:rPr>
          <w:rFonts w:ascii="Arial" w:cs="Arial" w:eastAsia="Arial" w:hAnsi="Arial"/>
          <w:b/>
          <w:bCs/>
          <w:color w:val="00806D"/>
          <w:sz w:val="13"/>
          <w:szCs w:val="13"/>
          <w:vertAlign w:val="superscript"/>
        </w:rPr>
        <w:t xml:space="preserve"> [S]</w:t>
      </w:r>
    </w:p>
    <w:p>
      <w:pPr>
        <w:pBdr>
          <w:bottom w:val="single" w:color="0072CE" w:sz="6" w:space="4"/>
        </w:pBdr>
        <w:spacing w:after="100" w:before="240"/>
      </w:pPr>
      <w:r>
        <w:rPr>
          <w:rFonts w:ascii="Arial" w:cs="Arial" w:eastAsia="Arial" w:hAnsi="Arial"/>
          <w:b/>
          <w:bCs/>
          <w:color w:val="012169"/>
          <w:sz w:val="22"/>
          <w:szCs w:val="22"/>
        </w:rPr>
        <w:t xml:space="preserve">Where the prudential risk actually sits</w:t>
      </w:r>
    </w:p>
    <w:p>
      <w:pPr>
        <w:spacing w:after="90" w:before="0" w:line="264"/>
      </w:pPr>
      <w:r>
        <w:rPr>
          <w:rFonts w:ascii="Arial" w:cs="Arial" w:eastAsia="Arial" w:hAnsi="Arial"/>
          <w:color w:val="1A1A1A"/>
          <w:sz w:val="17"/>
          <w:szCs w:val="17"/>
        </w:rPr>
        <w:t xml:space="preserve">Each issue is graded on three things: how material it is prudentially, how likely the adverse consequence is to crystallise, and how directly we can act on it. </w:t>
      </w:r>
      <w:r>
        <w:rPr>
          <w:rFonts w:ascii="Arial" w:cs="Arial" w:eastAsia="Arial" w:hAnsi="Arial"/>
          <w:b/>
          <w:bCs/>
          <w:color w:val="1A1A1A"/>
          <w:sz w:val="17"/>
          <w:szCs w:val="17"/>
        </w:rPr>
        <w:t xml:space="preserve">A serious problem that belongs to Treasury is not automatically a priority for us — the map separates the two.</w:t>
      </w:r>
    </w:p>
    <w:p>
      <w:pPr>
        <w:spacing w:after="40" w:before="90"/>
        <w:jc w:val="center"/>
      </w:pPr>
      <w:r>
        <w:drawing>
          <wp:inline distT="0" distB="0" distL="0" distR="0">
            <wp:extent cx="61436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260985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2 — The graded issues. Position shows materiality against how directly we can act; bubble size shows likelihood.</w:t>
      </w:r>
    </w:p>
    <w:p>
      <w:pPr>
        <w:spacing w:after="60" w:before="160"/>
      </w:pPr>
      <w:r>
        <w:rPr>
          <w:rFonts w:ascii="Arial" w:cs="Arial" w:eastAsia="Arial" w:hAnsi="Arial"/>
          <w:b/>
          <w:bCs/>
          <w:color w:val="0072CE"/>
          <w:sz w:val="19"/>
          <w:szCs w:val="19"/>
        </w:rPr>
        <w:t xml:space="preserve">The graded issues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4400"/>
        <w:gridCol w:w="860"/>
        <w:gridCol w:w="1150"/>
        <w:gridCol w:w="2936"/>
      </w:tblGrid>
      <w:tr>
        <w:trPr>
          <w:tblHeader/>
        </w:trPr>
        <w:tc>
          <w:tcPr>
            <w:tcW w:type="dxa" w:w="56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ID</w:t>
            </w:r>
          </w:p>
        </w:tc>
        <w:tc>
          <w:tcPr>
            <w:tcW w:type="dxa" w:w="44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Issue</w:t>
            </w:r>
          </w:p>
        </w:tc>
        <w:tc>
          <w:tcPr>
            <w:tcW w:type="dxa" w:w="86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Grade</w:t>
            </w:r>
          </w:p>
        </w:tc>
        <w:tc>
          <w:tcPr>
            <w:tcW w:type="dxa" w:w="115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M · L · P</w:t>
            </w:r>
          </w:p>
        </w:tc>
        <w:tc>
          <w:tcPr>
            <w:tcW w:type="dxa" w:w="293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needs</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P1</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One administrator's calculation engine will serve many funds at once</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P2</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Fund administration must now perform a new statutory calculation</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P3</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A trustee judgement now drives an identified member's personal tax bill</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8"/>
                <w:szCs w:val="18"/>
              </w:rPr>
              <w:t xml:space="preserve">A</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4 · 3 · 4</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Guidance</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P4</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Three separate blind spots on the same process</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Guidance</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P5</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Removing the tax on paper gains did not close the valuation file</w:t>
            </w:r>
            <w:r>
              <w:rPr>
                <w:rFonts w:ascii="Arial" w:cs="Arial" w:eastAsia="Arial" w:hAnsi="Arial"/>
                <w:b/>
                <w:bCs/>
                <w:color w:val="0072CE"/>
                <w:sz w:val="13"/>
                <w:szCs w:val="13"/>
                <w:vertAlign w:val="superscript"/>
              </w:rPr>
              <w:t xml:space="preserve"> [I]</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r>
        <w:tc>
          <w:tcPr>
            <w:tcW w:type="dxa" w:w="5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P6</w:t>
            </w:r>
          </w:p>
        </w:tc>
        <w:tc>
          <w:tcPr>
            <w:tcW w:type="dxa" w:w="4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APRA cannot see the affected population</w:t>
            </w:r>
            <w:r>
              <w:rPr>
                <w:rFonts w:ascii="Arial" w:cs="Arial" w:eastAsia="Arial" w:hAnsi="Arial"/>
                <w:b/>
                <w:bCs/>
                <w:color w:val="00806D"/>
                <w:sz w:val="13"/>
                <w:szCs w:val="13"/>
                <w:vertAlign w:val="superscript"/>
              </w:rPr>
              <w:t xml:space="preserve"> [S]</w:t>
            </w:r>
          </w:p>
        </w:tc>
        <w:tc>
          <w:tcPr>
            <w:tcW w:type="dxa" w:w="86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Amend a standard</w:t>
            </w:r>
          </w:p>
        </w:tc>
      </w:tr>
      <w:tr>
        <w:tc>
          <w:tcPr>
            <w:tcW w:type="dxa" w:w="5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P7</w:t>
            </w:r>
          </w:p>
        </w:tc>
        <w:tc>
          <w:tcPr>
            <w:tcW w:type="dxa" w:w="4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5"/>
                <w:szCs w:val="15"/>
              </w:rPr>
              <w:t xml:space="preserve">Two major changes commence on the same day</w:t>
            </w:r>
            <w:r>
              <w:rPr>
                <w:rFonts w:ascii="Arial" w:cs="Arial" w:eastAsia="Arial" w:hAnsi="Arial"/>
                <w:b/>
                <w:bCs/>
                <w:color w:val="00806D"/>
                <w:sz w:val="13"/>
                <w:szCs w:val="13"/>
                <w:vertAlign w:val="superscript"/>
              </w:rPr>
              <w:t xml:space="preserve"> [S]</w:t>
            </w:r>
          </w:p>
        </w:tc>
        <w:tc>
          <w:tcPr>
            <w:tcW w:type="dxa" w:w="86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8"/>
                <w:szCs w:val="18"/>
              </w:rPr>
              <w:t xml:space="preserve">B</w:t>
            </w:r>
          </w:p>
        </w:tc>
        <w:tc>
          <w:tcPr>
            <w:tcW w:type="dxa" w:w="115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3 · 3 · 5</w:t>
            </w:r>
          </w:p>
        </w:tc>
        <w:tc>
          <w:tcPr>
            <w:tcW w:type="dxa" w:w="293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Supervision</w:t>
            </w:r>
          </w:p>
        </w:tc>
      </w:tr>
    </w:tbl>
    <w:p>
      <w:pPr>
        <w:spacing w:after="0" w:before="70" w:line="264"/>
      </w:pPr>
      <w:r>
        <w:rPr>
          <w:rFonts w:ascii="Arial" w:cs="Arial" w:eastAsia="Arial" w:hAnsi="Arial"/>
          <w:color w:val="898781"/>
          <w:sz w:val="13"/>
          <w:szCs w:val="13"/>
        </w:rPr>
        <w:t xml:space="preserve">A = raise now · B = press and monitor · C = watch.  Scores out of 5.  All 18 issues are in Annex A.</w:t>
      </w:r>
    </w:p>
    <w:p>
      <w:r>
        <w:br w:type="page"/>
      </w:r>
    </w:p>
    <w:p>
      <w:pPr>
        <w:pBdr>
          <w:bottom w:val="single" w:color="0072CE" w:sz="6" w:space="4"/>
        </w:pBdr>
        <w:spacing w:after="100" w:before="0"/>
      </w:pPr>
      <w:r>
        <w:rPr>
          <w:rFonts w:ascii="Arial" w:cs="Arial" w:eastAsia="Arial" w:hAnsi="Arial"/>
          <w:b/>
          <w:bCs/>
          <w:color w:val="012169"/>
          <w:sz w:val="22"/>
          <w:szCs w:val="22"/>
        </w:rPr>
        <w:t xml:space="preserve">What the prudential framework actually needs</w:t>
      </w:r>
    </w:p>
    <w:p>
      <w:pPr>
        <w:spacing w:after="90" w:before="0" w:line="264"/>
      </w:pPr>
      <w:r>
        <w:rPr>
          <w:rFonts w:ascii="Arial" w:cs="Arial" w:eastAsia="Arial" w:hAnsi="Arial"/>
          <w:color w:val="1A1A1A"/>
          <w:sz w:val="18"/>
          <w:szCs w:val="18"/>
        </w:rPr>
        <w:t xml:space="preserve">The most useful finding here is a negative one. Division 296 does not require us to rewrite the prudential framework. We examined 27 instruments: 11 need no change at all, 11 need only supervisory attention, 4 warrant updated guidance, and exactly one needs amending — SRS 611.0, our own member accounts collection, whose highest balance bracket stops at a third of the lower threshold. The authority is already there. SPG 530 expressly names a change in government policy affecting access to member assets as a liquidity stress factor, and CPS 230 already forces fund administration to be treated as a critical operation. What would add most value is guidance confirming these obligations apply to a tax event as much as a market one, supervisory attention on the cohort least able to absorb it, and better data so we can see how it is landing.</w:t>
      </w:r>
    </w:p>
    <w:p>
      <w:pPr>
        <w:spacing w:after="40" w:before="90"/>
        <w:jc w:val="center"/>
      </w:pPr>
      <w:r>
        <w:drawing>
          <wp:inline distT="0" distB="0" distL="0" distR="0">
            <wp:extent cx="6143625"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138112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3 — What each part of the framework needs. Most of the hooks already exist.</w:t>
      </w:r>
    </w:p>
    <w:p>
      <w:pPr>
        <w:pBdr>
          <w:bottom w:val="single" w:color="0072CE" w:sz="6" w:space="4"/>
        </w:pBdr>
        <w:spacing w:after="100" w:before="240"/>
      </w:pPr>
      <w:r>
        <w:rPr>
          <w:rFonts w:ascii="Arial" w:cs="Arial" w:eastAsia="Arial" w:hAnsi="Arial"/>
          <w:b/>
          <w:bCs/>
          <w:color w:val="012169"/>
          <w:sz w:val="22"/>
          <w:szCs w:val="22"/>
        </w:rPr>
        <w:t xml:space="preserve">The runway — and APRA's window to act</w:t>
      </w:r>
    </w:p>
    <w:p>
      <w:pPr>
        <w:spacing w:after="40" w:before="90"/>
        <w:jc w:val="center"/>
      </w:pPr>
      <w:r>
        <w:drawing>
          <wp:inline distT="0" distB="0" distL="0" distR="0">
            <wp:extent cx="6143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2047875"/>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4 — The runway. Our influence is real only in the near term.</w:t>
      </w:r>
    </w:p>
    <w:p>
      <w:pPr>
        <w:pBdr>
          <w:bottom w:val="single" w:color="0072CE" w:sz="6" w:space="4"/>
        </w:pBdr>
        <w:spacing w:after="100" w:before="240"/>
      </w:pPr>
      <w:r>
        <w:rPr>
          <w:rFonts w:ascii="Arial" w:cs="Arial" w:eastAsia="Arial" w:hAnsi="Arial"/>
          <w:b/>
          <w:bCs/>
          <w:color w:val="012169"/>
          <w:sz w:val="22"/>
          <w:szCs w:val="22"/>
        </w:rPr>
        <w:t xml:space="preserve">What APRA should do</w:t>
      </w:r>
    </w:p>
    <w:p>
      <w:pPr>
        <w:pStyle w:val="ListParagraph"/>
        <w:numPr>
          <w:ilvl w:val="0"/>
          <w:numId w:val="2"/>
        </w:numPr>
        <w:spacing w:after="70" w:line="258"/>
      </w:pPr>
      <w:r>
        <w:rPr>
          <w:rFonts w:ascii="Arial" w:cs="Arial" w:eastAsia="Arial" w:hAnsi="Arial"/>
          <w:b/>
          <w:bCs/>
          <w:caps/>
          <w:color w:val="00B398"/>
          <w:sz w:val="15"/>
          <w:szCs w:val="15"/>
        </w:rPr>
        <w:t xml:space="preserve">Now  </w:t>
      </w:r>
      <w:r>
        <w:rPr>
          <w:rFonts w:ascii="Arial" w:cs="Arial" w:eastAsia="Arial" w:hAnsi="Arial"/>
          <w:color w:val="1A1A1A"/>
          <w:sz w:val="18"/>
          <w:szCs w:val="18"/>
        </w:rPr>
        <w:t xml:space="preserve">Carry a prudential perspective into the attribution work still under way with Treasury and the ATO, and consider whether closer involvement in the co-design process would be useful.</w:t>
      </w:r>
      <w:r>
        <w:rPr>
          <w:rFonts w:ascii="Arial" w:cs="Arial" w:eastAsia="Arial" w:hAnsi="Arial"/>
          <w:b/>
          <w:bCs/>
          <w:color w:val="E87722"/>
          <w:sz w:val="13"/>
          <w:szCs w:val="13"/>
          <w:vertAlign w:val="superscript"/>
        </w:rPr>
        <w:t xml:space="preserve"> [C]</w:t>
      </w:r>
    </w:p>
    <w:p>
      <w:pPr>
        <w:pStyle w:val="ListParagraph"/>
        <w:numPr>
          <w:ilvl w:val="0"/>
          <w:numId w:val="2"/>
        </w:numPr>
        <w:spacing w:after="70" w:line="258"/>
      </w:pPr>
      <w:r>
        <w:rPr>
          <w:rFonts w:ascii="Arial" w:cs="Arial" w:eastAsia="Arial" w:hAnsi="Arial"/>
          <w:b/>
          <w:bCs/>
          <w:caps/>
          <w:color w:val="00B398"/>
          <w:sz w:val="15"/>
          <w:szCs w:val="15"/>
        </w:rPr>
        <w:t xml:space="preserve">Now  </w:t>
      </w:r>
      <w:r>
        <w:rPr>
          <w:rFonts w:ascii="Arial" w:cs="Arial" w:eastAsia="Arial" w:hAnsi="Arial"/>
          <w:color w:val="1A1A1A"/>
          <w:sz w:val="18"/>
          <w:szCs w:val="18"/>
        </w:rPr>
        <w:t xml:space="preserve">Consider a short letter to RSE licensees confirming that existing obligations already apply — fund administration as a critical operation under CPS 230, policy-driven liquidity stress under SPG 530, and the annual board risk declaration under SPS 220. No new instrument required.</w:t>
      </w:r>
      <w:r>
        <w:rPr>
          <w:rFonts w:ascii="Arial" w:cs="Arial" w:eastAsia="Arial" w:hAnsi="Arial"/>
          <w:b/>
          <w:bCs/>
          <w:color w:val="E87722"/>
          <w:sz w:val="13"/>
          <w:szCs w:val="13"/>
          <w:vertAlign w:val="superscript"/>
        </w:rPr>
        <w:t xml:space="preserve"> [C]</w:t>
      </w:r>
    </w:p>
    <w:p>
      <w:pPr>
        <w:pStyle w:val="ListParagraph"/>
        <w:numPr>
          <w:ilvl w:val="0"/>
          <w:numId w:val="2"/>
        </w:numPr>
        <w:spacing w:after="70" w:line="258"/>
      </w:pPr>
      <w:r>
        <w:rPr>
          <w:rFonts w:ascii="Arial" w:cs="Arial" w:eastAsia="Arial" w:hAnsi="Arial"/>
          <w:b/>
          <w:bCs/>
          <w:caps/>
          <w:color w:val="00B398"/>
          <w:sz w:val="15"/>
          <w:szCs w:val="15"/>
        </w:rPr>
        <w:t xml:space="preserve">Now  </w:t>
      </w:r>
      <w:r>
        <w:rPr>
          <w:rFonts w:ascii="Arial" w:cs="Arial" w:eastAsia="Arial" w:hAnsi="Arial"/>
          <w:color w:val="1A1A1A"/>
          <w:sz w:val="18"/>
          <w:szCs w:val="18"/>
        </w:rPr>
        <w:t xml:space="preserve">Use the material service provider registers we already hold to map which administrators will build this for how many funds, then engage provider by provider rather than licensee by licensee.</w:t>
      </w:r>
      <w:r>
        <w:rPr>
          <w:rFonts w:ascii="Arial" w:cs="Arial" w:eastAsia="Arial" w:hAnsi="Arial"/>
          <w:b/>
          <w:bCs/>
          <w:color w:val="0072CE"/>
          <w:sz w:val="13"/>
          <w:szCs w:val="13"/>
          <w:vertAlign w:val="superscript"/>
        </w:rPr>
        <w:t xml:space="preserve"> [I]</w:t>
      </w:r>
    </w:p>
    <w:p>
      <w:pPr>
        <w:pStyle w:val="ListParagraph"/>
        <w:numPr>
          <w:ilvl w:val="0"/>
          <w:numId w:val="2"/>
        </w:numPr>
        <w:spacing w:after="70" w:line="258"/>
      </w:pPr>
      <w:r>
        <w:rPr>
          <w:rFonts w:ascii="Arial" w:cs="Arial" w:eastAsia="Arial" w:hAnsi="Arial"/>
          <w:b/>
          <w:bCs/>
          <w:caps/>
          <w:color w:val="00B398"/>
          <w:sz w:val="15"/>
          <w:szCs w:val="15"/>
        </w:rPr>
        <w:t xml:space="preserve">By Q4 2026  </w:t>
      </w:r>
      <w:r>
        <w:rPr>
          <w:rFonts w:ascii="Arial" w:cs="Arial" w:eastAsia="Arial" w:hAnsi="Arial"/>
          <w:color w:val="1A1A1A"/>
          <w:sz w:val="18"/>
          <w:szCs w:val="18"/>
        </w:rPr>
        <w:t xml:space="preserve">Target the cohort we have already named — the platform and wrap trustees from the December 2024 thematic review, who hold the highest share of very large accounts and face the hardest attribution problem.</w:t>
      </w:r>
      <w:r>
        <w:rPr>
          <w:rFonts w:ascii="Arial" w:cs="Arial" w:eastAsia="Arial" w:hAnsi="Arial"/>
          <w:b/>
          <w:bCs/>
          <w:color w:val="0072CE"/>
          <w:sz w:val="13"/>
          <w:szCs w:val="13"/>
          <w:vertAlign w:val="superscript"/>
        </w:rPr>
        <w:t xml:space="preserve"> [I]</w:t>
      </w:r>
    </w:p>
    <w:p>
      <w:pPr>
        <w:pStyle w:val="ListParagraph"/>
        <w:numPr>
          <w:ilvl w:val="0"/>
          <w:numId w:val="2"/>
        </w:numPr>
        <w:spacing w:after="70" w:line="258"/>
      </w:pPr>
      <w:r>
        <w:rPr>
          <w:rFonts w:ascii="Arial" w:cs="Arial" w:eastAsia="Arial" w:hAnsi="Arial"/>
          <w:b/>
          <w:bCs/>
          <w:caps/>
          <w:color w:val="00B398"/>
          <w:sz w:val="15"/>
          <w:szCs w:val="15"/>
        </w:rPr>
        <w:t xml:space="preserve">Before 30 Jun 2027  </w:t>
      </w:r>
      <w:r>
        <w:rPr>
          <w:rFonts w:ascii="Arial" w:cs="Arial" w:eastAsia="Arial" w:hAnsi="Arial"/>
          <w:color w:val="1A1A1A"/>
          <w:sz w:val="18"/>
          <w:szCs w:val="18"/>
        </w:rPr>
        <w:t xml:space="preserve">Ask funds to model the 30 June 2027 measurement date, which SPG 530 already allows us to require.</w:t>
      </w:r>
      <w:r>
        <w:rPr>
          <w:rFonts w:ascii="Arial" w:cs="Arial" w:eastAsia="Arial" w:hAnsi="Arial"/>
          <w:b/>
          <w:bCs/>
          <w:color w:val="0072CE"/>
          <w:sz w:val="13"/>
          <w:szCs w:val="13"/>
          <w:vertAlign w:val="superscript"/>
        </w:rPr>
        <w:t xml:space="preserve"> [I]</w:t>
      </w:r>
    </w:p>
    <w:p>
      <w:pPr>
        <w:pStyle w:val="ListParagraph"/>
        <w:numPr>
          <w:ilvl w:val="0"/>
          <w:numId w:val="2"/>
        </w:numPr>
        <w:spacing w:after="70" w:line="258"/>
      </w:pPr>
      <w:r>
        <w:rPr>
          <w:rFonts w:ascii="Arial" w:cs="Arial" w:eastAsia="Arial" w:hAnsi="Arial"/>
          <w:b/>
          <w:bCs/>
          <w:caps/>
          <w:color w:val="00B398"/>
          <w:sz w:val="15"/>
          <w:szCs w:val="15"/>
        </w:rPr>
        <w:t xml:space="preserve">2027  </w:t>
      </w:r>
      <w:r>
        <w:rPr>
          <w:rFonts w:ascii="Arial" w:cs="Arial" w:eastAsia="Arial" w:hAnsi="Arial"/>
          <w:color w:val="1A1A1A"/>
          <w:sz w:val="18"/>
          <w:szCs w:val="18"/>
        </w:rPr>
        <w:t xml:space="preserve">Fix our own blind spot: extend the SRS 611.0 balance brackets above the thresholds, decompose SRS 551.0 outflows by driver, and agree an information-sharing route with the ATO for total balance.</w:t>
      </w:r>
      <w:r>
        <w:rPr>
          <w:rFonts w:ascii="Arial" w:cs="Arial" w:eastAsia="Arial" w:hAnsi="Arial"/>
          <w:b/>
          <w:bCs/>
          <w:color w:val="0072CE"/>
          <w:sz w:val="13"/>
          <w:szCs w:val="13"/>
          <w:vertAlign w:val="superscript"/>
        </w:rPr>
        <w:t xml:space="preserve"> [I]</w:t>
      </w:r>
    </w:p>
    <w:p>
      <w:pPr>
        <w:spacing w:after="120" w:before="0" w:line="264"/>
      </w:pPr>
      <w:r>
        <w:rPr>
          <w:rFonts w:ascii="Arial" w:cs="Arial" w:eastAsia="Arial" w:hAnsi="Arial"/>
          <w:color w:val="1A1A1A"/>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06"/>
      </w:tblGrid>
      <w:tr>
        <w:tc>
          <w:tcPr>
            <w:tcW w:type="dxa" w:w="9906"/>
            <w:tcBorders>
              <w:top w:val="none" w:color="FFFFFF" w:sz="0"/>
              <w:left w:val="single" w:color="00B398" w:sz="18"/>
              <w:bottom w:val="none" w:color="FFFFFF" w:sz="0"/>
              <w:right w:val="none" w:color="FFFFFF" w:sz="0"/>
            </w:tcBorders>
            <w:shd w:fill="F4F9FC" w:color="auto" w:val="clear"/>
            <w:tcMar>
              <w:top w:type="dxa" w:w="90"/>
              <w:left w:type="dxa" w:w="150"/>
              <w:bottom w:type="dxa" w:w="90"/>
              <w:right w:type="dxa" w:w="150"/>
            </w:tcMar>
          </w:tcPr>
          <w:p>
            <w:pPr>
              <w:spacing w:after="0" w:line="240"/>
            </w:pPr>
            <w:r>
              <w:rPr>
                <w:rFonts w:ascii="Arial" w:cs="Arial" w:eastAsia="Arial" w:hAnsi="Arial"/>
                <w:b/>
                <w:bCs/>
                <w:color w:val="012169"/>
                <w:sz w:val="14"/>
                <w:szCs w:val="14"/>
              </w:rPr>
              <w:t xml:space="preserve">How to read the provenance marks.  </w:t>
            </w:r>
            <w:r>
              <w:rPr>
                <w:rFonts w:ascii="Arial" w:cs="Arial" w:eastAsia="Arial" w:hAnsi="Arial"/>
                <w:b/>
                <w:bCs/>
                <w:color w:val="00806D"/>
                <w:sz w:val="14"/>
                <w:szCs w:val="14"/>
              </w:rPr>
              <w:t xml:space="preserve">[S]</w:t>
            </w:r>
            <w:r>
              <w:rPr>
                <w:rFonts w:ascii="Arial" w:cs="Arial" w:eastAsia="Arial" w:hAnsi="Arial"/>
                <w:color w:val="52514E"/>
                <w:sz w:val="14"/>
                <w:szCs w:val="14"/>
              </w:rPr>
              <w:t xml:space="preserve"> Sourced — stated in a citable document.  </w:t>
            </w:r>
            <w:r>
              <w:rPr>
                <w:rFonts w:ascii="Arial" w:cs="Arial" w:eastAsia="Arial" w:hAnsi="Arial"/>
                <w:b/>
                <w:bCs/>
                <w:color w:val="0072CE"/>
                <w:sz w:val="14"/>
                <w:szCs w:val="14"/>
              </w:rPr>
              <w:t xml:space="preserve">[I]</w:t>
            </w:r>
            <w:r>
              <w:rPr>
                <w:rFonts w:ascii="Arial" w:cs="Arial" w:eastAsia="Arial" w:hAnsi="Arial"/>
                <w:color w:val="52514E"/>
                <w:sz w:val="14"/>
                <w:szCs w:val="14"/>
              </w:rPr>
              <w:t xml:space="preserve"> Inferred — our reasoning from sourced facts.  </w:t>
            </w:r>
            <w:r>
              <w:rPr>
                <w:rFonts w:ascii="Arial" w:cs="Arial" w:eastAsia="Arial" w:hAnsi="Arial"/>
                <w:b/>
                <w:bCs/>
                <w:color w:val="E87722"/>
                <w:sz w:val="14"/>
                <w:szCs w:val="14"/>
              </w:rPr>
              <w:t xml:space="preserve">[C]</w:t>
            </w:r>
            <w:r>
              <w:rPr>
                <w:rFonts w:ascii="Arial" w:cs="Arial" w:eastAsia="Arial" w:hAnsi="Arial"/>
                <w:color w:val="52514E"/>
                <w:sz w:val="14"/>
                <w:szCs w:val="14"/>
              </w:rPr>
              <w:t xml:space="preserve"> Created — original judgement written for this meeting, flagged deliberately.  Citations and reasoning chains are in Annex C.</w:t>
            </w:r>
          </w:p>
        </w:tc>
      </w:tr>
    </w:tbl>
    <w:p>
      <w:r>
        <w:br w:type="page"/>
      </w:r>
    </w:p>
    <w:p>
      <w:pPr>
        <w:spacing w:after="30"/>
      </w:pPr>
      <w:r>
        <w:rPr>
          <w:rFonts w:ascii="Arial" w:cs="Arial" w:eastAsia="Arial" w:hAnsi="Arial"/>
          <w:b/>
          <w:bCs/>
          <w:caps/>
          <w:color w:val="00B398"/>
          <w:sz w:val="20"/>
          <w:szCs w:val="20"/>
        </w:rPr>
        <w:t xml:space="preserve">Annex</w:t>
      </w:r>
    </w:p>
    <w:p>
      <w:pPr>
        <w:pBdr>
          <w:bottom w:val="single" w:color="00B398" w:sz="12" w:space="8"/>
        </w:pBdr>
        <w:spacing w:after="60" w:line="330"/>
      </w:pPr>
      <w:r>
        <w:rPr>
          <w:rFonts w:ascii="Arial" w:cs="Arial" w:eastAsia="Arial" w:hAnsi="Arial"/>
          <w:b/>
          <w:bCs/>
          <w:color w:val="012169"/>
          <w:sz w:val="30"/>
          <w:szCs w:val="30"/>
        </w:rPr>
        <w:t xml:space="preserve">Supporting detail, evidence and audit trail</w:t>
      </w:r>
    </w:p>
    <w:p>
      <w:pPr>
        <w:spacing w:after="160" w:before="0" w:line="264"/>
      </w:pPr>
      <w:r>
        <w:rPr>
          <w:rFonts w:ascii="Arial" w:cs="Arial" w:eastAsia="Arial" w:hAnsi="Arial"/>
          <w:color w:val="52514E"/>
          <w:sz w:val="17"/>
          <w:szCs w:val="17"/>
        </w:rPr>
        <w:t xml:space="preserve">Everything in the three-page brief traces back to this annex. Nothing in the brief is asserted without a provenance mark.</w:t>
      </w:r>
    </w:p>
    <w:p>
      <w:pPr>
        <w:pBdr>
          <w:bottom w:val="single" w:color="0072CE" w:sz="6" w:space="4"/>
        </w:pBdr>
        <w:spacing w:after="100" w:before="0"/>
      </w:pPr>
      <w:r>
        <w:rPr>
          <w:rFonts w:ascii="Arial" w:cs="Arial" w:eastAsia="Arial" w:hAnsi="Arial"/>
          <w:b/>
          <w:bCs/>
          <w:color w:val="012169"/>
          <w:sz w:val="22"/>
          <w:szCs w:val="22"/>
        </w:rPr>
        <w:t xml:space="preserve">Where the obligations actually sit</w:t>
      </w:r>
    </w:p>
    <w:p>
      <w:pPr>
        <w:spacing w:after="120" w:before="0" w:line="264"/>
      </w:pPr>
      <w:r>
        <w:rPr>
          <w:rFonts w:ascii="Arial" w:cs="Arial" w:eastAsia="Arial" w:hAnsi="Arial"/>
          <w:color w:val="52514E"/>
          <w:sz w:val="17"/>
          <w:szCs w:val="17"/>
        </w:rPr>
        <w:t xml:space="preserve">A note on where to look, because the numbering misleads. Division 296 of the Income Tax Assessment Act 1997 does not itself place obligations on funds — its own Guide points to the Taxation Administration Act for the administration rules, and the term 'RSE licensee' does not appear in the Act at all. It uses 'superannuation provider'. The table below is where each part of the machinery actually sits.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gridCol w:w="1500"/>
        <w:gridCol w:w="1206"/>
      </w:tblGrid>
      <w:tr>
        <w:trPr>
          <w:tblHeader/>
        </w:trPr>
        <w:tc>
          <w:tcPr>
            <w:tcW w:type="dxa" w:w="2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Provision</w:t>
            </w:r>
          </w:p>
        </w:tc>
        <w:tc>
          <w:tcPr>
            <w:tcW w:type="dxa" w:w="4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does</w:t>
            </w:r>
          </w:p>
        </w:tc>
        <w:tc>
          <w:tcPr>
            <w:tcW w:type="dxa" w:w="15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Heading</w:t>
            </w:r>
          </w:p>
        </w:tc>
        <w:tc>
          <w:tcPr>
            <w:tcW w:type="dxa" w:w="12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Obliges</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Subdivision 296-A (ITAA 1997)</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single objects clause, s 296-5, and nothing else. It imposes no obligation on the trustee, the member or the Commissioner. Its only legal work is interpretive — but that matters here, because it is the lens against which a trustee's 'fair and reasonable' attribution would be construed.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Object of this Division</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4"/>
                <w:szCs w:val="14"/>
              </w:rPr>
              <w:t xml:space="preserve">No one</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Subdivision 296-B (ITAA 1997)</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Where the tax actually bites: liability (s 296-15), both thresholds (ss 296-30, 296-35), taxable and total superannuation earnings, Division 296 fund earnings (s 296-60), and the separate treatment of defined benefit and other interests (s 296-70).</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Better targeted superannuation concessions</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4"/>
                <w:szCs w:val="14"/>
              </w:rPr>
              <w:t xml:space="preserve">The member</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 134-140, Sch 1 TAA 1953</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clearest new duty on a fund. Where the Commissioner keeps a Division 296 debt account for an interest and the end benefit becomes payable, the provider must notify the Commissioner of the expected payment date within 14 days, in the approved form. The section carries an express note that a dissatisfied person may complain under the AFCA scheme.</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Division 296 end benefit notice</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 134-145, Sch 1 TAA 1953</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material change or omission in a s 134-140 notice must be corrected within 7 days of the fund becoming aware of it.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Material changes or omissions</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Division 131, Sch 1 TAA 1953</w:t>
            </w:r>
          </w:p>
        </w:tc>
        <w:tc>
          <w:tcPr>
            <w:tcW w:type="dxa" w:w="4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Extends the existing release authority machinery to Division 296, so a member can direct that the liability be paid from their superannuation.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Release authorities</w:t>
            </w:r>
          </w:p>
        </w:tc>
        <w:tc>
          <w:tcPr>
            <w:tcW w:type="dxa" w:w="12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r>
        <w:tc>
          <w:tcPr>
            <w:tcW w:type="dxa" w:w="2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Regulations F2026L00726</w:t>
            </w:r>
          </w:p>
        </w:tc>
        <w:tc>
          <w:tcPr>
            <w:tcW w:type="dxa" w:w="4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'fair and reasonable' attribution standard for funds with more than six members, and the prescribed formula plus actuarial certificate for funds with six or fewer. Made 11 June 2026, registered 18 June 2026 — twelve days before the first measurement year began.</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i/>
                <w:iCs/>
                <w:color w:val="52514E"/>
                <w:sz w:val="14"/>
                <w:szCs w:val="14"/>
              </w:rPr>
              <w:t xml:space="preserve">Attribution method</w:t>
            </w:r>
          </w:p>
        </w:tc>
        <w:tc>
          <w:tcPr>
            <w:tcW w:type="dxa" w:w="12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4"/>
                <w:szCs w:val="14"/>
              </w:rPr>
              <w:t xml:space="preserve">The fund</w:t>
            </w:r>
          </w:p>
        </w:tc>
      </w:tr>
    </w:tbl>
    <w:p>
      <w:pPr>
        <w:spacing w:after="200" w:before="0" w:line="264"/>
      </w:pPr>
      <w:r>
        <w:rPr>
          <w:rFonts w:ascii="Arial" w:cs="Arial" w:eastAsia="Arial" w:hAnsi="Arial"/>
          <w:color w:val="1A1A1A"/>
          <w:sz w:val="19"/>
          <w:szCs w:val="19"/>
        </w:rPr>
        <w:t xml:space="preserve"/>
      </w:r>
    </w:p>
    <w:p>
      <w:pPr>
        <w:spacing w:after="40" w:before="90"/>
        <w:jc w:val="center"/>
      </w:pPr>
      <w:r>
        <w:drawing>
          <wp:inline distT="0" distB="0" distL="0" distR="0">
            <wp:extent cx="614362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114300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A1 — Where the affected population actually sits. Most of it is outside our perimeter.</w:t>
      </w:r>
    </w:p>
    <w:p>
      <w:pPr>
        <w:spacing w:after="60" w:before="160"/>
      </w:pPr>
      <w:r>
        <w:rPr>
          <w:rFonts w:ascii="Arial" w:cs="Arial" w:eastAsia="Arial" w:hAnsi="Arial"/>
          <w:b/>
          <w:bCs/>
          <w:color w:val="0072CE"/>
          <w:sz w:val="19"/>
          <w:szCs w:val="19"/>
        </w:rPr>
        <w:t xml:space="preserve">How much of this is ours to fix</w:t>
      </w:r>
    </w:p>
    <w:p>
      <w:pPr>
        <w:spacing w:after="40" w:before="90"/>
        <w:jc w:val="center"/>
      </w:pPr>
      <w:r>
        <w:drawing>
          <wp:inline distT="0" distB="0" distL="0" distR="0">
            <wp:extent cx="314325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133600"/>
                    </a:xfrm>
                    <a:prstGeom prst="rect">
                      <a:avLst/>
                    </a:prstGeom>
                  </pic:spPr>
                </pic:pic>
              </a:graphicData>
            </a:graphic>
          </wp:inline>
        </w:drawing>
      </w:r>
    </w:p>
    <w:p>
      <w:pPr>
        <w:spacing w:after="120"/>
        <w:jc w:val="center"/>
      </w:pPr>
      <w:r>
        <w:rPr>
          <w:rFonts w:ascii="Arial" w:cs="Arial" w:eastAsia="Arial" w:hAnsi="Arial"/>
          <w:i/>
          <w:iCs/>
          <w:color w:val="898781"/>
          <w:sz w:val="13"/>
          <w:szCs w:val="13"/>
        </w:rPr>
        <w:t xml:space="preserve">Figure A2 — How much of the register is ours to act on.</w:t>
      </w:r>
    </w:p>
    <w:p>
      <w:pPr>
        <w:pBdr>
          <w:bottom w:val="single" w:color="0072CE" w:sz="6" w:space="4"/>
        </w:pBdr>
        <w:spacing w:after="100" w:before="0"/>
      </w:pPr>
      <w:r>
        <w:rPr>
          <w:rFonts w:ascii="Arial" w:cs="Arial" w:eastAsia="Arial" w:hAnsi="Arial"/>
          <w:b/>
          <w:bCs/>
          <w:color w:val="012169"/>
          <w:sz w:val="22"/>
          <w:szCs w:val="22"/>
        </w:rPr>
        <w:t xml:space="preserve">Annex A — Full prudential issue register</w:t>
      </w:r>
    </w:p>
    <w:p>
      <w:pPr>
        <w:spacing w:after="60" w:before="200" w:line="264"/>
      </w:pPr>
      <w:r>
        <w:rPr>
          <w:rFonts w:ascii="Arial" w:cs="Arial" w:eastAsia="Arial" w:hAnsi="Arial"/>
          <w:b/>
          <w:bCs/>
          <w:color w:val="012169"/>
          <w:sz w:val="19"/>
          <w:szCs w:val="19"/>
        </w:rPr>
        <w:t xml:space="preserve">P1. </w:t>
      </w:r>
      <w:r>
        <w:rPr>
          <w:rFonts w:ascii="Arial" w:cs="Arial" w:eastAsia="Arial" w:hAnsi="Arial"/>
          <w:b/>
          <w:bCs/>
          <w:color w:val="012169"/>
          <w:sz w:val="19"/>
          <w:szCs w:val="19"/>
        </w:rPr>
        <w:t xml:space="preserve">One administrator's calculation engine will serve many funds at once, and APRA already holds the register that maps it</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About fifty licensed super trustees must now work out, for each member with a very large balance, how much of the fund's investment income belongs to that member, report it to the Tax Office, and pay money out when the Tax Office demands it. They will not build fifty separate systems to do this. A small number of shared administration providers, custodians and external tax agents will build it once and run it for many funds. That is efficient, but it means one flawed build, or one provider that is late, is not one fund's problem - it is the same problem in every client fund, in the same few weeks, in the first year. It also means dozens of boards will in practice adopt a supplier's judgement about how to split income between members and call it their own. APRA does not need new data to see this: it already required every trustee to lodge a register of its material service providers by 1 October 2025, for exactly the purpose of spotting concentrations like this one.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the single largest operational-resilience feature of the measure and it is the one that turns an ordinary implementation risk into a correlated, industry-wide one. It also cuts against the assumption that a board-approved methodology means an independently formed methodology. The offsetting point is genuinely positive for a CEO conversation: APRA is not blind here. It holds the dataset that maps which licensees share which administrator, so it can size this exposure at essentially zero collection cost and target engagement at the providers rather than one licensee at a time.</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Every RSE licensee sharing a common administrator; concentrated first in platform, wrap and mid-sized licensees that outsource most of the administration stack. Members bear it through simultaneous mis-reporting across multiple funds.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Use the material service provider registers already held to map, before the December 2026 quarter, which administrators, custodians and tax agents will deliver the Division 296 calculation, attribution, lodgement and release-authority function, and how many licensees sit behind each. Then engage provider by provider rather than licensee by licensee. Ask exposed licensees three questions: (a) is the Division 296 function inside the material service provider arrangement, with defined service levels tied to the Tax Office's response windows; (b) where the provider supplies the attribution method, what independent review did the board obtain before adopting it as its own; (c) what happens if the provider cannot deliver by the measurement date, and is that scenario in the tolerance levels and business continuity testing. Consider stating in guidance that the trustee's accountability for a 'fair and reasonable' attribution is non-delegable even where the calculation is performed by a supplier.</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Operational Risk Management, service provider management limb (Part 4, paras 48-60) - note this limb replaced SPS 231 Outsourcing from 1 July 2025; CPS 230 paras 24, 35, 36(c), 38, 44 (critical operations, tolerance levels, business continuity testing); APRA material service provider register (template issued 2025; completed registers required from superannuation trustees by 1 October 2025); Targeted amendments to CPS 230 finalised 30 April 2026; SPS 220 Risk Management paras 15, 18, 32</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GRADING RULE APPLIED TO THIS REGISTER (state on the page): Grade A where apra_proximity &gt;= 4 AND materiality &gt;= 4 AND likelihood &gt;= 3. Grade B where the A test fails but materiality + likelihood + apra_proximity &gt;= 9. Grade C where the sum is 8 or less. Applied mechanically; no overrides used. Likelihood throughout is scored as the probability that the named ADVERSE CONSEQUENCE crystallises in the named window, not the probability that a present-tense fact is true.  ·  LIKELIHOOD PROPOSITION: P(a defect, delay or methodology weakness originating in one shared provider produces a correlated, multi-fund Division 296 reporting or attribution failure in the FY2027-28 reporting window) = 3.  ·  SOURCED: APRA required a completed material service provider register from all superannuation trustees by 1 October 2025, stating the purpose is to 'help APRA identify concentration risks across the financial services sector' - https://www.apra.gov.au/news-and-publications/apra-releases-material-service-provider-register-template  ·  SOURCED: CPS 230 para 36 - an entity 'must, at a minimum, classify the following business operations as critical operations, unless it can justify otherwise: ... (c) for an RSE licensee: investment management and fund administration' - https://www.apra.gov.au/system/files/2023-07/Prudential%20Standard%20CPS%20230%20Operational%20Risk%20Management%20-%20clean.pdf  ·  SOURCED: CPS 230 para 24 (NOT para 23, which is senior management's duty to inform the Board) - 'An APRA-regulated entity must manage its full range of operational risks, including but not limited to legal risk, regulatory risk, compliance risk, conduct risk, technology risk, data risk and change management risk.'  ·  INFERRED CHAIN: (1) the Division 296 calculation, attribution, Tax Office lodgement and release-authority payment are all fund administration functions; (2) fund administration is overwhelmingly outsourced to a small number of providers, and the fund income tax return from which fund earnings derive is often prepared by an external tax agent; (3) therefore a single methodology or build defect propagates simultaneously across every client fund; (4) the CPS 230 service provider limb, not only the critical operations limb, is the governing requirement; (5) APRA already holds the register that identifies the providers.  ·  GAP: the register does not yet identify WHICH providers dominate the Division 296 build. That is an internal data query, not new collection, and should be run before the meeting.</w:t>
      </w:r>
    </w:p>
    <w:p>
      <w:pPr>
        <w:spacing w:after="60" w:before="200" w:line="264"/>
      </w:pPr>
      <w:r>
        <w:rPr>
          <w:rFonts w:ascii="Arial" w:cs="Arial" w:eastAsia="Arial" w:hAnsi="Arial"/>
          <w:b/>
          <w:bCs/>
          <w:color w:val="012169"/>
          <w:sz w:val="19"/>
          <w:szCs w:val="19"/>
        </w:rPr>
        <w:t xml:space="preserve">P2. </w:t>
      </w:r>
      <w:r>
        <w:rPr>
          <w:rFonts w:ascii="Arial" w:cs="Arial" w:eastAsia="Arial" w:hAnsi="Arial"/>
          <w:b/>
          <w:bCs/>
          <w:color w:val="012169"/>
          <w:sz w:val="19"/>
          <w:szCs w:val="19"/>
        </w:rPr>
        <w:t xml:space="preserve">Fund administration must now perform a new statutory calculation, reporting and payment function on someone else's clock</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From 1 July 2026 every dividend, rent payment and asset sale is already inside the tax base for the first measurement year. Three new jobs now sit in fund administration and none of them existed before. First, work out the fund's taxable earnings and split them across affected members, then answer the Tax Office when it asks - defined benefit and alternative-method funds are indicated to get ten business days, other funds twenty-eight calendar days. Second, when the Tax Office sends a release notice, pay the money out of the member's super on a short clock, with a penalty for missing it. Third, when the fund later amends its tax return - which happens routinely, because income from unlisted and overseas investments is often not final when the return is due - the change flows back through to members' personal tax assessments, for up to four years. The Tax Office guidance explaining how to do the calculation has not been published.</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one exposure, not three, and it is the exposure the whole measure comes down to for an APRA-regulated fund: a new statutory calculation and payment function, largely outsourced, performed to external deadlines that all fall in the same annual window across the industry. The consequence of failure leaves the fund and lands on an identified member's personal tax position. The first external test is roughly sixteen to twenty months away, and by the time it fails the underlying FY2026-27 data is historical and cannot be reconstructed.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with in-scope members; first and hardest on defined benefit and alternative-method funds, which face the shorter response window. Members bear mis-calculation through their personal tax assessments; legal personal representatives and estates bear the amendment cascade.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Treat Division 296 readiness as compliance with operative law, not contingency planning, and test it with document-based questions in FY2027 engagements: has the licensee set CPS 230 tolerance levels for the Division 296 calculation, reporting and release-authority processes inside fund administration; are Division 296 failure scenarios in business continuity testing; does the FY2027 risk appetite statement and risk management declaration address it; has the FY2027 Operational Risk Financial Requirement target amount moved. Gate the expectation on exposure - for a licensee with a handful of in-scope members, not moving the target amount is a proportionate judgement, not a governance failure. Set expectations for adaptable rather than hard-coded builds while the Tax Office guidance is unsettled; day-one perfection is not the standard. Also treat the Division 296 dataset - which identifies by name the members with the largest balances in the country, assembled and transmitted largely by outsourced administrators - as a new information asset that should be classified in the CPS 234 information asset register.</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paras 24, 35, 36(c), 38, 44 (critical operations, tolerance levels, business continuity testing); CPS 230 Part 4 (service provider management) - see P1; SPS 220 Risk Management paras 15, 18, 21, 32 (risk appetite statement; annual risk management declaration signed by two directors); SPS 114 Operational Risk Financial Requirement paras 8-12, 15-20; SPS 515 paras 9-11 (business plan and financial projections); paras 30, 36-44 (transfer preparation); CPS 234 Information Security paras 16, 21-22, 27-36; Taxation Administration Act 1953 Sch 1 (Division 296 reporting and release authority obligations); Income Tax Assessment Act 1997 Div 296</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 licensee fails, or materially misstates, its first Tax Office information request or a release authority payment during the FY2027-28 window, in a way requiring member-level rectification) = 3. It is not near-certain: there will be a Tax Office co-design process, a law companion ruling and at least one dry run before the first request lands.  ·  SOURCED: response windows - defined benefit and alternative-method funds 'generally given 10 business days to respond'; other APRA funds 'will commence issuing in April, with a response period of 28 calendar days' - ATO Superannuation Administration Group key messages, 20 May 2026, https://www.ato.gov.au/about-ato/consultation/in-detail/stakeholder-relationship-groups-key-messages/superannuation-administration-group/superannuation-administration-group-key-messages-20-may-2026 . CAVEAT: the 18 February 2026 key messages record different indicative dates (DB requests from November 2027, other APRA funds February 2028). The schedule moved between meetings and no year is stated in the May quote. Treat all dates as ATO indicative planning dates, not settled.  ·  SOURCED: final regulations F2026L00726 made 11 June 2026, registered 18 June 2026 - twelve days before the first measurement year began - https://www.legislation.gov.au/F2026L00726/asmade  ·  SOURCED: the ATO advice-under-development programme for superannuation (last updated 6 July 2026) lists five items, none of them Division 296 - https://www.ato.gov.au/about-ato/ato-advice-and-guidance/advice-under-development-program/advice-under-development-superannuation-issues . The separate ATO statement that it is 'currently drafting a law companion ruling' appears in ATO super funds newsroom material, not on this page; cite it to its own source or drop the quote.  ·  SOURCED: ASFA - 'It is relatively common for funds with more than 6 members to amend tax returns after they have been lodged ... (in particular, unlisted investment income)'; typical variation 'a few basis points'; ASFA asks for a 5% materiality threshold and a 12-month post-year-end reporting window - ASFA submission to Treasury, 7 April 2026, pp.4-5, https://www.superannuation.asn.au/wp-content/uploads/2026/05/202619_Treasury_Division-296_Regulations_7_April.pdf  ·  SOURCED: Tax Institute - amendment periods 'may extend for up to four years', so funds 'may be required to retrospectively identify affected members and re-perform attribution calculations across multiple income years' - Tax Institute submission, 16 April 2026  ·  SOURCED (existing release authority regime, NOT yet confirmed for Division 296): for existing release authority types APRA-regulated funds must pay and send the release authority statement within 10 business days, with a non-compliance penalty up to 20 penalty units, and the cashing order permits release of preserved benefits third in priority - https://www.ato.gov.au/tax-and-super-professionals/for-superannuation-professionals/apra-regulated-funds/paying-benefits/releasing-benefits/release-authorities . The ATO's published list of release authority types does not yet include Division 296, so the specific Division 296 timeframe is unconfirmed. Do not state the ten-day clock as settled for this tax.  ·  SOURCED: the successor fund transfer protocol 'needs to be updated to accommodate the reporting of Div 296 tax information', and funds must amend Division 296 information within 30 days of becoming aware of a change - ATO Superannuation Administration Group key messages, 17 June 2025. CAVEAT: this material predates the October 2025 redesign and the enacted regulations and may have been overtaken. The associated 2025 'retrospective law' concern is obsolete - Royal Assent (13 March 2026) precedes commencement (1 July 2026), so there is no retrospectivity of the kind described.  ·  SOURCED: the ATO will reuse the existing Division 293 and Division Deferred SuperStream product type codes for Division 296 release authorities, distinguished by a reference number, avoiding a SuperStream change - ATO Superannuation Administration Group key messages, 17 June 2025. IMPORTANT DISCLOSURE: ASFA asked for exactly this reuse on cost-to-members grounds ('The ATO should use the existing Div 293 Release Authority channel and messaging in SuperStream with the messaging tagged'). APRA should therefore NOT ask for a new message type; the proportionate ask is a machine-readable Division 296 flag on the existing message so the flow can be isolated in fund and regulator reporting.  ·  INFERRED CHAIN: calculation, attribution, lodgement and release-authority payment are all fund administration; fund administration is a default critical operation under CPS 230 para 36(c); therefore the obligation binds today with no amendment, and the external response windows are natural CPS 230 para 38 tolerance levels.  ·  GAP: SPS 515 paragraph numbers carry a plus-or-minus-one risk; verify against the registered instrument before formal citation.</w:t>
      </w:r>
    </w:p>
    <w:p>
      <w:pPr>
        <w:spacing w:after="60" w:before="200" w:line="264"/>
      </w:pPr>
      <w:r>
        <w:rPr>
          <w:rFonts w:ascii="Arial" w:cs="Arial" w:eastAsia="Arial" w:hAnsi="Arial"/>
          <w:b/>
          <w:bCs/>
          <w:color w:val="012169"/>
          <w:sz w:val="19"/>
          <w:szCs w:val="19"/>
        </w:rPr>
        <w:t xml:space="preserve">P3. </w:t>
      </w:r>
      <w:r>
        <w:rPr>
          <w:rFonts w:ascii="Arial" w:cs="Arial" w:eastAsia="Arial" w:hAnsi="Arial"/>
          <w:b/>
          <w:bCs/>
          <w:color w:val="012169"/>
          <w:sz w:val="19"/>
          <w:szCs w:val="19"/>
        </w:rPr>
        <w:t xml:space="preserve">A trustee judgement now drives an identified member's personal tax bill, and no instrument governs how that judgement is made</w:t>
      </w:r>
      <w:r>
        <w:rPr>
          <w:rFonts w:ascii="Arial" w:cs="Arial" w:eastAsia="Arial" w:hAnsi="Arial"/>
          <w:b/>
          <w:bCs/>
          <w:color w:val="890C58"/>
          <w:sz w:val="15"/>
          <w:szCs w:val="15"/>
        </w:rPr>
        <w:t xml:space="preserve">   GRADE A</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 fund with more than six members must split its investment income across affected members on a 'fair and reasonable' basis. The law does not say how. Two funds holding identical investments for identical members can lawfully report different numbers. To be precise about what that number does: it is an input the Tax Office uses to assess the member, not the member's tax bill itself. The Tax Office assesses the individual, and the individual can object to that assessment. But the trustee's number is what the assessment is built on. Here is what is at stake, which no version of this brief has stated: only the slice of earnings above three million dollars is taxed. A member with $3.2 million earning six per cent owes roughly $1,800. At $4 million, roughly $9,000. At $10 million, roughly $63,000. So for members just over the line, differences between lawful methods are worth tens of dollars; for members well above it, and particularly in options where members pick their own investments, they can be worth real money. Nobody has set a standard for how a fund makes the judgement, how a board signs it off, or who independently checks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new, recurring exercise of trustee power over identified members, with no prescribed method, no external assurance and no APRA line of sight. It engages the covenants to act in members' best financial interests and to treat members fairly as between members. Because the first measurement year is already running, a methodology not documented now cannot be reconstructed when the Tax Office ruling lands - which is the classic precondition for a remediation programme in FY2029. The honest qualification is that nobody has measured how far two lawful methods actually diverge, so the size of the equity problem is currently asserted rather than known.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with in-scope members; the sharpest consequence lands on members in member-directed and platform options, where assets are individually identifiable and method choice genuinely bites. Members of the same fund in different investment options can bear different outcomes from the same methodology choice.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Consider writing to all RSE licensees before 31 December 2026 stating that the Division 296 attribution methodology is a member-equity decision inside the investment governance framework, not only a tax-compliance choice, and setting five expectations: a written, board-approved methodology; consistency year to year with any change explained; reproducibility of the FY2026-27 attribution four years later; an explicit stated treatment of unallocated reserves, mid-year joiners, leavers and option switchers, and of members holding both an accumulation and a pension interest in the same fund; and independent review or assurance. Note in that letter that RSE auditor assurance under SPS 310 does not currently reach this calculation, because it is reported to the Tax Office under tax law rather than under an APRA reporting standard or the SIS Act, and ask what voluntary assurance has been obtained. Before asserting materiality, run the measurement: ask two or three exposed licensees to apply two defensible methods to their FY2026-27 data to date and report the spread. If the spread is a few basis points, this is a platform-specific issue; if it is percentage points, the expectation is evidenced. Also settle which board committee owns the methodology, since on this characterisation the audit committee will assume the investment committee has it and vice versa.</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4/5 · Likelihood 3/5 · APRA proximity 4/5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Assessment Act 1997 Div 296; Superannuation (Building a Stronger and Fairer Super System) Imposition Act 2026 (the Act that imposes the tax and fixes the rates); Income Tax Assessment (1997 Act) Amendment Regulations 2026 (F2026L00726) Sch 1; SPG 530 Investment Governance para 9 (member equity risk); SPS 530 paras 39-41 (valuation governance framework); SPS 220 Risk Management paras 15, 18, 32; CPS 230 paras 24, 35, 36(c); SPS 310 Audit and Related Matters, Attachments A and B; SPS 510 Governance and SPS 520 Fit and Proper (board capability and committee ownership of the methodology decision); SIS Act s52(2) covenants (best financial interests; fairness as between members); Joint APRA-ASIC unit pricing good practice guidance; ASIC RG 94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methodology choice made in FY2026-27 produces a member-equity failure or a member-level remediation programme by FY2029) = 3.  ·  SOURCED: attribution for funds with more than six members is on a 'fair and reasonable' basis with the method left to the trustee; a prescribed formula plus an annual actuarial certificate applies to funds of six or fewer members - Parliamentary Library Bills Digest No. 48, 2025-26, https://www.aph.gov.au/Parliamentary_Business/Bills_Legislation/bd/bd2526/26bd048  ·  SOURCED: ASFA proposes the 'fair and reasonable' approach 'be tested and governed in a similar way to how the current tax provision is attributed at the option level by each fund in the context of unit pricing and crediting rates. ASIC's Regulatory Guide 94 is relevant in this context', and notes Explanatory Statement Example 6 gives an attribution of 1.01 per cent with no working shown - ASFA submission, 7 April 2026, pp.2-3  ·  SOURCED (corrects an overstatement in the draft): ASFA states 'It will be open to individuals who receive a Division 296 assessment from the ATO to lodge an objection if they consider that the realised investment income reported by a fund is not correct', and recommends 'It should be the responsibility of the ATO to determine whether reporting by specific funds is fair and reasonable'. The trustee's number is an INPUT; the assessment and the member's statutory remedy sit with the Commissioner.  ·  SOURCED: SPG 530 para 9 - APRA expects the investment governance framework to consider member equity risk 'with a view to all beneficiaries being dealt with fairly' - https://www.apra.gov.au/system/files/2023-07/Prudential%20Practice%20Guide%20SPG%20530%20Investment%20Governance%20Integrated%20version%20-%20clean.pdf  ·  CREATED (own arithmetic, illustrative, assumes a 6% earnings rate and the $3m threshold): taxed proportion = (TSB - $3m) / TSB. At $3.2m: earnings $192,000, proportion 6.25%, taxable earnings $12,000, tax at 15% = $1,800. At $4m: $240,000, 25%, $60,000, = $9,000. At $10m: $600,000, 70%, $420,000, = $63,000. This is APRA's own derivation, not a Treasury or ATO figure, and it should be labelled as such in the brief.  ·  CREATED (sizing inference APRA can own): APRA's own data shows 305,000 accounts in the $1,000,000+ bracket with an average balance of $1.45m, implying a steeply decaying right tail. Set against Treasury's superseded-design estimate of 31,800 affected individuals across APRA-regulated funds and exempt public sector schemes, this suggests a typical large licensee has in-scope members in the hundreds, not thousands. Use it to calibrate supervisory intensity, and state it as an inference.  ·  INFERRED CHAIN: (1) Division 296 fund earnings is a whole-of-fund figure derived from the fund's income tax return; (2) a member's entitlement is a unit price struck on market value net of a deferred tax provision; (3) the two are built on different bases at different granularity and cannot be reconciled; (4) therefore attribution is an estimate produced by trustee judgement; (5) a judgement that drives an identified member's assessment is a member-equity question under SPG 530 para 9 and the s52(2) covenants.  ·  GAP: the operative attribution text in F2026L00726 and its Explanatory Statement could not be read directly (the Federal Register serves documents through a JavaScript front end). The 'more than six members' boundary and the principles wording come from the Bills Digest, ASFA and practitioner commentary. Also unmeasured: the actual dispersion between two lawful methods.</w:t>
      </w:r>
    </w:p>
    <w:p>
      <w:pPr>
        <w:spacing w:after="60" w:before="200" w:line="264"/>
      </w:pPr>
      <w:r>
        <w:rPr>
          <w:rFonts w:ascii="Arial" w:cs="Arial" w:eastAsia="Arial" w:hAnsi="Arial"/>
          <w:b/>
          <w:bCs/>
          <w:color w:val="012169"/>
          <w:sz w:val="19"/>
          <w:szCs w:val="19"/>
        </w:rPr>
        <w:t xml:space="preserve">P4. </w:t>
      </w:r>
      <w:r>
        <w:rPr>
          <w:rFonts w:ascii="Arial" w:cs="Arial" w:eastAsia="Arial" w:hAnsi="Arial"/>
          <w:b/>
          <w:bCs/>
          <w:color w:val="012169"/>
          <w:sz w:val="19"/>
          <w:szCs w:val="19"/>
        </w:rPr>
        <w:t xml:space="preserve">Three separate blind spots on the same process: no auditor assurance, no APRA reporting standard, and no breach-notification trigger</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largest new calculation these funds will ever perform sits outside all three of APRA's normal ways of finding out something has gone wrong. The fund auditor's assurance covers data reported under APRA's reporting standards and compliance with superannuation law; this calculation is reported to the Tax Office under tax law, so it falls outside both. There is no APRA reporting form that collects anything about it. And the duty to tell APRA about a significant breach is tied to breaches of superannuation licensing law, which this is not - so a late, incomplete or materially wrong report to the Tax Office is not by itself something the fund must tell APRA about. It becomes reportable only indirectly, if it shows the fund's compliance arrangements are inadequate or a member loses money. The practical result is that APRA is likely to hear about a systemic failure late, or from the Tax Office.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An assurance gap on a high-consequence, member-specific calculation is the pattern that precedes a large remediation. Three independent blind spots layered on the same process is worse than any one of them. The fix is the cheapest recommendation available in this pack: APRA can state its notification expectation in a letter, with no instrument change and without waiting for a reporting standard amendment that cannot deliver in time. APRA did exactly this for another measure commencing the same day.</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APRA's own supervisory capability; members, who bear the consequence of a failure that surfaces late.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in the recommended letter to RSE licensees that APRA expects to be notified of material Division 296 calculation, attribution or reporting failures, using the same framing APRA used for Payday Super on 25 March 2026. Separately, form a view on whether SPS 310 should be extended to bring the Division 296 calculation within RSE auditor assurance; the proportionate first step is to ask what voluntary assurance licensees have obtained. Where a licensee is materially exposed and cannot evidence readiness, the escalation ladder should be stated rather than implied: engagement, board attestation of readiness, a special-purpose auditor or actuary report, an ad hoc data notice under the collection-of-data legislation, and licence conditions.</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s29JA (significant breach notification, in writing within 30 days); SPS 310 Audit and Related Matters paras 8, 10, 12, 24, 26 and Attachments A and B; Financial Sector (Collection of Data) Act 2001 (power to require data from named entities by written notice, without making a reporting standard); CPS 230 paras 24, 44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 Division 296 failure occurs and APRA learns of it late, indirectly, or from the ATO rather than from the licensee, in FY2028-29) = 3.  ·  SOURCED: SIS Act s29JA requires an RSE licensee to notify APRA where it has breached or will breach a licence condition and the breach is significant, with significance assessed by reference to inadequacies in arrangements to comply with the RSE licensee law and Chapter 2M of the Corporations Act, in writing within 30 days.  ·  SOURCED: Division 296 obligations arise under the Income Tax Assessment Act 1997 and the Taxation Administration Act 1953. The enacting Act does not use the term 'RSE licensee' at all; it uses 'superannuation provider' (Treasury Laws Amendment (Building a Stronger and Fairer Super System) Act 2026).  ·  SOURCED: SPS 310 Attachment A covers data reported under APRA reporting standards; Attachment B covers specified legislative compliance. Division 296 reporting falls within neither.  ·  SOURCED (precedent): APRA's 'Payday Super Readiness' letter to all RSE licensees, 25 March 2026, states that significant breaches of the new requirements 'would necessitate a breach notification to APRA' - https://www.apra.gov.au/news-and-publications/payday-super-readiness-0  ·  INFERRED CHAIN: the reasoning P3 applies to auditor assurance (tax law, not SIS or an APRA standard) applies identically to breach notification; therefore a Division 296 failure is notifiable only derivatively, and APRA's information pathway is indirect.</w:t>
      </w:r>
    </w:p>
    <w:p>
      <w:pPr>
        <w:spacing w:after="60" w:before="200" w:line="264"/>
      </w:pPr>
      <w:r>
        <w:rPr>
          <w:rFonts w:ascii="Arial" w:cs="Arial" w:eastAsia="Arial" w:hAnsi="Arial"/>
          <w:b/>
          <w:bCs/>
          <w:color w:val="012169"/>
          <w:sz w:val="19"/>
          <w:szCs w:val="19"/>
        </w:rPr>
        <w:t xml:space="preserve">P5. </w:t>
      </w:r>
      <w:r>
        <w:rPr>
          <w:rFonts w:ascii="Arial" w:cs="Arial" w:eastAsia="Arial" w:hAnsi="Arial"/>
          <w:b/>
          <w:bCs/>
          <w:color w:val="012169"/>
          <w:sz w:val="19"/>
          <w:szCs w:val="19"/>
        </w:rPr>
        <w:t xml:space="preserve">Removing the tax on paper gains did not close the valuation file - the 30 June unit price still decides who is caught and how much</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earlier 2023 version of this tax would have taxed increases in the value of assets that had not been sold. That is gone, and any argument built on forced sales to pay tax on paper gains is obsolete. But valuation still matters twice over: a member's balance at 30 June decides whether they are over the threshold at all, and the same balance sets what share of the fund's earnings is taxed. That balance comes from the unit price, which comes from how the fund values assets that are not traded on a market. The direction most people assume - that funds might hold valuations down to keep wealthy members under the line - is the less likely one, because it requires misconduct and it damages every other member's exit price. The more likely and more awkward direction is upward: a routine revaluation at 30 June pushes members over the line or raises their taxed share, entirely innocently, and the fund has to answer the complaint. APRA has already published findings that only eleven of twenty-three large trustees had a dedicated valuation committee, that some committees included people whose pay may depend on the valuation outcome, and that some assets go unvalued for several quarters.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 conflict is smaller than under the old design but sharper in character: it now touches a small, wealthy, individually identifiable group and produces a personal tax consequence, not only a unit-pricing one. The reputational exposure runs to APRA as much as to trustees, because APRA published adverse findings on this exact control in December 2024 and knew the measure commenced 1 July 2026. Supervisors should not treat the removal of unrealised-gains taxation as closing the valuation governance question.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Funds with material unlisted allocations - industry funds at roughly 20-22% of investments and public sector funds at roughly 19-23%, retail at roughly 5-7%; platform trustees through externally managed exposures. Remaining members bear the equity consequence of stale or conflicted valuations.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plainly, internally and to industry, that the shift to a realised-earnings base reduces but does not remove the valuation conflict and redirects it onto a small identifiable cohort. Use the SRS 553.0 out-of-cycle valuation series, which began reporting for the December 2025 quarter, as a clean pre-commencement baseline against which to detect changes in revaluation behaviour around 30 June 2027. Reinforce SPS 530 para 40 expectations on conflicted valuation committee membership at the licensees identified in the December 2024 thematic. Confirm, in a letter or FAQ, that Division 296 is a 'change in Government policy settings' trigger for more frequent valuations under SPG 530 para 110. Expect upward-revaluation complaints, not only allegations of suppression.</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39-41 (valuation governance framework; policy covering frequency, methodologies, interim valuation circumstances at 40(f) and triggers at 40(g)); SPG 530 paras 9, 109, 110, 114; SRS 553.0 Investment Exposure Concentrations and Valuations / SRF 553.3 Out Of Cycle Valuations; Joint APRA-ASIC unit pricing good practice guidance; ASIC RG 94</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valuation decision at 30 June 2027 produces a member complaint, a media allegation or an APRA finding connecting valuation governance to Division 296 outcomes, by FY2029) = 3.  ·  SOURCED: the enacted design 'explicitly removes the taxation of unrealised gains, switching instead to a realised-earnings base' - Bills Digest No. 48, 2025-26. Arguments built on paper gains, forced realisation, unusable paper losses and unindexed bracket creep are all answered by the enacted design and should not be carried into the meeting.  ·  SOURCED: APRA thematic review, 17 December 2024 - only 11 of 23 licensees had a dedicated valuation committee; committee members included 'individuals whose remuneration may be dependent on the outcome of the valuation process'; 'some assets may not be revalued for multiple quarters at a time' - https://www.apra.gov.au/governance-of-unlisted-asset-valuation-and-liquidity-risk-management-superannuation-december-2024  ·  SOURCED: SPG 530 para 110 lists 'changes in Government policy settings' among triggers for more frequent valuations; para 114 requires protocols for reviewing interim valuations for unit pricing purposes.  ·  SOURCED: SRS 553.0 first reporting period is the December 2025 quarter - one cycle before Division 296 commenced - https://www.apra.gov.au/system/files/2024-12/Reporting%20Standard%20SRS%20553.0%20Investment%20Exposure%20Concentrations%20and%20Valuations_clean.pdf  ·  INFERRED CHAIN: total superannuation balance at 30 June determines both eligibility and the taxed proportion; for an accumulation interest that balance is a function of the unit price, which is a function of unlisted asset valuations; therefore 30 June valuations remain tax-determinative for in-scope members even though unrealised gains are not taxed.</w:t>
      </w:r>
    </w:p>
    <w:p>
      <w:pPr>
        <w:spacing w:after="60" w:before="200" w:line="264"/>
      </w:pPr>
      <w:r>
        <w:rPr>
          <w:rFonts w:ascii="Arial" w:cs="Arial" w:eastAsia="Arial" w:hAnsi="Arial"/>
          <w:b/>
          <w:bCs/>
          <w:color w:val="012169"/>
          <w:sz w:val="19"/>
          <w:szCs w:val="19"/>
        </w:rPr>
        <w:t xml:space="preserve">P6. </w:t>
      </w:r>
      <w:r>
        <w:rPr>
          <w:rFonts w:ascii="Arial" w:cs="Arial" w:eastAsia="Arial" w:hAnsi="Arial"/>
          <w:b/>
          <w:bCs/>
          <w:color w:val="012169"/>
          <w:sz w:val="19"/>
          <w:szCs w:val="19"/>
        </w:rPr>
        <w:t xml:space="preserve">APRA cannot see the affected population, and the obvious remedy - Tax Office data - may not be lawful without amendment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tax applies above three million dollars and again above ten million. The highest balance band APRA collects and publishes is 'one million and above'. So APRA cannot count members above three million, cannot see where they are concentrated, and cannot size a fund's exposure. A deeper problem sits behind that: the threshold is measured across everything a person holds, in every fund including a self-managed one. APRA's collections are per fund and per account, so more balance bands would still not produce that view. Only the Tax Office holds it. But the obvious fix - a standing data feed from the Tax Office - runs into taxpayer secrecy law, and nobody has checked whether it is permitted. There is also a quieter gap: APRA collects nothing at all about the Division 296 process itself - not how many in-scope members a fund reports, not which method it uses, not how many release notices it received. Balance bands tell APRA who is exposed; a single process question would tell APRA who is ready.</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Without this, every APRA statement about the measure's effect on regulated funds is an estimate rather than an observation, and APRA cannot challenge a licensee that says it has very few affected members. It is also the main reputational risk in a CEO-level conversation: APRA should not promise to monitor a population it structurally cannot see. The honest framing is that APRA can monitor large-account behaviour in APRA-regulated funds, not the affected population.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APRA's own supervisory capability; indirectly every licensee whose exposure cannot be sized or benchmarked; Ministers and committees who will ask APRA questions it cannot currently answer.</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Decide now, not in 2027, whether to add balance brackets at $2m, $3m, $5m and $10m to SRS 611.0 - a cheap change to an existing quarterly collection, but one needing its own consultation, and it will not deliver before the first assessments issue. Test two things the draft analysis assumed away: whether fund-level counts in a $10m+ bracket can be published at all given re-identification constraints, and whether a single process question (in-scope member count, attribution method, release authorities received) would be more useful than more brackets. For anything urgent, use the ad hoc written-notice power to named licensees rather than amending the newly commenced SRS 551.0. Before recommending an ATO data exchange, establish whether taxation secrecy permits it and whether the existing memorandum of understanding covers it; if not, the ask is a legislated disclosure exception, not an administrative arrangement. Note the forum point: the Council of Financial Regulators has four members and the ATO is not one of them; the grouping that includes the ATO is CFR Plus.</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standard-amendment</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SRS 611.0 Member Accounts; SRF 611.0 Instructions Table 1 Column 3 (Members Benefit Bracket Type); SRS 551.0 Liquidity; SRF 551.1 Tables 1 and 2; SRS 553.0 Investment Exposure Concentrations and Valuations; Financial Sector (Collection of Data) Act 2001 (ad hoc notice power; confidentiality determinations for publication); Taxation Administration Act 1953 Sch 1 Div 355 (taxation secrecy) and the APRA-ATO memorandum of understanding; Superannuation Data Transformation programme (closed to new collections)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P(APRA is asked a Division 296 exposure question by a Minister, a committee or the Council of Financial Regulators during 2027-28 and cannot answer it from its own data) = 3.  ·  SOURCED: SRF 611.0 Instructions Table 1 Column 3 valid values top out at '$1,000,000+' - https://www.apra.gov.au/sites/default/files/2021-10/Reporting%20Standard%20SRS%20611.0%20Member%20Accounts%20-%20marked%20up.pdf  ·  SOURCED: at 31 March 2026 there were 305,000 member accounts (1.28%) in the $1,000,000+ bracket holding $441,461m of $3,206,214m total members' benefits (13.8%), average balance $1.45m - APRA Quarterly Superannuation Industry Publication, March 2026, Table 8.  ·  SOURCED: SRF 551.1 Table 1 requires only Actual Net Cash Flows, Estimated Stressed Net Cash Flows and Number Of Days Covered - no decomposition by driver, so a release authority payment, a Division 296-motivated rollover and an ordinary retirement lump sum are indistinguishable - https://www.apra.gov.au/system/files/2024-12/Reporting%20Standard%20SRS%20551.0%20Liquidity_clean.pdf  ·  SOURCED: the Council of Financial Regulators comprises APRA, ASIC, Treasury and the RBA - https://www.cfr.gov.au/about/member-agencies.html . The ATO participates in the broader CFR Plus grouping.  ·  INFERRED CHAIN: SRS 611.0 requires reporting separately for each RSE and is keyed on member account, not person; therefore a member with $1.8m in each of two APRA funds appears twice below $2m and never as a $3.6m total balance. More brackets improve large-account visibility but cannot produce the threshold view.  ·  GAP: could not obtain SRS 710.0 Conditions of Release or SRS 610.1 Changes in Membership Profile; check whether either decomposes outflows by reason before concluding no collection does. Also unverified: whether Division 355 permits the ATO to give APRA aggregated by-fund Division 296 data.  ·  GAP: the absence of APRA-published material on Division 296 is based on search, not an exhaustive internal index; confirm internally before relying on it.</w:t>
      </w:r>
    </w:p>
    <w:p>
      <w:pPr>
        <w:spacing w:after="60" w:before="200" w:line="264"/>
      </w:pPr>
      <w:r>
        <w:rPr>
          <w:rFonts w:ascii="Arial" w:cs="Arial" w:eastAsia="Arial" w:hAnsi="Arial"/>
          <w:b/>
          <w:bCs/>
          <w:color w:val="012169"/>
          <w:sz w:val="19"/>
          <w:szCs w:val="19"/>
        </w:rPr>
        <w:t xml:space="preserve">P7. </w:t>
      </w:r>
      <w:r>
        <w:rPr>
          <w:rFonts w:ascii="Arial" w:cs="Arial" w:eastAsia="Arial" w:hAnsi="Arial"/>
          <w:b/>
          <w:bCs/>
          <w:color w:val="012169"/>
          <w:sz w:val="19"/>
          <w:szCs w:val="19"/>
        </w:rPr>
        <w:t xml:space="preserve">Two major changes commence on the same day, in the same systems, at the same providers - and Division 296 is the one that will get deprioritised</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Payday Super also commenced on 1 July 2026. It requires funds to receive and allocate contributions, or return them, within three business days, delivered through a new data standard that started the same day. In March 2026 APRA wrote to all trustees warning that many were not on track. Both changes land on the same administration platforms, the same data pipelines and the same limited pool of administrator change capacity, in the same year. Payday Super has the earlier, louder and more visible deadline. Division 296 is the one with no published guidance, no external assurance and a four-year tail during which errors can be reopened. When capacity is short, that is the one that slips.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change management risk at industry scale, and it is the reason a readiness question asked in FY2027 is worth asking. It also supplies the two things the Division 296 case otherwise lacks: a precedent, because the Payday Super letter is exactly the intervention proposed here and is only four months old, and an argument, because APRA has already acted on one measure commencing 1 July 2026.</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concentrated at the shared administrators identified through the material service provider registers.</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exposed licensees, and their major administrators, for a single view of the FY2027 change portfolio showing how Payday Super and Division 296 are sequenced and resourced, and what gives way if capacity is short. Use the 25 March 2026 Payday Super letter as the template for a Division 296 equivalent - it removes the 'is this APRA's business?' objection, supplies drafting, and makes the Division 296 letter a consistency step rather than a new initiative.</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CPS 230 para 24 (change management risk); paras 35, 36(c), 38, 44; CPS 230 Part 4 (service provider management); SPS 220 paras 15, 18, 32; APRA letter 'Payday Super Readiness', 25 March 2026</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 implementation is materially deprioritised behind Payday Super at one or more major administrators, contributing to a first-year failure) = 3.  ·  SOURCED: APRA, 'Payday Super Readiness', 25 March 2026 - warns that many licensees were not on track to implement the Member Verification Request component of the new SuperStream standard, tells them to revisit implementation timelines, states that contribution processing should be treated as a CPS 230 critical operation, and states that significant breaches would necessitate a breach notification - https://www.apra.gov.au/news-and-publications/payday-super-readiness-0  ·  SOURCED: Payday Super commences 1 July 2026, the same day Division 296 commences.  ·  INFERRED: the two changes share platforms, pipelines and a finite pool of administrator change capacity; Payday Super carries the earlier and more visible deadline; therefore Division 296 is the more likely casualty of capacity constraints. Unquantified - state as an APRA analytical proposition.</w:t>
      </w:r>
    </w:p>
    <w:p>
      <w:pPr>
        <w:spacing w:after="60" w:before="200" w:line="264"/>
      </w:pPr>
      <w:r>
        <w:rPr>
          <w:rFonts w:ascii="Arial" w:cs="Arial" w:eastAsia="Arial" w:hAnsi="Arial"/>
          <w:b/>
          <w:bCs/>
          <w:color w:val="012169"/>
          <w:sz w:val="19"/>
          <w:szCs w:val="19"/>
        </w:rPr>
        <w:t xml:space="preserve">P8. </w:t>
      </w:r>
      <w:r>
        <w:rPr>
          <w:rFonts w:ascii="Arial" w:cs="Arial" w:eastAsia="Arial" w:hAnsi="Arial"/>
          <w:b/>
          <w:bCs/>
          <w:color w:val="012169"/>
          <w:sz w:val="19"/>
          <w:szCs w:val="19"/>
        </w:rPr>
        <w:t xml:space="preserve">The hardest attribution problems sit in platform, wrap and member-directed options - and that is where to look first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Where members pick their own investments - platforms, wraps and member-directed options - each member's assets are individually identifiable. That makes the split of income between members both more meaningful and more variable: the method actually changes the answer, and different funds will land in different places. In a large pooled option the method matters much less, because every lawful method must start from the same whole-of-fund earnings figure and stay broadly proportionate to balances. Those same platform and wrap trustees also hold the highest share of very large member accounts. APRA has separately taken enforcement action against five platform trustees for investment governance failings, and its December 2024 review found weaknesses across a group of trustees that included platform and mid-sized businesses - that is useful background about general governance capacity, but it is not evidence about tax and member administration capability, which is a different function run by different teams.</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gives APRA a named, defensible shortlist without any new data, and it locates the member-equity exposure where it is real rather than asserting it across the whole industry. Concentration also runs the other way: a handful of funds hold most of the very large accounts, so a targeted review covers most of the exposure at low cost.</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Platform, wrap and master-trust retail trustees; closed public sector and corporate schemes with concentrated large accounts; their members. Large industry funds face a broad but shallow exposure.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Run a targeted Division 296 readiness review in FY2027 covering platform and wrap trustees and the licensees with the highest concentration of very large accounts, folded into existing remediation engagement rather than launched as a new programme. Reason it on the attribution difficulty in member-directed options, and cite the December 2024 thematic only as indicative evidence of general governance capacity, flagged as such. For small licensees with high-balance-skewed membership, ask whether sustained outflow from that cohort features in the CPS 190 trigger framework - losing a few hundred large accounts is a scale event for them and not for a mega-fund.</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31-38 (comprehensive investment stress testing programme at para 31; liquidity management plan at para 36) and paras 39-41 (valuation governance); SPG 530 paras 9, 79, 92, 109-110, 114; CPS 190 Recovery and Exit Planning paras 7, 8(b), 8(d); SPS 515 paras 23-28 (business performance review, cohorts)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materially divergent or unsupportable attribution method is found at one or more platform or member-directed licensees on review by FY2028) = 3.  ·  SOURCED (corrected figure): APRA's 17 December 2024 review covered 23 in-scope RSE licensees holding $2,018bn and 18.7m member accounts, about 80% of system assets; 12 of those 23 'require material improvement in either or both their valuation governance or liquidity risk frameworks. APRA regards these findings as concerning'; the liquidity subgroup of eight represents about 27% of funds under management and 5.4m member accounts. The $2,018bn and 18.7m figures describe the REVIEW SCOPE, not the 12. - https://www.apra.gov.au/governance-of-unlisted-asset-valuation-and-liquidity-risk-management-superannuation-december-2024  ·  SOURCED: APRA Chair, June 2026 Senate opening statement - enforcement action against five trustees for investment governance failings; licence conditions on Diversa Trustees, Fiducian, Equity Trustees and HTFS; a court enforceable undertaking from Netwealth - https://www.apra.gov.au/news-and-publications/opening-statement-senate-economics-legislation-committee-june-2026  ·  INFERRED (from APRA Quarterly Superannuation Fund Statistics, March 2026, Table 3): share of accounts at $1,000,000+ by fund type - corporate 4.86%, public sector 1.70%, retail 1.63%, industry 0.89%. Platform and wrap concentrations include Macquarie Superannuation Plan 8.17%, Avanteos 7.37%, ASGARD Independence Plan Division Two 6.57%, Netwealth 5.89%, HUB24 4.77%. Largest absolute holders: Australian Retirement Trust 37,570; AustralianSuper 35,590; UniSuper 28,050.  ·  CAVEAT: the Commonwealth scheme figures in the same table (including CSS at 23.58% of accounts above $1m) cannot be relied on until the data-integrity question in P11 is resolved with Commonwealth Superannuation Corporation. Do not use CSS as a headline number.  ·  CAVEAT: the $1,000,000+ bracket is a proxy at one third of the threshold; its relationship to the $3m population has not been validated.  ·  CORRECTED REASONING: the December 2024 findings concern unlisted asset valuation governance and liquidity risk frameworks, and the enforcement actions concern investment governance. Neither is evidence about tax and member administration capability. The cohort is right; the reason is attribution difficulty in member-directed options, not bootstrapped unreadiness.</w:t>
      </w:r>
    </w:p>
    <w:p>
      <w:pPr>
        <w:spacing w:after="60" w:before="200" w:line="264"/>
      </w:pPr>
      <w:r>
        <w:rPr>
          <w:rFonts w:ascii="Arial" w:cs="Arial" w:eastAsia="Arial" w:hAnsi="Arial"/>
          <w:b/>
          <w:bCs/>
          <w:color w:val="012169"/>
          <w:sz w:val="19"/>
          <w:szCs w:val="19"/>
        </w:rPr>
        <w:t xml:space="preserve">P9. </w:t>
      </w:r>
      <w:r>
        <w:rPr>
          <w:rFonts w:ascii="Arial" w:cs="Arial" w:eastAsia="Arial" w:hAnsi="Arial"/>
          <w:b/>
          <w:bCs/>
          <w:color w:val="012169"/>
          <w:sz w:val="19"/>
          <w:szCs w:val="19"/>
        </w:rPr>
        <w:t xml:space="preserve">A new statutory duty attaches to a debt account that must survive mergers, transfers and administrator changes for decades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For members whose tax is deferred - principally defined benefit members - the Tax Office keeps a running debt account and collects when the benefit is finally paid. That creates a new, concrete duty on the fund: when the end benefit becomes payable, it must tell the Tax Office the expected payment date within fourteen days, in the approved form, and correct any material change or omission within seven days. This is the clearest new obligation the law places on a fund, and it is not a one-off. The record that triggers it may have to survive thirty or forty years, a fund merger, a transfer to another fund and two or three changes of administrator. The provision carries an express note that a person who is dissatisfied may complain through the external complaints scheme - which cuts against the industry request that Division 296 trustee judgements sit outside that scheme.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long-duration data custody obligation with a short-fuse notification duty on the end of it, and it is the point where the register's operational and record-keeping themes meet the sector's consolidation agenda. APRA actively encourages fund mergers; an unresolved transfer protocol for debt account and Division 296 data puts two APRA objectives in tension. The express complaints note is also useful ammunition: it indicates Parliament contemplated member recourse against the provider, which is directly relevant to how APRA reads the industry's carve-out request.</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Defined benefit and hybrid licensees, and any fund receiving members through a transfer; members and estates, whose benefit payment can be delayed or mis-reported decades after the liability arose.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defined benefit and hybrid licensees to demonstrate how a Division 296 debt account record and its end benefit notification trigger will survive a merger, a successor fund transfer and an administrator change, and how the 14-day and 7-day clocks are controlled. Where a licensee is planning a successor fund transfer spanning the 30 June 2027 measurement date, ask specifically how member-level Division 296 and debt account data will transfer. Press the ATO to settle the transfer protocol before the FY2027 merger season. Note internally that the express complaints note in s 134-140 weighs against carving trustee Division 296 judgements out of external dispute resolution.</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Taxation Administration Act 1953 Sch 1 s 134-140 (notice of expected end benefit payment date, 14 days, approved form; express note as to AFCA complaints); Taxation Administration Act 1953 Sch 1 s 134-145 (correction of material change or omission within 7 days); SPS 515 paras 30, 36-44 (transfer preparation and successor fund transfers); CPS 230 paras 24, 35, 36(c), 38 and Part 4 (service provider management); CPS 234 Information Security (record retention through third parties); SPS 160 Defined Benefit Matters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debt account or end benefit notification obligation is lost or missed through a merger, transfer or administrator change, producing member detriment or a Tax Office issue, over the next five years) = 3.  ·  SOURCED: Taxation Administration Act 1953 Sch 1 s 134-140 - where the Commissioner keeps a Division 296 debt account and the end benefit becomes payable, the superannuation provider must notify the Commissioner of the expected payment date within 14 days in the approved form; the section carries an express note that a dissatisfied person may complain under the AFCA scheme. s 134-145 requires a material change or omission to be corrected within 7 days.  ·  SOURCED: Subdivision 296-A of the ITAA 1997 contains only s 296-5, an objects clause, and imposes no obligation on anyone (Compiled ITAA 1997, Compilation No. 266, 1 July 2026). The operative duty on funds is in the Taxation Administration Act, not in Division 296 itself.  ·  SOURCED: the successor fund transfer protocol 'needs to be updated to accommodate the reporting of Div 296 tax information by funds involved in an SFT or intra fund transfer' - ATO Superannuation Administration Group key messages, 17 June 2025. CAVEAT: predates the redesign and the enacted regulations.  ·  SOURCED: ATO - Division 296 amounts for defined benefit interests not in retirement phase are deferred to a debt account and become payable when benefits are first paid - https://www.ato.gov.au/individuals-and-families/super-for-individuals-and-families/super/growing-and-keeping-track-of-your-super/caps-limits-and-tax-on-super-contributions/division-296-tax/paying-division-296-tax  ·  INFERRED: a deferred liability tracked to the end of a defined benefit member's life will in many cases outlive the fund's current administrator, and in some cases the fund itself; therefore the notification duty is only as reliable as the data migration discipline behind it.</w:t>
      </w:r>
    </w:p>
    <w:p>
      <w:pPr>
        <w:spacing w:after="60" w:before="200" w:line="264"/>
      </w:pPr>
      <w:r>
        <w:rPr>
          <w:rFonts w:ascii="Arial" w:cs="Arial" w:eastAsia="Arial" w:hAnsi="Arial"/>
          <w:b/>
          <w:bCs/>
          <w:color w:val="012169"/>
          <w:sz w:val="19"/>
          <w:szCs w:val="19"/>
        </w:rPr>
        <w:t xml:space="preserve">P10. </w:t>
      </w:r>
      <w:r>
        <w:rPr>
          <w:rFonts w:ascii="Arial" w:cs="Arial" w:eastAsia="Arial" w:hAnsi="Arial"/>
          <w:b/>
          <w:bCs/>
          <w:color w:val="012169"/>
          <w:sz w:val="19"/>
          <w:szCs w:val="19"/>
        </w:rPr>
        <w:t xml:space="preserve">Defined benefit funds must build an annual actuarial valuation capability they have never had, from a very small pool of providers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For a defined benefit member there is no pot of money to look at, so an actuary has to estimate what the promised pension is worth. The tax looks at how much that estimate rose over the year, cut by about seventeen and a half per cent. Funds have only ever done this estimate one member at a time, by hand, when a couple divorced. Now they must do it for every member, every year, and they face the shorter response window when the Tax Office asks. A small number of consulting actuarial firms will do this for essentially every defined benefit scheme in the country, on the same timetable - a concentration in its own right. For small corporate schemes with a handful of members, the annual cost may simply not be economic, which is a plausible trigger for winding up. One thing to be clear about: defined benefit members are measured on the movement in value, not on income actually received, so they are on a different basis from everyone else. That is Parliament's choice, not the trustee's, and a trustee does not breach its duty of fairness by applying the law - but it will have to explain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a genuinely new operational and actuarial capability, concentrated in about ten public sector licensees plus a small number of corporate schemes, delivered by a handful of external providers on a tight clock. It is an operational and viability question, not an equity failing. There is no near-term call on fund solvency, because the tax on a defined benefit interest is deferred to a debt account, so SPS 160's shortfall and restoration machinery is unaffected.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Approximately ten public sector RSE licensees carrying about 78% of defined benefit contributions, UniSuper, and small corporate defined benefit plans; defined benefit pensioners already in payment, who can neither defer nor commute and must fund the liability from elsewhere.</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De-prioritise defined benefit funds for liquidity purposes and prioritise them for operational readiness. Engage directly with the public sector licensees, UniSuper and residual corporate defined benefit funds. Treat the actuarial provider as a material service provider question, not a legacy outsourcing question: a handful of firms will perform every scheme's annual valuation on the same short clock. Identify small defined benefit plans for which the annual valuation cost is not economic and expect a considered response - a decision to wind up and transfer, taken deliberately and with member outcomes assessed - rather than drift. Do not frame the accumulation/defined benefit differential as a trustee equity failing; treat it as a member communication obligation.</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160 Defined Benefit Matters paras 8-14, 29, 31-35, 39-40; Income Tax Assessment (1997 Act) Amendment Regulations 2026 (F2026L00726) Sch 2 and Sch 4; CPS 230 Part 4 (service provider management) - note this replaced SPS 231 Outsourcing from 1 July 2025; SPS 220 Risk Management; SPS 515 paras 30, 36-44 (transfer preparation)</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P(one or more defined benefit licensees cannot deliver a compliant annual member-level actuarial valuation within the response window in the first cycle, or a small scheme is driven to wind-up by the cost) = 3.  ·  SOURCED: defined benefit earnings are the movement between closing and opening actuarial value adjusted for contributions and withdrawals, multiplied by a prescribed reduction factor of 0.825 - Grant Thornton client alert on the draft regulations, https://www.grantthornton.com.au/insights/client-alerts/what-do-the-division-296-draft-tax-regulations-tell-us/ . CAVEAT: written against the draft; confirm against F2026L00726.  ·  SOURCED: ASFA - family law valuations are 'largely manual and only done when there is a family law split request'; operationalising them fund-wide 'is likely a new process'; for small corporate plans 'it may not be economically feasible to create an automated process' - ASFA submission, 7 April 2026, pp.5-9  ·  SOURCED: Actuaries Institute welcomes the redesign including 'a single set of unisex pensioner mortality rates based on male rates' and states the Regulations 'have in general struck an appropriate balance' - Actuaries Institute submission, 7 April 2026, pp.1-2. NOT SETTLED: ASFA's 7 April 2026 submission still contains a live section headed 'Use of only male valuation factors'. Do not tell the CEO the gender-equity question is closed; confirm the position adopted in the made regulations.  ·  SOURCED: public sector funds accounted for $16,224m of $20,700m defined benefit contributions (78.4%) in the year to March 2026 - APRA Quarterly Superannuation Performance Statistics, March 2026.  ·  SOURCED: Treasury Impact Analysis (January 2024) - approximately 10,000 members with defined benefit interests affected; 144 defined benefit scheme products required to change valuation methodology, costed at $12,877,200. CAVEAT: struck under the superseded change-in-balance design on 2022-vintage data, before the realised-earnings switch and threshold indexation; the best available Commonwealth estimate, not a current official number.  ·  INFERRED: exposure draft explanatory materials indicate the debt-account deferral is unavailable once an end benefit has become payable and that voluntary payments cannot come from the defined benefit interest; a pensioner in payment can therefore neither defer nor commute.  ·  GAP: APRA's fund-level balance-bracket data for the largest Commonwealth schemes looks like a reporting artefact - PSS and MilitarySuper report fewer than 20 accounts above $1m despite average balances of about $585,000 and $546,000, with 70-83% of accounts in a single bracket. Put this to Commonwealth Superannuation Corporation before relying on any Commonwealth scheme figure, including CSS.</w:t>
      </w:r>
    </w:p>
    <w:p>
      <w:pPr>
        <w:spacing w:after="60" w:before="200" w:line="264"/>
      </w:pPr>
      <w:r>
        <w:rPr>
          <w:rFonts w:ascii="Arial" w:cs="Arial" w:eastAsia="Arial" w:hAnsi="Arial"/>
          <w:b/>
          <w:bCs/>
          <w:color w:val="012169"/>
          <w:sz w:val="19"/>
          <w:szCs w:val="19"/>
        </w:rPr>
        <w:t xml:space="preserve">P11. </w:t>
      </w:r>
      <w:r>
        <w:rPr>
          <w:rFonts w:ascii="Arial" w:cs="Arial" w:eastAsia="Arial" w:hAnsi="Arial"/>
          <w:b/>
          <w:bCs/>
          <w:color w:val="012169"/>
          <w:sz w:val="19"/>
          <w:szCs w:val="19"/>
        </w:rPr>
        <w:t xml:space="preserve">Before the operational questions: can the fund's own trust deed do this, and who pays when it goes wrong?</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Two legal questions sit underneath everything else and neither has been asked. First, when the Tax Office directs the fund to release money to pay a member's tax bill, does the fund's own governing document actually permit the trustee to debit that member's interest and pay it out? Deeds were written before this tax existed. If a deed does not permit it, the fund needs a deed amendment before the first release notices arrive. The same question applies to recovering the cost of building the new system from members. Second, if a trustee gets the split wrong and a member suffers a tax detriment or a penalty, can the trustee reimburse itself out of the fund - that is, out of other members' money? Superannuation law limits when a trustee may be indemnified, particularly for penalties. If it can, the cost of a mistake made about a handful of very wealthy members is paid by everyone else. If it cannot, the trustee company's own capital is exposed to a liability it has never carried before.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These are threshold questions: if the answer to the first is no for a meaningful number of funds, an industry-wide deed amendment programme is needed before the first release notices, and nobody is running one. The second question is the sharper version of the cross-subsidy point, and it is the question the operational risk financial requirement analysis quietly assumes away - that reserve is itself members' money.</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All RSE licensees receiving release authorities; the trustee company's own capital; unaffected members, if the cost of errors made about affected members falls on the fund.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exposed licensees to confirm they have obtained advice that their governing rules permit both debiting a member's interest to satisfy a Division 296 release authority and recovering the build and run cost in the manner they propose, and to state the remediation timetable where they do not. Separately, ask for the licensee's legal position on whether a Division 296 error producing member detriment or a penalty may be met from fund assets, from the operational risk financial requirement, or must be met from the trustee's own resources - and to reflect that answer in the FY2027 target amount. Where a trustee's answer is that fund assets would bear the cost, that is a member-equity question worth putting on the record.</w:t>
      </w:r>
      <w:r>
        <w:rPr>
          <w:rFonts w:ascii="Arial" w:cs="Arial" w:eastAsia="Arial" w:hAnsi="Arial"/>
          <w:b/>
          <w:bCs/>
          <w:color w:val="E87722"/>
          <w:sz w:val="13"/>
          <w:szCs w:val="13"/>
          <w:vertAlign w:val="superscript"/>
        </w:rPr>
        <w:t xml:space="preserve"> [C]</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ss 56 and 57 (limits on trustee indemnification out of fund assets, including for penalties); RSE governing rules / trust deeds; SPS 114 Operational Risk Financial Requirement paras 8-12, 15-20; SPS 515 paras 13, 17-18 (fee-setting and expenditure decisions); SIS Act s52(2)(c) best financial interests duty; Taxation Administration Act 1953 Sch 1 (release authority obligations)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licensee finds its governing rules inadequate to give effect to a Division 296 release authority, or a Division 296 error is met from fund assets in a way that raises a member-equity question, by FY2029) = 3.  ·  SOURCED: for existing release authority types, the ATO cashing order 'permits release of preserved benefits as the third priority after unrestricted and restricted non-preserved benefits' - ATO release authorities guidance for APRA-regulated funds. The equivalent Division 296 position is not yet published.  ·  SOURCED: SIS Act ss 56 and 57 restrict trustee indemnification from fund assets, including in respect of penalties.  ·  INFERRED: a release authority compels payment of preserved money outside the ordinary conditions of release; whether the trustee's own governing rules authorise that debit is a trust-law question that no prudential standard, and no Commonwealth instrument, answers for a given fund. It must be answered fund by fund, before the first notices arrive.  ·  INFERRED: the operational risk financial requirement exists to absorb losses to beneficiaries from operational risk, and is funded from fund assets; applying it to compensate an individual's personal tax detriment therefore transfers cost from affected to unaffected members. Whether that is permissible is a legal question the register cannot answer and should not assume.  ·  CREATED: no source was found addressing deed capacity for Division 296 release authorities. This is an original proposition for the meeting, offered as a question to be settled, not as a finding.</w:t>
      </w:r>
    </w:p>
    <w:p>
      <w:pPr>
        <w:spacing w:after="60" w:before="200" w:line="264"/>
      </w:pPr>
      <w:r>
        <w:rPr>
          <w:rFonts w:ascii="Arial" w:cs="Arial" w:eastAsia="Arial" w:hAnsi="Arial"/>
          <w:b/>
          <w:bCs/>
          <w:color w:val="012169"/>
          <w:sz w:val="19"/>
          <w:szCs w:val="19"/>
        </w:rPr>
        <w:t xml:space="preserve">P13. </w:t>
      </w:r>
      <w:r>
        <w:rPr>
          <w:rFonts w:ascii="Arial" w:cs="Arial" w:eastAsia="Arial" w:hAnsi="Arial"/>
          <w:b/>
          <w:bCs/>
          <w:color w:val="012169"/>
          <w:sz w:val="19"/>
          <w:szCs w:val="19"/>
        </w:rPr>
        <w:t xml:space="preserve">The Act also rewrites how every member's total balance is measured, and defined benefit members can lose the ability to contribute because of it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A second part of the Act changes how a person's total super is measured, and gives each separate pot of super its own value. That total is used for far more than this tax: it decides whether someone can put more money in, whether they can use unused contribution room from earlier years, and whether they qualify for government contributions. The change mainly affects defined benefit members, and the great majority of them will never pay this tax. Their measured balance can move because the measuring method changed, not because anything happened to their money. The concrete harm is easy to state: a member sees a lower reported balance, makes an extra contribution or a bring-forward election in reliance on it, and receives an excess contributions assessment. The fund is the entity that reports the number and the entity the member will ask.</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the element most likely to be missed at executive level, because the whole debate is framed around a small high-balance cohort. It affects a far larger population, it is a disclosure and member-communication exposure that falls on trustees to explain, and the failure mode produces real financial detriment to ordinary members. The remedy - a reliable, well-explained published figure - largely sits with the Tax Office, which is why it is not graded higher.</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Defined benefit members generally, including the great majority who will never be subject to the tax; the defined benefit licensees who must explain it; members who incur an excess contributions assessment.</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Expect defined benefit licensees to have a member communication plan for a reported balance that moves for methodology reasons rather than economic ones, and to warn members not to rely on a moving figure for contribution decisions without checking the Tax Office's published figure. Support ASFA's proposal that the Tax Office figure on myGov be the authoritative and readily accessible number for defined benefit members, with a clear statement that it is not a family law split value. Flag to ASIC. No APRA instrument change is warranted.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3/5 · Action: new-or-updated-guidance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Treasury Laws Amendment (Building a Stronger and Fairer Super System) Act 2026, Schedule 2 (total superannuation balance definition and per-interest value); Income Tax Assessment (1997 Act) Regulations 2021, reg 307-230A series (per ASFA); SPS 515 member outcomes and disclosure practice; ASIC disclosure obligations; SIS Act s52(2) covenants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P(defined benefit members make contribution decisions in reliance on a methodology-shifted balance and incur excess contributions assessments or comparable detriment, in FY2027-FY2029) = 3.  ·  SOURCED: the Act 'amends rules for calculating an individual's total superannuation balance (TSB) and introduces the concept of a TSB value for each of the individual's superannuation interests' - Federal Register table of contents for C2026A00008, Schedule 2.  ·  SOURCED: ASFA - 'There are no significant proposed changes to the TSB calculation reporting for accumulation fund members ... the proposed changes to calculating TSB will largely impact defined benefit members'; members crossing the threshold 'would see their TSB value change due to methodology shifts rather than actual earnings, which could mislead members and affect financial decision-making'; downstream uses listed are carry-forward concessional contributions, non-concessional contribution eligibility and bring-forward, government co-contribution and spouse contribution tax offset - ASFA submission, 7 April 2026, pp.5-6, 10-13.  ·  SOURCED: ASFA proposes the TSB published by the ATO on myGov be the reliable and readily accessible figure for defined benefit members, with disclaimers.  ·  GAP: ASFA's reference to a '$1.5 million threshold' does not map to a standard contribution threshold and could not be reconciled. Do not repeat the figure until it is verified.</w:t>
      </w:r>
    </w:p>
    <w:p>
      <w:pPr>
        <w:spacing w:after="60" w:before="200" w:line="264"/>
      </w:pPr>
      <w:r>
        <w:rPr>
          <w:rFonts w:ascii="Arial" w:cs="Arial" w:eastAsia="Arial" w:hAnsi="Arial"/>
          <w:b/>
          <w:bCs/>
          <w:color w:val="012169"/>
          <w:sz w:val="19"/>
          <w:szCs w:val="19"/>
        </w:rPr>
        <w:t xml:space="preserve">P14. </w:t>
      </w:r>
      <w:r>
        <w:rPr>
          <w:rFonts w:ascii="Arial" w:cs="Arial" w:eastAsia="Arial" w:hAnsi="Arial"/>
          <w:b/>
          <w:bCs/>
          <w:color w:val="012169"/>
          <w:sz w:val="19"/>
          <w:szCs w:val="19"/>
        </w:rPr>
        <w:t xml:space="preserve">Members will ask their fund where they stand, and the fund cannot answer without a conflict</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No single fund can tell a member whether this tax will catch them, because the threshold is measured across all of a person's super, including any self-managed fund. Only the Tax Office holds that view, and taxpayer confidentiality law is why the fund cannot be given it. But members will ask, and any answer risks being wrong. There is a sharper problem behind that. Because the first year turns on the balance at 30 June 2027, a fund that helpfully prompts its largest members about the deadline is prompting them to take money out of the fund - against its own revenue - and may be doing so with advice paid for collectively by members who receive nothing. A fund that says nothing leaves its largest members unserved and pushes them toward advisers who will recommend a self-managed fund. Every posture is exposed. Meanwhile the main industry body has asked that the trustee's 'fair and reasonable' split be put outside the reach of the external complaints scheme. Even if that were granted, members would keep their right to object to the Tax Office assessment - the question is whether that is a real remedy when the disputed judgement was made by someone else.</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is where a conduct failure is most likely to actually materialise, because it involves a fund talking to identified wealthy members about a dated decision under a direct conflict. It is joint APRA-ASIC territory rather than APRA's alone, which is why proximity is scored low. It also exposes a real impossibility under the retirement income covenant: the trustee must gather the information needed to formulate its strategy, and the decisive variable sits with the Tax Office.</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Members above the thresholds, roughly two thirds of whom are in retirement phase and 85% of whom are over 60; trustees' complaint-handling and advice functions; funds that are the convenient liquid account in a member's portfolio.</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Route the external-dispute question to ASIC with an APRA member-outcomes view attached rather than owning it, and establish where it landed in the final regulations. Tell licensees that member communications must not describe this as a tax on 'what you earned' - the base includes grossed-up franking credits and gross foreign income, so a member can owe tax on amounts the fund never received in cash, and it draws in retirement-phase earnings that are exempt to the fund. Expect any targeted prompt to high-balance members about the 30 June 2027 deadline to be governed under the conflicts framework, with the conflict, the funding source for any advice, and the member's alternatives documented. Make Division 296 a named question in retirement income strategy reviews from FY2028. Frame the data ask correctly: giving trustees a member's whole-of-system balance requires a legislated disclosure exception, not an administrative arrangement, because taxpayer confidentiality is the obstacle.</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3/5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SIS Act s52(8A) and s52AA retirement income covenant; SPS 515 para 8A; SPS 521 Conflicts of Interest; SPS 515 paras 24-28 (member cohorts); SPG 515; SPG 516; AFCA scheme jurisdiction (Corporations Act scheme approval and AFCA Rules); ASIC RG 271 internal dispute resolution; Taxation Administration Act 1953 Sch 1 Div 355 (taxpayer confidentiality); Delivering Better Financial Outcomes reforms (scope of collectively charged advice; targeted prompts)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conduct, disclosure or conflicted-advice issue arises from fund communications to high-balance members about the 30 June 2027 deadline, or from answering member queries, by FY2029) = 3.  ·  SOURCED: ASFA recommends 'the Regulations make it clear that fair and reasonable estimates of realised investment income by funds ... are outside of the scope of matters subject to AFCA review' and that 'Funds should not be subject to dealing with disputes directly with members on an allocation made on a fair and reasonable basis' - ASFA submission, 7 April 2026, pp.4-5. ASFA also states members may object to the ATO assessment, so an AFCA carve-out would remove one route, not all recourse.  ·  SOURCED: Taxation Administration Act 1953 Sch 1 s 134-140 carries an express note that a dissatisfied person may complain under the AFCA scheme - which cuts against the carve-out request (see P9).  ·  SOURCED: the taxable base includes grossed-up franking credits and gross foreign income, and foreign tax offsets do not reduce Division 296 fund earnings; net exempt current pension income is added back - Explanatory Memorandum paras 1.66-1.70 via Bills Digest No. 48; Heffron commentary.  ·  SOURCED: Treasury Impact Analysis (January 2024) - about 65% of affected individuals are in retirement phase; ASFA analysis of ATO unit-record data - 85% aged over 60, 46% over 70.  ·  INFERRED CHAIN: each fund reports only its own attributed earnings and balances and only the ATO aggregates; therefore no trustee can tell a member whether the report matters, yet members will ask and any answer is a potential misleading-conduct exposure. Separately, the member elects which fund receives the release authority, so outflow can land on a fund that generated none of the taxed earnings.  ·  INFERRED: the equity question inside a single fund that a trustee ACTUALLY controls is not the defined benefit differential (which is legislated) but the treatment of retirement-phase members under the exempt-income add-back, where the chosen attribution method determines how the burden falls between pension and accumulation members with identical balances.  ·  GAP: whether the final regulations addressed the AFCA question or a materiality threshold could not be confirmed; this requires reading F2026L00726 and its Explanatory Statement.</w:t>
      </w:r>
    </w:p>
    <w:p>
      <w:pPr>
        <w:spacing w:after="60" w:before="200" w:line="264"/>
      </w:pPr>
      <w:r>
        <w:rPr>
          <w:rFonts w:ascii="Arial" w:cs="Arial" w:eastAsia="Arial" w:hAnsi="Arial"/>
          <w:b/>
          <w:bCs/>
          <w:color w:val="012169"/>
          <w:sz w:val="19"/>
          <w:szCs w:val="19"/>
        </w:rPr>
        <w:t xml:space="preserve">P12. </w:t>
      </w:r>
      <w:r>
        <w:rPr>
          <w:rFonts w:ascii="Arial" w:cs="Arial" w:eastAsia="Arial" w:hAnsi="Arial"/>
          <w:b/>
          <w:bCs/>
          <w:color w:val="012169"/>
          <w:sz w:val="19"/>
          <w:szCs w:val="19"/>
        </w:rPr>
        <w:t xml:space="preserve">Building this for a fraction of one per cent of members feeds a legislated pass/fail test that APRA itself administers</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Even a fund with several million members may have fewer than about 1,500 members caught by this tax, yet it must build and run the whole capability. In dollars per member the cost is small - even on a generous assumption it is of the order of a dollar or two per member per year. The point is not the size of the cost; it is where it lands. If it is recovered through a flat administration fee, it feeds into the annual performance test, which compares a product's administration fees against the median for its category and combines that with investment performance. Fail by more than half a per cent two years running and the fund cannot take new members into that product. Because the benchmark is a median, the effect is uneven: a fund with a small affected population relative to its total membership carries the same fixed build cost over a smaller fee base. There is a perverse edge to this that is worth saying out loud - the test rewards absorbing, capitalising or quietly burying the cost over recovering it transparently from the members who generate it.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This converts a governance observation into a dated consequence in a regime APRA operates. It is also the kind of second-order effect that is obvious in hindsight and invisible at the time. FY2028 fee-setting is not yet locked in, so raising it now costs nothing.</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Members not affected by the tax, if the cost is recovered through flat fees; the licensee's board, which must justify the expenditure and fee decisions; products close to the performance test fee median.</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Ask licensees, before FY2028 fee-setting is locked in, how Division 296 build and run costs are being recovered and from whom, and to demonstrate under SPS 515 paras 17-18 the purpose, funding source and monitoring metrics for that expenditure - including whether they have modelled the effect on their FY2027 and FY2028 administration fee metric, and whether recovering from affected members only is both more defensible under the best financial interests duty and better for the metric. Consider updating SPG 516 to name high-balance members as an expected cohort in the annual business performance review. This is a low-materiality issue with a genuinely high-value, low-cost action, and saying so plainly builds credibility.</w:t>
      </w:r>
      <w:r>
        <w:rPr>
          <w:rFonts w:ascii="Arial" w:cs="Arial" w:eastAsia="Arial" w:hAnsi="Arial"/>
          <w:b/>
          <w:bCs/>
          <w:color w:val="0072CE"/>
          <w:sz w:val="13"/>
          <w:szCs w:val="13"/>
          <w:vertAlign w:val="superscript"/>
        </w:rPr>
        <w:t xml:space="preserve"> [I]</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2/5 · APRA proximity 4/5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Annual superannuation performance test (administration fee metric combined with investment performance; two consecutive failures close the product to new members); SPS 515 paras 13, 17-18 (prudent and transparent fees; demonstrable purpose and funding source for expenditure); SPS 515 paras 24-28 and SPG 516 (business performance review, member cohorts); SIS Act s52(2)(c) best financial interests duty</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 cost recovery materially affects a product's performance test outcome, or produces a best-financial-interests finding, by FY2029) = 2.  ·  SOURCED: Treasury fact sheet, 13 October 2025 - the measure 'will affect less than 0.5 per cent of Australians with superannuation accounts in 2026-27'; the higher tier 'less than 0.1 per cent' - https://treasury.gov.au/publication/p2025-709385-btsc  ·  SOURCED: ASFA - 'Even for large funds with several million members, there may be 1,500 or fewer members' in scope; cost-effective administration is 'of paramount importance ... to avoid imposing a cost burden ... indirectly ... borne by fund members ... not affected' - ASFA submission, 7 April 2026, pp.1-2  ·  SOURCED: Treasury Impact Analysis (January 2024) rejected member-level calculation partly because 'This significant compliance costs would be borne across all 22.5 million member accounts in large APRA-regulated funds, not just the 0.5 per cent of account holders with a TSB exceeding $3 million'. Its only published ongoing costing for the chosen design is $1,421,858 a year across the sector, on an assumption of 'an additional half hour of work each for reporting on each affected member'.  ·  SOURCED: SPG 516 - 'Separate cohorts may also be established using membership characteristics that cut across superannuation products, for example cohorts based on balance size' - https://www.apra.gov.au/sites/default/files/Prudential%20Practice%20Guide%20SPG%20516%20-%20Business%20Performance%20Review_0.pdf  ·  INFERRED: the half-hour-per-member assumption was struck before the redesign moved the calculation from the ATO to funds, so the only published cost estimate almost certainly understates the enacted measure. Even at ten times that figure, roughly $14m a year across about 22.5m accounts is about 60 cents per account per year - which is why the materiality of the cost itself is low and the performance test transmission is the real point.  ·  CREATED: the observation that a median-benchmarked fee test creates an incentive to absorb or capitalise the cost rather than recover it transparently is an original analytical proposition for this meeting.</w:t>
      </w:r>
    </w:p>
    <w:p>
      <w:pPr>
        <w:spacing w:after="60" w:before="200" w:line="264"/>
      </w:pPr>
      <w:r>
        <w:rPr>
          <w:rFonts w:ascii="Arial" w:cs="Arial" w:eastAsia="Arial" w:hAnsi="Arial"/>
          <w:b/>
          <w:bCs/>
          <w:color w:val="012169"/>
          <w:sz w:val="19"/>
          <w:szCs w:val="19"/>
        </w:rPr>
        <w:t xml:space="preserve">P15. </w:t>
      </w:r>
      <w:r>
        <w:rPr>
          <w:rFonts w:ascii="Arial" w:cs="Arial" w:eastAsia="Arial" w:hAnsi="Arial"/>
          <w:b/>
          <w:bCs/>
          <w:color w:val="012169"/>
          <w:sz w:val="19"/>
          <w:szCs w:val="19"/>
        </w:rPr>
        <w:t xml:space="preserve">APRA has an open channel to Treasury and the Tax Office, and a window to put a prudential view into the remaining design work</w:t>
      </w:r>
      <w:r>
        <w:rPr>
          <w:rFonts w:ascii="Arial" w:cs="Arial" w:eastAsia="Arial" w:hAnsi="Arial"/>
          <w:b/>
          <w:bCs/>
          <w:color w:val="E87722"/>
          <w:sz w:val="15"/>
          <w:szCs w:val="15"/>
        </w:rPr>
        <w:t xml:space="preserve">   GRADE B</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The Government committed to further consultation on two things: how the fund's earnings are calculated, and how they are split between members. Both Treasury consultations have now closed, and that remaining work is progressing through a Tax Office co-design process with large funds, administrators and industry bodies, ahead of a public ruling. APRA engages with Treasury and the Tax Office bilaterally, so this is not a question of being shut out. It is a question of timing: once the ruling moves from draft to final, the method is effectively fixed, and the prudential consequences - how boards govern the judgement, how the operational load falls, how member equity is protected - are easier to shape before that than after. There is a practical detail worth knowing: the Council of Financial Regulators has four members and the Tax Office is not one of them. The grouping that includes the Tax Office is the broader CFR Plus arrangement.</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Decisions being taken now determine operational load, data flows and member-equity outcomes for entities APRA supervises. Contributing a prudential perspective while the ruling is being written is cheap; supervising after the fact against a method APRA had no input into is not. There is also a precedent argument: APRA has already published a readiness letter on the other measure commencing 1 July 2026, so a Division 296 equivalent is a consistency step.</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APRA as supervisor; RSE licensees who will receive a method designed without prudential input; members whose outcomes turn on it.</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Consider seeking a standing APRA place in the Tax Office's Division 296 co-design workstream, or a tripartite Treasury-Tax Office-APRA arrangement, before the Law Companion Ruling reaches draft, and put APRA's member-equity and operational-risk expectations into that process in writing. The highest-value single ask is a safe harbour: a default attribution method that a trustee adopting it is protected for. That is more useful than governance around an open-ended judgement, and industry would support it. Distinguish clearly between what APRA asks for in its own name - a seat, the transfer protocol, a current in-scope headcount, and a data arrangement - and prudential consequences APRA puts on the record for Treasury and the Tax Office to remedy, which should be stated as consequences for supervised entities without APRA advocating a preferred tax mechanic. In parallel, consider a short letter to RSE licensees so APRA's expectations are on the record before the first measurement year closes on 30 June 2027. Use CFR Plus, not the CFR, if the coordination question is escalated.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2/5 · Likelihood 2/5 · APRA proximity 5/5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Treasury commitment of 13 October 2025 to consult on calculation and attribution of realised earnings; ATO Superannuation Administration Group co-design workstream; Forthcoming ATO Law Companion Ruling on Division 296; CFR Plus (CFR agencies plus the ACCC, ATO, AUSTRAC and AFSA); APRA letters and guidance to RSE licensees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P(the Law Companion Ruling is finalised on terms APRA would have sought to influence, without a prudential contribution having been made) = 2. Scored low because APRA engages bilaterally with Treasury and the ATO and the co-design process is still running.  ·  SOURCED: Treasury fact sheet, 13 October 2025 - 'The government will consult the sector on the best approach to: calculate realised earnings and attribute to in-scope individuals' - https://treasury.gov.au/publication/p2025-709385-btsc  ·  SOURCED: as at 26 July 2026 Treasury's consultation register shows only two Division 296 items, both closed (exposure draft 19 December 2025 - 16 January 2026; draft regulations 17 March - 7 April 2026) - https://treasury.gov.au/consultation  ·  SOURCED: ATO Superannuation Administration Group key messages, 18 February 2026 (co-design sessions restarting for Division 296) and 20 May 2026 ('Additional public advice and guidance products will be developed and formally consulted on once the regulations have been finalised').  ·  SOURCED: the Council of Financial Regulators comprises APRA, ASIC, Treasury and the RBA - https://www.cfr.gov.au/about/member-agencies.html . CFR Plus adds the ACCC, ATO, AUSTRAC and AFSA and published a joint regulatory reform implementation plan in May 2026.  ·  SOURCED: 83 submissions were received on the exposure draft in a 28-day window over Christmas and New Year; the Bill passed both Houses without amendment on 10 March 2026, was never referred to a Senate legislation committee, and received Assent on 13 March 2026 - Bills Digest No. 48, 2025-26.  ·  GAP: the published membership page for the Superannuation Administration Group does not list APRA, but a published membership page is not evidence of who attends a specific workstream and says nothing about bilateral engagement. Confirm internally with Policy and the Superannuation Division what engagement has occurred since October 2025 before raising this.</w:t>
      </w:r>
    </w:p>
    <w:p>
      <w:pPr>
        <w:spacing w:after="60" w:before="200" w:line="264"/>
      </w:pPr>
      <w:r>
        <w:rPr>
          <w:rFonts w:ascii="Arial" w:cs="Arial" w:eastAsia="Arial" w:hAnsi="Arial"/>
          <w:b/>
          <w:bCs/>
          <w:color w:val="012169"/>
          <w:sz w:val="19"/>
          <w:szCs w:val="19"/>
        </w:rPr>
        <w:t xml:space="preserve">P16. </w:t>
      </w:r>
      <w:r>
        <w:rPr>
          <w:rFonts w:ascii="Arial" w:cs="Arial" w:eastAsia="Arial" w:hAnsi="Arial"/>
          <w:b/>
          <w:bCs/>
          <w:color w:val="012169"/>
          <w:sz w:val="19"/>
          <w:szCs w:val="19"/>
        </w:rPr>
        <w:t xml:space="preserve">Perimeter: the capital gains reset favours SMALL funds - which includes some APRA-regulated ones - and the migration trend predates the tax</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Small funds can make a one-off election to reset the tax cost of all their assets to market value at 30 June 2026, permanently removing gains built up before the tax started. Large funds get only a temporary discount that phases out. The important correction is that 'small' does not mean 'self-managed'. Small APRA funds - funds with no more than six members, trusteed by professional trustees APRA supervises - sit on the same side of the line. So a member can obtain the reset without leaving APRA's perimeter, and the design asymmetry is about fund size, not about who regulates the fund. The same six-member line means some of APRA's own licensees will attribute earnings by a completely different legal mechanism - a prescribed formula plus a compulsory annual actuarial certificate for every fund, every year, which is a real recurring cost for very small funds. On migration: net rollovers out of APRA-regulated funds into self-managed funds reached $12.2 billion in the year to March 2026, up 54 per cent. Whether this tax caused any of that is not established, and the largest single quarter was September 2025 - before the October 2025 redesign was announced.</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The members most able to leave are the ones whose departure most erodes scale, and their fee contribution is disproportionate to their headcount where a percentage fee is capped. But this is squarely a Treasury design decision, not an APRA lever, and the causal story is not made out - which is why it is graded C. There is also a channel the analysis has missed entirely: a member can reduce their measured total by buying a lifetime income stream, and those are life company products that APRA also regulates. Part of what looks like a loss of perimeter is a transfer into another part of APRA's own house that has not been consulted.</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Platform, wrap and master-trust licensees most directly; small APRA funds and their professional trustees; the APRA-regulated sector through scale erosion; remaining members through the cost base left behind.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Do not assert causation, and do not describe the reset as an SMSF-only benefit. Put to Treasury that the size-based asymmetry disadvantages large APRA-regulated funds and platform and wrap licensees in particular, and support the request that funds with more than six members be permitted a bulk 30 June 2026 cost-base declaration for member-directed investment options. Monitor FY2026-27 rollover data as an observation, not an attribution. Add three things the analysis has been missing: brief APRA's life insurance supervision that some of this money may arrive in lifetime income streams and investment bonds; note that small APRA funds - APRA's own licensees - face the prescribed-formula and annual actuarial certificate regime, with a recurring cost on a fund type already declining sharply; and monitor contributions, not only outflows, since the rational response for this cohort includes ceasing voluntary and salary-sacrifice contributions, which is more immediate and more measurable than migration and is visible in existing APRA collections.</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2/5 · Action: no-change-monitor</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(Transitional Provisions) Act 1997, Division 296 transitional cost base reset (small funds) and prescribed factor method (large funds and pooled superannuation trusts); Income Tax Assessment (1997 Act) Amendment Regulations 2026 (F2026L00726) Sch 1; SRS 551.0 / SRS 611.0 (inability to decompose outflows); APRA-ATO data-sharing arrangements (subject to the secrecy question in P6); Life insurance prudential framework (lifetime income streams and investment bonds)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Division 296-attributable outflow of high-balance members from APRA-regulated funds that is material to a licensee's scale, and identifiable as such, by FY2029) = 3.  ·  SOURCED (with correction): Tax Institute, quoted in Bills Digest No. 48 at p.8 - 'SMSFs can opt in to adjust the cost base of all fund assets to their market value as at 30 June 2026 ... while large APRA funds are required to adjust their actual realised capital gains for the first four years (factor method).' CORRECTION: the legislated boundary is fund size - small funds, which include small APRA funds as well as SMSFs - not SMSF status. Pooled superannuation trusts are excluded alongside large funds. Verify the exact wording in the Income Tax (Transitional Provisions) Act 1997 before the meeting.  ·  SOURCED: ASFA asks that funds with more than six members be permitted 'to make a bulk declaration to cover all members in its member directed investment options in regard to adopting 30 June 2026 cost base' - ASFA submission, 7 April 2026, pp.3-4.  ·  SOURCED: net rollovers from APRA-regulated funds to SMSFs, year ended March 2026, -$12,184m versus -$7,922m a year earlier (+53.8%); the largest quarter was September 2025 at -$3,656m - APRA Quarterly Superannuation Performance Statistics to March 2026, Table 1a. NOTE: that quarter precedes the 13 October 2025 redesign announcement, which cuts against a Division 296 explanation.  ·  SOURCED: 4.7% of SMSF members had SMSF balances above $3m in 2023-24 (approximately 53,300 people), up from 3.1% five years earlier - ATO SMSF statistical overview 2023-24, Tables 1 and 25.  ·  SOURCED: small APRA funds are APRA-regulated funds with no more than six members; there were 673 at June 2025, down about 1,000 on the prior year.  ·  CAVEAT: the strongest available SMSF establishment data (Padua WealthData, June 2026) does not mention Division 296 and attributes growth to demand for direct control and lower online establishment costs, with new funds skewing to ages 35-44 - which cuts against a Division 296 explanation.  ·  INFERRED: a member can reduce total superannuation balance by acquiring a lifetime or other non-account-based income stream, valued by a special method that Schedule 2 of the Act alters; those products are issued by APRA-regulated life companies, as are investment bonds. Behavioural scale not established - record as a monitoring item, not a finding.  ·  CAVEAT: exempt public sector superannuation schemes are included in Treasury's 31,800 estimate but are not APRA-regulated; they are covered by a Heads of Government agreement under which states apply SIS-equivalent rules. The principal population estimate therefore silently includes a cohort outside APRA's perimeter.</w:t>
      </w:r>
    </w:p>
    <w:p>
      <w:pPr>
        <w:spacing w:after="60" w:before="200" w:line="264"/>
      </w:pPr>
      <w:r>
        <w:rPr>
          <w:rFonts w:ascii="Arial" w:cs="Arial" w:eastAsia="Arial" w:hAnsi="Arial"/>
          <w:b/>
          <w:bCs/>
          <w:color w:val="012169"/>
          <w:sz w:val="19"/>
          <w:szCs w:val="19"/>
        </w:rPr>
        <w:t xml:space="preserve">P17. </w:t>
      </w:r>
      <w:r>
        <w:rPr>
          <w:rFonts w:ascii="Arial" w:cs="Arial" w:eastAsia="Arial" w:hAnsi="Arial"/>
          <w:b/>
          <w:bCs/>
          <w:color w:val="012169"/>
          <w:sz w:val="19"/>
          <w:szCs w:val="19"/>
        </w:rPr>
        <w:t xml:space="preserve">Post-death attribution is made law, not a draft - trustees must build to it, and it collides with the duty to pay death benefits promptly</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When a member dies, the trustee must pay the death benefit as soon as practicable. Under the rules as made, fund earnings continue to be attributed to the deceased member's account until the death benefit is fully paid, and the liability may only be assessed after the money has gone - potentially leaving an estate with a tax bill and nothing left in super to pay it from. There is also an odd distinction: if the member had a pension that automatically continues to a spouse, attribution stops; if not, it continues. Identical families get different outcomes because of a paperwork choice. Three technical bodies contested this at consultation and it survived into the final regulations unchanged. That matters for what APRA says: these are not draft rules. Consultation closed on 7 April 2026, the regulations were made on 11 June and registered on 18 June 2026, and they commenced on 1 July 2026. Trustees must build to them.</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Death benefits are already the most litigated area of superannuation. A trustee that pays promptly may strand a liability with an estate; a trustee that holds back to protect the estate risks breaching the cashing rule. There is no clean answer and executors will press trustees on both sides. It also injects a tax consideration into trustee discretion and into the advice members receive about death benefit nominations. It is graded C because the remedy is Treasury's, not APRA's, and the population is small.</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Funds with large numbers of high-balance retirees; estates and legal personal representatives; beneficiaries, including in second-marriage fact patterns where estate and superannuation beneficiaries differ.</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Do NOT advise licensees to hold off building - the rule is made and operative, and telling supervised entities not to implement operative law would be wrong and potentially harmful. Instead, ask exposed licensees how they will reconcile continued post-death attribution with the obligation to cash death benefits as soon as practicable, and expect the tension to appear in complaints and in death benefit payment timeliness metrics. Separately, put the prudential consequence on the record with Treasury: post-death attribution conflicts with the cashing obligation, and the reversionary versus non-reversionary distinction rewards benefit design over substance. Confirm and communicate the final position, which is now determinable: no Division 296 liability arises in the year of death where death occurs on or before 30 June, with earnings then attributed to the undistributed interest until death benefits are fully paid.</w:t>
      </w:r>
      <w:r>
        <w:rPr>
          <w:rFonts w:ascii="Arial" w:cs="Arial" w:eastAsia="Arial" w:hAnsi="Arial"/>
          <w:b/>
          <w:bCs/>
          <w:color w:val="00806D"/>
          <w:sz w:val="13"/>
          <w:szCs w:val="13"/>
          <w:vertAlign w:val="superscript"/>
        </w:rPr>
        <w:t xml:space="preserve"> [S]</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3/5 · Likelihood 3/5 · APRA proximity 2/5 · Action: supervisory-practice</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Income Tax Assessment (1997 Act) Amendment Regulations 2026 (F2026L00726) Sch 1 (post-death attribution; 'death benefit income stream'); SIS Act and SIS Regulations cashing rules for death benefits (as soon as practicable); SPS 521 Conflicts of Interest; SPS 515 member outcomes; internal dispute resolution obligations</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P(a trustee faces a live conflict between the cashing obligation and post-death attribution that produces a complaint, a delayed payment or estate detriment, in FY2028-29) = 3.  ·  SOURCED: consultation on the draft regulations closed 7 April 2026; the regulations (F2026L00726) were made 11 June and registered 18 June 2026 - https://www.legislation.gov.au/F2026L00726/asmade . Practitioner coverage on release was headlined that there was no change to post-death earnings, and the final instrument introduced a new defined term, 'death benefit income stream'. The rule is operative, not draft.  ·  SOURCED: SMSF Association - the post-death approach 'was not articulated in our previous discussions with Treasury, the primary legislation, nor the previously released Additional guidance on proposed regulations paper' and 'represents a material expansion of the regime'; 'the liability arises only after the superannuation interest has been paid, but at that point there may no longer be any capacity to fund the liability from within the superannuation system' - submission, 7 April 2026, pp.1-3.  ·  SOURCED: draft Regulation 296-70.04(2)(b) stopped attribution at the earlier of all death benefits being paid or another person becoming a retirement-phase recipient; the SMSF Association warned this 'places trustees in a conflicted position' - same submission, pp.3-4.  ·  SOURCED: Tax Institute recommends 'Division 296 liabilities should cease on death' - submission, 16 April 2026.  ·  GAP: the exact operative wording in the made regulations has not been read directly. Verify before quoting regulation numbers.</w:t>
      </w:r>
    </w:p>
    <w:p>
      <w:pPr>
        <w:spacing w:after="60" w:before="200" w:line="264"/>
      </w:pPr>
      <w:r>
        <w:rPr>
          <w:rFonts w:ascii="Arial" w:cs="Arial" w:eastAsia="Arial" w:hAnsi="Arial"/>
          <w:b/>
          <w:bCs/>
          <w:color w:val="012169"/>
          <w:sz w:val="19"/>
          <w:szCs w:val="19"/>
        </w:rPr>
        <w:t xml:space="preserve">P18. </w:t>
      </w:r>
      <w:r>
        <w:rPr>
          <w:rFonts w:ascii="Arial" w:cs="Arial" w:eastAsia="Arial" w:hAnsi="Arial"/>
          <w:b/>
          <w:bCs/>
          <w:color w:val="012169"/>
          <w:sz w:val="19"/>
          <w:szCs w:val="19"/>
        </w:rPr>
        <w:t xml:space="preserve">This is not a system liquidity event - and here is the arithmetic that settles it</w:t>
      </w:r>
      <w:r>
        <w:rPr>
          <w:rFonts w:ascii="Arial" w:cs="Arial" w:eastAsia="Arial" w:hAnsi="Arial"/>
          <w:b/>
          <w:bCs/>
          <w:color w:val="A8891F"/>
          <w:sz w:val="15"/>
          <w:szCs w:val="15"/>
        </w:rPr>
        <w:t xml:space="preserve">   GRADE C</w:t>
      </w:r>
    </w:p>
    <w:p>
      <w:pPr>
        <w:spacing w:after="60" w:before="0" w:line="264"/>
      </w:pPr>
      <w:r>
        <w:rPr>
          <w:rFonts w:ascii="Arial" w:cs="Arial" w:eastAsia="Arial" w:hAnsi="Arial"/>
          <w:b/>
          <w:bCs/>
          <w:color w:val="00B398"/>
          <w:sz w:val="17"/>
          <w:szCs w:val="17"/>
        </w:rPr>
        <w:t xml:space="preserve">In plain terms.  </w:t>
      </w:r>
      <w:r>
        <w:rPr>
          <w:rFonts w:ascii="Arial" w:cs="Arial" w:eastAsia="Arial" w:hAnsi="Arial"/>
          <w:color w:val="1A1A1A"/>
          <w:sz w:val="17"/>
          <w:szCs w:val="17"/>
        </w:rPr>
        <w:t xml:space="preserve">It is tempting to frame this as a risk that funds will be forced to sell assets in a hurry. The numbers do not support it. On APRA's own derivation, the annual amount drawn out of APRA-regulated funds is of the order of one per cent of the lump sums these funds already pay every year, and about three per cent of a single peak month in APRA's own stress test. The behavioural story does not hold either. For the first year only, whether a member pays depends on their balance at 30 June 2027, so in principle there is a deadline to get under three million. But a member at $3.2 million owes roughly $1,800 - nobody restructures a retirement portfolio and crystallises capital gains to avoid that. A member at eight or ten million has a bill worth managing, but cannot get under three million by any means short of destroying their position. The cohort with the incentive cannot act, and the cohort that can act has almost no incentive. Both tails argue against a rush. There is one residual point that is not about cash at all: because the tax falls on income received and gains realised, and not on growth left untouched, it gently rewards holding low-income, low-turnover assets - which points the same way as the growth in unlisted and private market holdings APRA has already flagged as a system risk.</w:t>
      </w:r>
    </w:p>
    <w:p>
      <w:pPr>
        <w:spacing w:after="60" w:before="0" w:line="264"/>
      </w:pPr>
      <w:r>
        <w:rPr>
          <w:rFonts w:ascii="Arial" w:cs="Arial" w:eastAsia="Arial" w:hAnsi="Arial"/>
          <w:b/>
          <w:bCs/>
          <w:color w:val="00B398"/>
          <w:sz w:val="17"/>
          <w:szCs w:val="17"/>
        </w:rPr>
        <w:t xml:space="preserve">Why it matters.  </w:t>
      </w:r>
      <w:r>
        <w:rPr>
          <w:rFonts w:ascii="Arial" w:cs="Arial" w:eastAsia="Arial" w:hAnsi="Arial"/>
          <w:color w:val="1A1A1A"/>
          <w:sz w:val="17"/>
          <w:szCs w:val="17"/>
        </w:rPr>
        <w:t xml:space="preserve">Opening with a forced-sale narrative would repeat an argument the enacted law has already answered, and would cost credibility in the room. Stating the aggregate and behavioural position up front lets the meeting move to where the exposure actually is: operational, member-equity, third-party concentration and perimeter. The composition point is worth one paragraph because nobody else will raise it and it runs against, not with, APRA's stated system risk concern.</w:t>
      </w:r>
    </w:p>
    <w:p>
      <w:pPr>
        <w:spacing w:after="60" w:before="0" w:line="264"/>
      </w:pPr>
      <w:r>
        <w:rPr>
          <w:rFonts w:ascii="Arial" w:cs="Arial" w:eastAsia="Arial" w:hAnsi="Arial"/>
          <w:b/>
          <w:bCs/>
          <w:color w:val="00B398"/>
          <w:sz w:val="17"/>
          <w:szCs w:val="17"/>
        </w:rPr>
        <w:t xml:space="preserve">Who bears it.  </w:t>
      </w:r>
      <w:r>
        <w:rPr>
          <w:rFonts w:ascii="Arial" w:cs="Arial" w:eastAsia="Arial" w:hAnsi="Arial"/>
          <w:color w:val="1A1A1A"/>
          <w:sz w:val="17"/>
          <w:szCs w:val="17"/>
        </w:rPr>
        <w:t xml:space="preserve">Nobody, in aggregate. Specific illiquid investment options and individual funds with concentrated high-balance membership remain exposed on a dispersion basis, as the 2020 early release episode showed.</w:t>
      </w:r>
    </w:p>
    <w:p>
      <w:pPr>
        <w:spacing w:after="60" w:before="0" w:line="264"/>
      </w:pPr>
      <w:r>
        <w:rPr>
          <w:rFonts w:ascii="Arial" w:cs="Arial" w:eastAsia="Arial" w:hAnsi="Arial"/>
          <w:b/>
          <w:bCs/>
          <w:color w:val="00B398"/>
          <w:sz w:val="17"/>
          <w:szCs w:val="17"/>
        </w:rPr>
        <w:t xml:space="preserve">Recommended APRA position.  </w:t>
      </w:r>
      <w:r>
        <w:rPr>
          <w:rFonts w:ascii="Arial" w:cs="Arial" w:eastAsia="Arial" w:hAnsi="Arial"/>
          <w:color w:val="1A1A1A"/>
          <w:sz w:val="17"/>
          <w:szCs w:val="17"/>
        </w:rPr>
        <w:t xml:space="preserve">State the de minimis aggregate position explicitly at the top of the brief, with the caveat that it is APRA's own derivation from a superseded-design revenue estimate, and put the per-member arithmetic ($1,800 / $9,000 / $63,000) alongside it. Then say clearly that the exposure is operational, member-equity, third-party concentration and perimeter - not liquidity - with two named exceptions: individual illiquid investment options, and licensees with concentrated high-balance membership. Keep the cheap test: ask materially exposed licensees to produce the SPG 530 para 79(e) policy-driven scenario for Division 296 covering the June 2027 quarter, and to confirm the liquidity management plan treats it as a liquidity event with defined actions. That is a low-cost, high-signal test of whether the plan is live, and it does not require the issue to be graded high. Add a monitoring line on portfolio composition against the SRS 553.0 baseline. Do not carry any 2023-vintage argument about unrealised gains, forced realisation, unusable paper losses or unindexed bracket creep into the meeting - all four were answered by the enacted design.</w:t>
      </w:r>
      <w:r>
        <w:rPr>
          <w:rFonts w:ascii="Arial" w:cs="Arial" w:eastAsia="Arial" w:hAnsi="Arial"/>
          <w:b/>
          <w:bCs/>
          <w:color w:val="E87722"/>
          <w:sz w:val="13"/>
          <w:szCs w:val="13"/>
          <w:vertAlign w:val="superscript"/>
        </w:rPr>
        <w:t xml:space="preserve"> [C]</w:t>
      </w:r>
    </w:p>
    <w:p>
      <w:pPr>
        <w:spacing w:after="40" w:before="0" w:line="264"/>
      </w:pPr>
      <w:r>
        <w:rPr>
          <w:rFonts w:ascii="Arial" w:cs="Arial" w:eastAsia="Arial" w:hAnsi="Arial"/>
          <w:b/>
          <w:bCs/>
          <w:color w:val="898781"/>
          <w:sz w:val="15"/>
          <w:szCs w:val="15"/>
        </w:rPr>
        <w:t xml:space="preserve">Scoring.  </w:t>
      </w:r>
      <w:r>
        <w:rPr>
          <w:rFonts w:ascii="Arial" w:cs="Arial" w:eastAsia="Arial" w:hAnsi="Arial"/>
          <w:color w:val="898781"/>
          <w:sz w:val="15"/>
          <w:szCs w:val="15"/>
        </w:rPr>
        <w:t xml:space="preserve">Materiality 2/5 · Likelihood 2/5 · APRA proximity 3/5 · Action: no-change-monitor</w:t>
      </w:r>
    </w:p>
    <w:p>
      <w:pPr>
        <w:spacing w:after="40" w:before="0" w:line="264"/>
      </w:pPr>
      <w:r>
        <w:rPr>
          <w:rFonts w:ascii="Arial" w:cs="Arial" w:eastAsia="Arial" w:hAnsi="Arial"/>
          <w:b/>
          <w:bCs/>
          <w:color w:val="898781"/>
          <w:sz w:val="15"/>
          <w:szCs w:val="15"/>
        </w:rPr>
        <w:t xml:space="preserve">Instruments.  </w:t>
      </w:r>
      <w:r>
        <w:rPr>
          <w:rFonts w:ascii="Arial" w:cs="Arial" w:eastAsia="Arial" w:hAnsi="Arial"/>
          <w:color w:val="898781"/>
          <w:sz w:val="15"/>
          <w:szCs w:val="15"/>
        </w:rPr>
        <w:t xml:space="preserve">SPS 530 paras 31-38 (comprehensive investment stress testing programme at para 31; liquidity management plan and liquidity event at para 36); SPG 530 paras 79(a) and 79(e) (member-generated events; policy-driven events); SRS 553.0 (out-of-cycle valuation baseline from the December 2025 quarter); APRA System Risk Stress Test framework</w:t>
      </w:r>
    </w:p>
    <w:p>
      <w:pPr>
        <w:spacing w:after="60" w:before="0" w:line="264"/>
      </w:pPr>
      <w:r>
        <w:rPr>
          <w:rFonts w:ascii="Arial" w:cs="Arial" w:eastAsia="Arial" w:hAnsi="Arial"/>
          <w:b/>
          <w:bCs/>
          <w:color w:val="898781"/>
          <w:sz w:val="15"/>
          <w:szCs w:val="15"/>
        </w:rPr>
        <w:t xml:space="preserve">Evidence.  </w:t>
      </w:r>
      <w:r>
        <w:rPr>
          <w:rFonts w:ascii="Arial" w:cs="Arial" w:eastAsia="Arial" w:hAnsi="Arial"/>
          <w:color w:val="898781"/>
          <w:sz w:val="14"/>
          <w:szCs w:val="14"/>
        </w:rPr>
        <w:t xml:space="preserve">LIKELIHOOD PROPOSITION: P(Division 296-driven outflow produces a liquidity event at a material APRA-regulated fund in FY2027 or FY2028) = 2.  ·  CREATED (own derivation, clearly labelled): Treasury's superseded-design costing implies roughly $28,750 of average annual liability per affected individual ($2.3bn in 2027-28 across about 80,000 individuals); applying the 31,800-of-80,000 APRA-side share gives an indicative $0.9bn a year, and less in practice. Against APRA-regulated lump sums of $79.7bn and assets of $3,141.1bn (year to March 2026), that is about 1.1% of annual lump sums and about 0.03% of assets, and about 3% of a single $30bn peak month in APRA's stress test. All comparisons use the same $0.9bn numerator. (The draft's 'one fifteenth of a peak month' mixed the whole-system numerator with the APRA-side one and is wrong.)  ·  CREATED: the behavioural pricing above - $1,800 at $3.2m, $9,000 at $4m, $63,000 at $10m, on a 6% earnings assumption - is APRA's own arithmetic from the proportioning formula (TSB - $3m)/TSB. It is the single most useful number in the pack and should appear in the brief.  ·  SOURCED (calibration): APRA System Risk Stress Test, 30 June 2026 - 'aggregate monthly liquidity calls peaking at around $30 billion and cumulative demands totalling $174 billion, or just under 16 per cent of net assets'; peak monthly calls 'less than 7 per cent of available liquid assets'; funds 'largely avoided selling unlisted assets', meeting the shock primarily through listed equities; allocations to illiquid assets in MySuper options increased substantially - https://www.apra.gov.au/news-and-publications/system-risk-stress-test . (Do not say funds sold 'not a single unlisted asset'; the source does not say that.)  ·  SOURCED (calibration): COVID-19 early release paid about $36-38bn, roughly 2% of system funds under management, but 'some large funds processed over 5% of their FUM' and switching reached 8% at some funds - RBA Financial Stability Review, April 2021, Box C. Dispersion, not aggregate, is the lesson.  ·  SOURCED: for 2026-27 liability is determined solely by the balance at the end of that year; from 2027-28 the reference amount is the greater of the opening and closing balance - Explanatory Memorandum para 1.219 via Bills Digest No. 48; ATO guidance on how Division 296 tax is calculated.  ·  SOURCED: SPG 530 para 79(e) - 'policy driven events: a change in Government policy, for example, related to access to accrued member assets'.  ·  CAVEAT: the $2.3bn and 80,000 figures come from the January 2024 Impact Analysis for the superseded design. The verified primary fiscal figure under the enacted design is MYEFO 2025-26, which books the redesign plus the low income offset increase as a $3.8bn decrease in receipts and $475.8m increase in payments over four years.  ·  INFERRED (unquantified, APRA's own proposition): a realised-earnings base taxes distribution and disposal but not accrual, which is a deferral incentive favouring low-distribution, low-turnover, capital-growth assets over income-producing ones - the same direction as the private-market growth APRA has flagged as a system risk. There is an opposite-signed effect too: capital moving to SMSFs and direct holdings holds less unlisted infrastructure in aggregate than a large APRA-regulated fund does. Neither is measured; both belong in the brief as analytical propositions.</w:t>
      </w:r>
    </w:p>
    <w:p>
      <w:r>
        <w:br w:type="page"/>
      </w:r>
    </w:p>
    <w:p>
      <w:pPr>
        <w:pBdr>
          <w:bottom w:val="single" w:color="0072CE" w:sz="6" w:space="4"/>
        </w:pBdr>
        <w:spacing w:after="100" w:before="0"/>
      </w:pPr>
      <w:r>
        <w:rPr>
          <w:rFonts w:ascii="Arial" w:cs="Arial" w:eastAsia="Arial" w:hAnsi="Arial"/>
          <w:b/>
          <w:bCs/>
          <w:color w:val="012169"/>
          <w:sz w:val="22"/>
          <w:szCs w:val="22"/>
        </w:rPr>
        <w:t xml:space="preserve">Annex B — Prudential framework mapping</w:t>
      </w:r>
    </w:p>
    <w:p>
      <w:pPr>
        <w:spacing w:after="120" w:before="0" w:line="264"/>
      </w:pPr>
      <w:r>
        <w:rPr>
          <w:rFonts w:ascii="Arial" w:cs="Arial" w:eastAsia="Arial" w:hAnsi="Arial"/>
          <w:color w:val="52514E"/>
          <w:sz w:val="17"/>
          <w:szCs w:val="17"/>
        </w:rPr>
        <w:t xml:space="preserve">One row per instrument examined, including those needing no change — the absence of a required change is itself a finding.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700"/>
        <w:gridCol w:w="3106"/>
        <w:gridCol w:w="1300"/>
        <w:gridCol w:w="700"/>
      </w:tblGrid>
      <w:tr>
        <w:trPr>
          <w:tblHeader/>
        </w:trPr>
        <w:tc>
          <w:tcPr>
            <w:tcW w:type="dxa" w:w="21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Instrument</w:t>
            </w:r>
          </w:p>
        </w:tc>
        <w:tc>
          <w:tcPr>
            <w:tcW w:type="dxa" w:w="27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requires now</w:t>
            </w:r>
          </w:p>
        </w:tc>
        <w:tc>
          <w:tcPr>
            <w:tcW w:type="dxa" w:w="31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Division 296 stresses</w:t>
            </w:r>
          </w:p>
        </w:tc>
        <w:tc>
          <w:tcPr>
            <w:tcW w:type="dxa" w:w="1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Verdict</w:t>
            </w:r>
          </w:p>
        </w:tc>
        <w:tc>
          <w:tcPr>
            <w:tcW w:type="dxa" w:w="7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Conf.</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230 Operational Risk Management - critical operations limb (paras 24, 35, 36(c), 38, 44)</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Para 24 (VERIFIED verbatim): 'An APRA-regulated entity must manage its full range of operational risks, including but not limited to legal risk, regulatory risk, compliance risk, conduct risk, technology risk, data risk and change management risk.' Para 36(c) requires an RSE licensee to classify 'investment management and fund administration' as critical operations unless it can justify otherwise. Para 35 defines critical operations as processes undertaken by the entity 'or its service provider'. Para 38 requires tolerance levels for disruption time, data loss and minimum service levels. Para 44 requires severe-but-plausible scenario testing including 'disruptions to services provided by material service providers'. CORRECTION: the draft attributed the para 24 obligation to para 23; para 23 is senior management's duty to inform the Board.</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Division 296 calculation, the attribution of earnings to members, the report to the Commissioner and any release-authority payment are all performed within fund administration, which is already a default critical operation. The externally set clocks (10 business days for defined benefit and certain other interests; 28 calendar days for other APRA-regulated funds) are hard deadlines set by a third party and cluster in a single annual window, so the operational risk is correlated across the industry rather than idiosyncratic. Note that para 35 expressly extends critical operations to processes performed by a service provider.</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230 Operational Risk Management - service provider limb (paras 47-60, esp. 49, 50, 51, 59)</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from the in-force July 2025 standard. Para 47 requires a comprehensive service provider management policy. Para 49 requires the entity to 'identify and maintain a register of its material service providers', defined as 'those on which the entity relies to undertake a critical operation or that expose it to material operational risk'. Para 50 requires that, at a minimum, for an RSE licensee, providers of 'fund administration, custodial services, investment management and arrangements with promoters and financial planners' be classified as material service providers unless it can justify otherwise. Para 51: 'An APRA-regulated entity must submit its register of material service providers to APRA on an annual basis.' Paras 53-55 cover due diligence and formal agreements including APRA access rights; para 59 requires notification to APRA within 20 business days of entering or materially changing an agreement for a service supporting a critical operation. CORRECTION: the limb begins at para 47, not para 48 as the review assumed.</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This row was absent from the draft register and is the most consequential omission. The Division 296 calculation, attribution, reporting and release-authority payment will not be built independently by every licensee: they will be delivered largely by a small number of shared administrators, with custodians supplying the underlying income and realised-gain data, and external tax agents preparing the fund income tax return from which the fund earnings figure derives. Every one of those service types is a mandatory material service provider under para 50. Three consequences follow. First, a methodology defect or a build delay at one provider is a common-mode event affecting every client fund simultaneously, in the same annual window. Second, accountability is non-delegable: where an administrator computes the attribution, the licensee still owns the judgement, so a shared build means multiple boards adopting one vendor's method. Third, shared methodology cuts both ways - it produces consistency between funds sharing a provider and a step-change between blocs of funds using different ones. APRA does not need new data to map this: it already receives the material service provider register annually under para 51.</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530 Investment Governance - stress testing and liquidity (paras 30-31, 36(d), 36(e), 38)</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Para 30: 'An RSE licensee must have a comprehensive investment stress testing program that is approved by the Board and is integrated into an RSE licensee's investment governance framework.' Para 31 requires determination of appropriate adverse stress scenarios for the investment strategy of each option. Para 36 requires a Board-approved liquidity management plan for each RSE which, at 36(d), 'identifies the circumstances the RSE licensee considers to be a significantly adverse liquidity outcome that requires action (liquidity event)' and, at 36(e), 'outlines what action the RSE licensee will take when a liquidity event occurs'. Para 38 requires liquidity stress testing 'as part of the comprehensive investment stress testing program required in paragraph 31'. CORRECTION: the draft cited para 29 for the stress testing programme; para 29 concerns Board justification when amending an investment strategy. The standard's own cross-reference in para 38 points to para 31.</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transitional first-year measurement date of 30 June 2027 and, from the following year, recurring release-authority outflows are both capable of being a liquidity event within para 36(d). The hook is well matched and no amendment is needed. The supervisory question is narrower and cheaper than an instrument change: whether any licensee has in fact run the scenario. Aggregate outflow is very unlikely to be a system liquidity event; residual exposure is confined to specific illiquid investment options and to licensees with concentrated high-balance membership.</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530 Investment Governance - liquidity and policy-driven triggers (paras 79(a), 79(e), 92)</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verbatim. Para 79 lists liquidity stress factors a prudent RSE licensee would consider, including at 79(a) 'member generated events: changes in switching behaviour, redemptions and contributions' and at 79(e) 'policy driven events: a change in Government policy, for example, related to access to accrued member assets'. Para 92: APRA expects consideration of 'secondary risks associated with liquidity risk, including the impact of selling assets at stale prices, the impact on portfolio risk of an increasing proportion of illiquid assets and the cost of restoring the portfolio to the desired position.'</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is close to the scenario the guidance already names. APRA can ask for the para 79(e) scenario today without any new instrument. The December 2024 thematic found wide reliance on a single illiquid-exposure trigger and limited monitoring of member outflow trends, which suggests the guidance exists but may not be being applied to this measure.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530 Investment Governance - member equity and valuation triggers (paras 9, 109, 110, 114)</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verbatim. Para 9: 'APRA expects an RSE licensee's investment governance framework would appropriately consider member equity risk with a view to all beneficiaries being dealt with fairly', including 'ensuring beneficiaries transact at fair prices across all investment options'. Para 109: APRA expects valuations at least quarterly. Para 110: 'An RSE licensee would consider triggers that would warrant more frequent valuations including market volatility and the external operating environment, including changes in Government policy settings.' Para 114: the valuation policy 'would also set out protocols for when and how the interim valuations are reviewed for appropriateness and to determine whether any adjustments or reversals need to be made for unit pricing purposes.'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Attribution of fund earnings to individual members is a trustee-discretionary allocation that feeds a member's personal tax assessment. That is a member-equity matter under para 9 as much as a tax-compliance choice, and no current guidance says so. Division 296 also appears to be a 'changes in Government policy settings' trigger for the purposes of para 110, which APRA could confirm at low cost. This is the clearest candidate for a guidance update rather than a standard amendment.</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530 Investment Governance - valuation governance framework (paras 39, 40, 41)</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Para 39 requires an adequate valuation governance framework. Para 40 requires a Board-approved valuation policy covering, among other things, roles and responsibilities (40(a)), methodology by asset class (40(c)), circumstances for independent external valuations (40(d)), frequency having regard to 'member equity considerations' (40(e)), the circumstances in which interim valuations are made (40(f)) and 'the triggers that would require an interim valuation of investments outside of the frequency determined under paragraph 40(e)' (40(g)). Para 41 requires periodic Board review of valuation metrics.</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Although tax on unrealised gains was removed from the final design, a member's balance at 30 June still determines both whether they are above the threshold and the proportion of earnings that is taxed. For members in unitised options that balance derives from the unit price, which derives from unlisted asset valuations. Valuation therefore remains relevant to an individual's tax outcome. APRA's December 2024 findings on conflicted valuation committee membership and assets not revalued for multiple quarters now carry a personal tax consequence for a small identifiable cohort, not only a unit-pricing consequence. Note the more likely complaint direction is upward revaluation lifting members over the threshold, which happens innocently, rather than downward suppression, which would require alleging misconduct and would harm every other member's exit price.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515 Strategic Planning and Member Outcomes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rolling business plan with financial projections across scenarios, prudent and transparent fee-setting, demonstrable purpose and funding source for expenditure, an annual business performance review assessing outcomes for member cohorts, and preparation for transfers in and out. Paragraph numbers cited in the draft register were not verified against the registered instrument in this pass and are omitted deliberately - two of the paragraph numbers that were checked elsewhere in the draft proved to be off by one.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Three distinct stresses. The business plan scenario set can accommodate Division 296 outflow without amendment. Build and run costs benefit well under one per cent of members but may be recovered from all of them through flat fees, which is a governed expenditure and fee-setting decision the board should be able to evidence. And a successor fund transfer spanning the 30 June 2027 measurement date has no settled protocol for transferring member-level Division 296 data, which places APRA's support for consolidation in tension with member-level tax accuracy. All are supervisable under the standard as drafted.</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SPG 516 Business Performance Review</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An RSE licensee has discretion to establish cohorts for the annual business performance review; APRA expects at least product-level cohorts. The guidance contemplates that 'separate cohorts may also be established using membership characteristics that cut across superannuation products, for example cohorts based on balance size'.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High-balance members are already an assessable cohort under the existing guidance, but nothing names them. Naming them as an expected cohort would require trustees to assess whether outcomes for that cohort remain appropriate, and would surface any indifference to their departure - which is the mechanism by which scale, and therefore cost per remaining member, is eroded. This is one of the two strongest instrument-level options in the pack and is a low-cost guidance change rather than a standard amendment.</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220 Risk Management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Board is ultimately responsible for the risk management framework; the framework must cover all material risks; a Board-approved risk appetite statement must set tolerances for each material risk category; and an annual risk management declaration is signed by two directors.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implementation is simultaneously a regulatory, compliance, technology, data and change management risk within the meaning of CPS 230 para 24 (corrected from the draft's para 23), so it should be reflected in the risk appetite statement and stand behind the annual declaration. This is a signed, dated, director-level artefact APRA already receives, so it is an efficient place to test whether the risk has been genuinely assessed. Any supervisory expectation should be proportionate to the licensee's in-scope member population: a licensee with a handful of affected members that has not separately addressed Division 296 may have made a reasonable judgement rather than a governance failure.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114 Operational Risk Financial Requirement (paragraph numbers not independently verified)</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financial resources to protect beneficiaries against losses arising from operational risk, a Board-approved strategy, a target amount and tolerance limit reflecting the operational risk profile, and a replenishment plan if resources fall below tolerance.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mis-calculated or mis-attributed figure, or a release-authority payment made late or in the wrong amount, can produce a loss to a beneficiary and a penalty exposure - the kind of loss the requirement exists to absorb. Two questions sit underneath the sizing question and were not addressed in the draft: whether the reserve can lawfully be applied to compensate an individual's personal tax detriment, and whether a trustee can indemnify itself from fund assets for such an error, given the reserve is itself members' money. Those are legal questions that should be settled before the reserve is assumed to be the answer.</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310 Audit and Related Matters (paragraph and attachment references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RSE auditor provides reasonable assurance over data reported under APRA reporting standards and over specified legislative compliance, and limited assurance over systems, controls and the effectiveness of the risk management framework.</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fund earnings and member attribution are reported to the Commissioner of Taxation, not under an APRA reporting standard, and arise under the Income Tax Assessment Act 1997 and the Taxation Administration Act 1953 rather than the SIS Act. On the face of it they therefore fall outside both assurance limbs, meaning the largest new calculation many RSE licensees will perform carries no RSE auditor assurance. Amending SPS 310 would close this, but the proportionate first step is to ask what voluntary assurance licensees have obtained. An assurance gap on a high-consequence, member-specific calculation is a familiar precursor to a large remediation.</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s29JA breach notification (interaction with Division 296 obligations)</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An RSE licensee must notify APRA in writing where it has breached or will breach a condition of its licence and the breach is significant, with significance assessed by reference to inadequacies in the licensee's arrangements to ensure compliance with the RSE licensee law.</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same reasoning that takes the Division 296 calculation outside RSE auditor assurance also takes it outside the ordinary breach-notification trigger: Division 296 duties arise under tax law, which is not RSE licensee law, so a late or materially wrong report to the Commissioner is unlikely of itself to be notifiable to APRA. It would become notifiable only derivatively, where it evidences inadequate compliance arrangements or causes member loss. The practical consequence is that APRA may learn of a systemic failure - including one originating at a shared administrator - late, or from the ATO rather than from the licensee. APRA has a recent precedent for closing exactly this kind of gap by stating an expectation in a letter: in its Payday Super Readiness letter of 25 March 2026 it told licensees that significant breaches of the new requirements would necessitate a breach notification under s29JA.</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Taxation Administration Act 1953 Sch 1 ss 134-140 and 134-145 (new duties on superannuation providers)</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Where the Commissioner keeps a Division 296 debt account for a member and the end benefit becomes payable, the provider must notify the Commissioner of the expected payment date within 14 days in the approved form (s 134-140). A material change in, or omission from, that notice must be corrected within 7 days (s 134-145). Section 134-140 carries an express note that a person dissatisfied may complain under the AFCA scheme.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This is the clearest new positive duty the enacting legislation places on a fund, and it is a duty on a 'superannuation provider' - the term 'RSE licensee' does not appear in the enacting Act. The obligation is short-clock, event-driven and sits at the point where a benefit is being paid, so it lands in the same administration systems as the calculation and the release authority. The express AFCA note is significant for APRA's member-outcomes interest because it cuts against industry's request that Division 296 trustee judgements sit outside the external dispute resolution scheme. No APRA instrument change is available or needed; the relevance is to supervisory expectations about operational readiness and complaints capability.</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611.0 Member Accounts (SRF 611.0 Instructions, Table 1 Column 3 and Table 2 Column 4)</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VERIFIED against the instrument. Members Benefit Bracket Type valid values run from '&lt;$1,000' through '$100,000 to $199,999', '$200,000 to $499,999', '$500,000 to $999,999' and terminate at '$1,000,000+'. Data is reported per member account and separately for each RSE.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top bracket is one third of the lower Division 296 threshold and one tenth of the upper. APRA therefore cannot count members above $3 million or $10 million from its own collections, cannot see where they are concentrated, and cannot size the assets sitting behind them. A deeper limitation sits behind that: the threshold is measured on a person's total across every fund, including self-managed funds, whereas SRF 611.0 is keyed to the member account within a single RSE, so a member with $1.8 million in each of two funds appears twice below $2 million and never as a $3.6 million total. Additional brackets would materially improve visibility of large accounts in APRA-regulated funds but cannot by construction produce the whole-of-person threshold view, which only the ATO holds. Any external commitment should be framed as monitoring large-account behaviour in APRA-regulated funds rather than monitoring the affected population.</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0C58"/>
                <w:sz w:val="14"/>
                <w:szCs w:val="14"/>
              </w:rPr>
              <w:t xml:space="preserve">amend standard</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551.0 Liquidity (SRF 551.1 member cash flow items)</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Quarterly reporting of liquidity supply, demand and event indicators. Member cash flows are reported on a net basis, without decomposition by driver.</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 release-authority payment, a Division 296-motivated rollover to a self-managed fund and an ordinary retirement lump sum are indistinguishable in the collection. APRA's newest liquidity collection therefore cannot isolate Division 296 outflow. Amending a collection that has only recently commenced would be disproportionate; a targeted, time-limited request to the most exposed licensees is the better route, and APRA can require data from named entities by written notice without making a new reporting standard - which also answers the timing objection that a standard cannot deliver before the first assessments issue.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SRS 553.0 Investment Exposure Concentrations and Valuations (SRF 553.1, SRF 553.3)</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Quarterly reporting of out-of-cycle valuations for material unlisted investments and where there is material impact on investment options, plus an RSE valuation profile.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None adverse - this is an asset rather than a gap, and it belongs alongside the SRS 611.0 shortfall so the picture is balanced. The collection commenced shortly before Division 296 began, giving APRA a clean pre-commencement baseline of out-of-cycle valuation frequency in precisely the asset class where any change in revaluation behaviour around 30 June 2027 would first appear. The opportunity is to use it deliberately as a comparison point rather than to collect anything further.</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high</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160 Defined Benefit Matters (paragraph numbers not independently verified)</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Board-approved shortfall limit, periodic actuarial investigations, interim reporting to APRA where a fund moves into an unsatisfactory financial position, and a restoration plan within a set period.</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Division 296 tax on a defined benefit interest is deferred to a debt account until the end benefit is paid, so there is no near-term call on fund solvency and the shortfall and restoration machinery are unaffected. No amendment is warranted. The stress is operational rather than prudential: an annual actuarial valuation of every member's entitlement using a method previously performed occasionally and largely by hand for family law purposes; a shorter response window than other funds; and a deferred liability that must be tracked for decades and survive mergers and administrator changes. For very small defined benefit plans the recurring actuarial cost may not be economic, which is a plausible trigger for wind-up and transfer and therefore a member-outcomes and supervisory-workload question. Note that the actuarial capability question should be analysed under CPS 230's service provider limb, not under SPS 231, which CPS 230 replaced from 1 July 2025.</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234 Information Security</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an information security capability commensurate with threats, assessment and control of information assets managed by third parties, systematic control testing, internal audit review, and notification to APRA within 72 hours of a material incident.</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Division 296 dataset identifies, by name and by member, individuals with the largest superannuation balances in the country. It is assembled and transmitted largely by outsourced administrators and moves by bulk data exchange to the ATO. It is a high-value, third-party-managed information asset that did not exist before 1 July 2026 and may not yet appear in licensees' information asset registers or be classified at an appropriate sensitivity. The standard is adequate as drafted; the asset is new. Related and worth noting: the measure creates a foreseeable scam and misinformation vector aimed at the same cohort around the publicly known 30 June 2027 date, which is joint APRA, ASIC and ATO territory.</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190 Recovery and Exit Planning</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recovery and exit plan appropriate to the entity's size, business mix and complexity, a trigger framework with early warning indicators, and credible recovery actions.</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Sustained loss of the highest-balance cohort reduces funds under management and average account balance, pressuring the cost base. The mechanism is sharper than generic scale erosion: where a fund charges a percentage-based administration fee with a dollar cap, members above the cap pay the maximum fee while consuming ordinary servicing cost, so they are net contributors to fixed costs and their departure removes revenue disproportionately to headcount. Most discussion assumes large funds, but the tail risk sits with small licensees whose membership skews high-balance, where losing a few hundred large accounts is a scale event. This is supervisable through the existing trigger framework without amendment.</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250 Insurance in Superannuation</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an insurance management framework and strategy, premium cost recovery arrangements, and demonstration to APRA that rules for attributing status to a beneficiary are fair and reasonable.</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Tested and cleared. Premium erosion is immaterial for members above the thresholds. Two second-order effects exist - a member who withdraws to reduce a balance may fall toward levels where cover lapses, and death benefit insurance proceeds can temporarily inflate a balance - but neither warrants supervisory reprioritisation. Recorded so that the framework review can be shown to be complete: naming what is not affected is as useful to the meeting as naming what is.</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s52(2) covenants - best financial interests and fair and equitable treatment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Trustees must perform their duties and exercise their powers in the best financial interests of beneficiaries, and must deal with members fairly as between members and classes of member.</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The covenants are a real but blunt constraint on the attribution judgement. Different defensible methods redistribute between members rather than making everyone better off, so 'best financial interests' and fair treatment do not by themselves select a single method. If APRA wants consistency it must give guidance or accept divergence. One caution on framing: a trustee cannot breach the equitable treatment covenant merely by applying a differential basis that Parliament has prescribed - for example the different treatment of defined benefit and accumulation interests. That is a communications challenge for trustees, not a trustee equity failing. The covenant bites where the trustee actually has discretion, which is the attribution method itself.</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s52(6) investment strategy covenant</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the trustee to formulate, review regularly and give effect to an investment strategy having regard to the whole of the circumstances of the entity, including the liquidity of investments having regard to expected cash flow requirements.</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Once assessments and release authorities begin, those payments become an expected cash flow requirement, so a strategy review that omits them would be incomplete. The covenant and the SPS 530 liquidity management plan point the same way, so APRA is not stretching either. Timing is favourable: first outflows follow the first assessments, giving two full investment strategy review cycles to prepare.</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SIS Act s52(8A) and s52AA retirement income covenant; SPS 515 retirement income strategy requirement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the trustee to formulate, review regularly and give effect to a retirement income strategy, and to take reasonable steps to gather the information necessary to inform its formulation and review.</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Drawing down reduces a member's balance and therefore future liability, creating a tax-driven incentive to draw faster or to hold assets outside superannuation - for exactly the cohort the covenant targets, most of whom are in or near retirement phase. It also exposes a genuine impossibility: the trustee must gather the information needed to inform the strategy, but the decisive variable is the member's balance across all funds, which only the ATO holds and which taxpayer confidentiality restricts it from sharing. Making Division 296 a named question in retirement income strategy reviews is a proportionate guidance response; the information asymmetry needs a legislative remedy rather than a prudential one.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Joint APRA-ASIC unit pricing good practice guidance; ASIC RG 94 (unit pricing)</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Good practice expectations for unit pricing, including the treatment of tax provisions at investment option level, and for error correction and remediation.</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Industry has itself nominated unit pricing and crediting rate governance as the right analogue for a 'fair and reasonable' attribution, and it is the one domain where APRA and ASIC have joint experience of pricing errors and remediation. Two limitations should be stated. First, this is jointly ASIC's territory, so any update is a joint product rather than an APRA one. Second, the analogy does not reach the whole sector: a material part of the APRA-regulated population, concentrated in the public sector and corporate schemes that are among the most exposed, uses periodic and often smoothed crediting rates rather than unit pricing, with the smoothing funded through reserves. Attributing realised earnings in a smoothed crediting-rate fund is a materially harder problem and the unit pricing analogy does not answer it.</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72CE"/>
                <w:sz w:val="14"/>
                <w:szCs w:val="14"/>
              </w:rPr>
              <w:t xml:space="preserve">update guidance</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medium</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521 Conflicts of Interest</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Requires a conflicts management framework covering the identification, avoidance and management of conflicts of interests and conflicts of duty.</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Three conflicts are worth examining, none of which was assessed at paragraph level in this work, so the verdict is provisional. Tax management decisions - when to realise gains, how to sequence disposals - now affect identified individuals' personal tax, creating a weak incentive to favour a small cohort. Where an RSE licensee sits in a group that also owns self-managed fund administration, platform or advice businesses, the group has a commercial interest in the very migration that erodes the licensee's scale. And any trustee communication to high-balance members about the 30 June 2027 date is a prompt with a foreseeable one-way outcome, given that acting on it reduces the trustee's own funds under management. That last point is joint APRA-ASIC territory and is the most likely place a conduct issue actually materialises.</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SPS 510 Governance and SPS 520 Fit and Proper (not examined at paragraph level)</w:t>
            </w:r>
          </w:p>
        </w:tc>
        <w:tc>
          <w:tcPr>
            <w:tcW w:type="dxa" w:w="2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Govern Board composition, skills, committee structures and the fitness and propriety of responsible persons. Neither standard was examined at paragraph level in this work and no paragraph numbers are asserted.</w:t>
            </w:r>
          </w:p>
        </w:tc>
        <w:tc>
          <w:tcPr>
            <w:tcW w:type="dxa" w:w="3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Included because the central recommendation elsewhere in this brief - that the attribution methodology be Board-approved - depends on these standards and the draft register never checked them. Three answerable questions follow: whether the Board skills matrix contemplates the capability needed to approve a methodology that drives individual members' tax outcomes; which Board committee owns it, given that on this characterisation the audit committee may assume the investment committee has it and vice versa; and what Board approval means in substance where the methodology originates with a shared administrator and is adopted rather than formed. Low confidence and flagged as a completeness item rather than a finding.</w:t>
            </w:r>
          </w:p>
        </w:tc>
        <w:tc>
          <w:tcPr>
            <w:tcW w:type="dxa" w:w="1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0B398"/>
                <w:sz w:val="14"/>
                <w:szCs w:val="14"/>
              </w:rPr>
              <w:t xml:space="preserve">supervisory practice only</w:t>
            </w:r>
          </w:p>
        </w:tc>
        <w:tc>
          <w:tcPr>
            <w:tcW w:type="dxa" w:w="7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r>
        <w:tc>
          <w:tcPr>
            <w:tcW w:type="dxa" w:w="21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5"/>
                <w:szCs w:val="15"/>
              </w:rPr>
              <w:t xml:space="preserve">CPS 900 Resolution Planning</w:t>
            </w:r>
          </w:p>
        </w:tc>
        <w:tc>
          <w:tcPr>
            <w:tcW w:type="dxa" w:w="2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Applies to RSE licensees; resolution planning is triggered by the prospect of entity failure.</w:t>
            </w:r>
          </w:p>
        </w:tc>
        <w:tc>
          <w:tcPr>
            <w:tcW w:type="dxa" w:w="3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4"/>
                <w:szCs w:val="14"/>
              </w:rPr>
              <w:t xml:space="preserve">Examined and cleared. No defensible link was established: resolution planning is triggered by failure, and Division 296 does not create a failure pathway distinct from the gradual scale erosion already captured under CPS 190. Recorded so that the framework review can be represented as complete rather than selective.</w:t>
            </w:r>
          </w:p>
        </w:tc>
        <w:tc>
          <w:tcPr>
            <w:tcW w:type="dxa" w:w="1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898781"/>
                <w:sz w:val="14"/>
                <w:szCs w:val="14"/>
              </w:rPr>
              <w:t xml:space="preserve">no change</w:t>
            </w:r>
          </w:p>
        </w:tc>
        <w:tc>
          <w:tcPr>
            <w:tcW w:type="dxa" w:w="7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color w:val="898781"/>
                <w:sz w:val="14"/>
                <w:szCs w:val="14"/>
              </w:rPr>
              <w:t xml:space="preserve">low</w:t>
            </w:r>
          </w:p>
        </w:tc>
      </w:tr>
    </w:tbl>
    <w:p>
      <w:pPr>
        <w:pBdr>
          <w:bottom w:val="single" w:color="0072CE" w:sz="6" w:space="4"/>
        </w:pBdr>
        <w:spacing w:after="100" w:before="240"/>
      </w:pPr>
      <w:r>
        <w:rPr>
          <w:rFonts w:ascii="Arial" w:cs="Arial" w:eastAsia="Arial" w:hAnsi="Arial"/>
          <w:b/>
          <w:bCs/>
          <w:color w:val="012169"/>
          <w:sz w:val="22"/>
          <w:szCs w:val="22"/>
        </w:rPr>
        <w:t xml:space="preserve">Annex B2 — The figures, verified</w:t>
      </w:r>
    </w:p>
    <w:p>
      <w:pPr>
        <w:spacing w:after="120" w:before="0" w:line="264"/>
      </w:pPr>
      <w:r>
        <w:rPr>
          <w:rFonts w:ascii="Arial" w:cs="Arial" w:eastAsia="Arial" w:hAnsi="Arial"/>
          <w:color w:val="52514E"/>
          <w:sz w:val="17"/>
          <w:szCs w:val="17"/>
        </w:rPr>
        <w:t xml:space="preserve">Every figure re-checked against a named source with a date. Where a figure in the draft was wrong, the correction is stated rather than quietly applied.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4600"/>
        <w:gridCol w:w="1906"/>
      </w:tblGrid>
      <w:tr>
        <w:trPr>
          <w:tblHeader/>
        </w:trPr>
        <w:tc>
          <w:tcPr>
            <w:tcW w:type="dxa" w:w="34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Figure</w:t>
            </w:r>
          </w:p>
        </w:tc>
        <w:tc>
          <w:tcPr>
            <w:tcW w:type="dxa" w:w="46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What it means, and any correction</w:t>
            </w:r>
          </w:p>
        </w:tc>
        <w:tc>
          <w:tcPr>
            <w:tcW w:type="dxa" w:w="19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Source / as at</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$3 million and $10 million thresholds; additional 15% above the first and a further 10% above the second; both indexed to CPI; applies from 1 July 2026</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enacted design. An affected person pays extra tax only on the share of earnings attributable to the balance above the threshold, so someone just over $3 million pays very little and the amount rises steeply with balance. Both thresholds move with inflation, so the 2023 criticism about unindexed thresholds no longer applies.</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ATO, 'Better targeted superannuation concessions', new legislation guidance (thresholds described as LSBT $3m and VLSBT $10m for 2026-27, 'indexed in line with CPI') · Retrieved 26 July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Highest APRA member balance bracket: '$1,000,000+'</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top reporting bracket is one third of the lower Division 296 threshold and one tenth of the upper. APRA cannot count, locate or size the affected population from its own collections. Because the collection is keyed to the member account within a single fund, while the tax threshold is measured across all of a person's superannuation, more brackets would improve visibility of large accounts but still could not produce the threshold view - only the ATO holds that.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Reporting Standard SRS 611.0 Member Accounts, SRF 611.0 Instructions, Members Benefit Bracket Type valid values (Table 1 Column 3; Table 2 Column 4) - verified against the instrument text · Instrument text retrieved 26 July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23 RSE licensees reviewed, holding $2,018 billion at 30 June 2024 (around 80% of APRA-regulated superannuation assets) and 18.7 million member accounts; 12 of the 23 require material improvement</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CORRECTED from the draft, which attached the $2,018bn and 18.7m figures to the 12 licensees rather than to the full review population - roughly doubling the apparent scale of the adverse finding. The accurate statement is that the scope figures describe all 23; 12 of them require material improvement in valuation governance, liquidity risk management or both (8 on each limb).</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 30 June 2024 (asset figure); review published 17 December 2024</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The liquidity subgroup requiring material improvement represents 27% of funds under management and 5.4 million member accounts</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correctly sized adverse finding, as distinct from the review's total scope. This is the figure to use when describing how much of the system sits with licensees APRA has already judged to need material improvement on liquidity risk management.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 17 December 2024</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11 of 23 licensees had a dedicated valuation committee; committee members 'included individuals whose remuneration may be dependent on the outcome of the valuation process'; 'Some assets may not be revalued for multiple quarters at a time'</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has already published adverse findings on the precise control that now also influences a member's personal tax position, because the 30 June balance determines both whether a member is over the threshold and the proportion of earnings taxed. The more likely complaint direction is upward revaluation lifting members over the threshold, which happens innocently, rather than downward suppression, which would require alleging misconduct.</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'Governance of unlisted asset valuation and liquidity risk management in superannuation', 17 December 2024 (quotes verified verbatim) · 17 December 2024</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Stress test: $174 billion cumulative liquidity demand (just under 16% of net assets), peak monthly calls around $30 billion (less than 7% of available liquid assets); funds sold $81 billion of equities and $11 billion of fixed income and 'largely avoided selling unlisted assets to meet liquidity needs'</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RESTATED - the draft's claim that funds met the shock 'without selling a single unlisted asset' is not what the report says and should not be repeated. The accurate version still makes the point: under a severe shock, funds met very large calls primarily by selling listed assets and largely avoided unlisted sales. This is the right calibration against which to judge Division 296 outflow, which is far smaller.</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System Risk Stress Test, 30 June 2026 (quotes verified verbatim) · 30 June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Allocations to illiquid assets in MySuper options increased substantially under the stress test, with the unlisted share rising from roughly 29% to 37%</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Because funds met the shock by selling listed assets, the unlisted share of the remaining portfolio rose sharply. This is the composition effect to watch rather than a cash shortfall, and it is the reason liquidity should not be dismissed entirely even though aggregate Division 296 outflow is small.</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System Risk Stress Test, 30 June 2026 · 30 June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ATO information requests: defined benefit and certain other interests from November 2027 with 10 business days to respond; other APRA-regulated funds from April with 28 calendar days; early assessments from March 2028</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TIMING DISCREPANCY DISCLOSED. The indicative date for non-defined-benefit APRA funds moved between meetings: the 18 February 2026 record refers to 'APRA RFIs February 2028' (timed to follow income tax returns due end of January 2028), while the 20 May 2026 record refers to requests commencing in April. These are ATO indicative planning dates, not settled deadlines; the ATO has said requests may issue outside these timeframes and that it will consider extensions in the first year. The 10 business day window for defined benefit funds is consistent across both records.</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ATO Superannuation Administration Group key messages, 18 February 2026 and 20 May 2026 (cited separately because they differ) · 20 May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Income Tax Assessment (1997 Act) Amendment (Building a Stronger and Fairer Super System and Other Measures) Regulations 2026 (F2026L00726) registered 18 June 2026</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regulations were registered twelve days before the first measurement year began on 1 July 2026. Every dividend, rent payment and asset sale since that date is already inside the tax base, while the ATO's detailed guidance on how to perform the calculation and attribution is still being developed through its co-design process.</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Federal Register of Legislation, F2026L00726 (title and registration date verified) · Registered 18 June 2026</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Payday Super also commenced 1 July 2026, requiring contributions to be allocated or returned within three business days; APRA wrote to all RSE licensees on 25 March 2026 warning that a material number were not on track to deliver SuperStream 3.0</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Two major changes landed on the same administration systems on the same day, competing for the same finite administrator change capacity - and Payday Super carried the earlier, more visible deadline. This is the change-saturation risk. It also supplies a precedent: the Payday Super letter did exactly what is proposed here for Division 296, including stating that contribution processing should be treated as a CPS 230 critical operation and that significant breaches 'would necessitate a breach notification to APRA' under s29JA of the SIS Act.</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APRA, 'Payday Super Readiness' letter to all RSE licensees, 25 March 2026 · 25 March 2026</w:t>
            </w:r>
          </w:p>
        </w:tc>
      </w:tr>
      <w:tr>
        <w:tc>
          <w:tcPr>
            <w:tcW w:type="dxa" w:w="34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CPS 230 para 50 requires RSE licensees to classify providers of 'fund administration, custodial services, investment management and arrangements with promoters and financial planners' as material service providers; para 51 requires the register to be submitted to APRA annually</w:t>
            </w:r>
          </w:p>
        </w:tc>
        <w:tc>
          <w:tcPr>
            <w:tcW w:type="dxa" w:w="46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already receives, annually, the dataset that maps which licensees depend on which administrators and custodians. Because the Division 296 calculation, attribution, reporting and payment will be delivered largely by a small number of shared providers, this existing collection can be used to identify how many licensees share a single build - and therefore where a defect would be a common-mode failure across many funds at once. No new collection is required. APRA published a register template on 17 October 2024, with superannuation trustees required to submit by 1 October 2025.</w:t>
            </w:r>
          </w:p>
        </w:tc>
        <w:tc>
          <w:tcPr>
            <w:tcW w:type="dxa" w:w="19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Prudential Standard CPS 230 (July 2025 version), paras 50 and 51, verified verbatim; APRA, 'APRA releases material service provider register template', 17 October 2024 · CPS 230 in force from 1 July 2025; register submission due 1 October 2025</w:t>
            </w:r>
          </w:p>
        </w:tc>
      </w:tr>
      <w:tr>
        <w:tc>
          <w:tcPr>
            <w:tcW w:type="dxa" w:w="34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b/>
                <w:bCs/>
                <w:color w:val="012169"/>
                <w:sz w:val="14"/>
                <w:szCs w:val="14"/>
              </w:rPr>
              <w:t xml:space="preserve">The Council of Financial Regulators has four members: APRA, ASIC, the RBA and Treasury</w:t>
            </w:r>
          </w:p>
        </w:tc>
        <w:tc>
          <w:tcPr>
            <w:tcW w:type="dxa" w:w="46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ATO is not a member. Since the coordination that matters most for Division 296 is between APRA and the ATO, the CFR is not the natural forum for it, and bilateral engagement with the ATO and Treasury is the appropriate route. Included to prevent an avoidable correction in the meeting.</w:t>
            </w:r>
          </w:p>
        </w:tc>
        <w:tc>
          <w:tcPr>
            <w:tcW w:type="dxa" w:w="19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898781"/>
                <w:sz w:val="13"/>
                <w:szCs w:val="13"/>
              </w:rPr>
              <w:t xml:space="preserve">Council of Financial Regulators, member agencies page · Retrieved 26 July 2026</w:t>
            </w:r>
          </w:p>
        </w:tc>
      </w:tr>
    </w:tbl>
    <w:p>
      <w:r>
        <w:br w:type="page"/>
      </w:r>
    </w:p>
    <w:p>
      <w:pPr>
        <w:pBdr>
          <w:bottom w:val="single" w:color="0072CE" w:sz="6" w:space="4"/>
        </w:pBdr>
        <w:spacing w:after="100" w:before="0"/>
      </w:pPr>
      <w:r>
        <w:rPr>
          <w:rFonts w:ascii="Arial" w:cs="Arial" w:eastAsia="Arial" w:hAnsi="Arial"/>
          <w:b/>
          <w:bCs/>
          <w:color w:val="012169"/>
          <w:sz w:val="22"/>
          <w:szCs w:val="22"/>
        </w:rPr>
        <w:t xml:space="preserve">Annex C — Provenance and fact-check audit trail</w:t>
      </w:r>
    </w:p>
    <w:p>
      <w:pPr>
        <w:spacing w:after="120" w:before="0" w:line="264"/>
      </w:pPr>
      <w:r>
        <w:rPr>
          <w:rFonts w:ascii="Arial" w:cs="Arial" w:eastAsia="Arial" w:hAnsi="Arial"/>
          <w:color w:val="52514E"/>
          <w:sz w:val="17"/>
          <w:szCs w:val="17"/>
        </w:rPr>
        <w:t xml:space="preserve">Every material assertion in the brief, classified and checked. 'Created' entries are original analysis written for this meeting and are marked so they are never mistaken for sourced fact.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00"/>
        <w:gridCol w:w="800"/>
        <w:gridCol w:w="4306"/>
        <w:gridCol w:w="900"/>
      </w:tblGrid>
      <w:tr>
        <w:trPr>
          <w:tblHeader/>
        </w:trPr>
        <w:tc>
          <w:tcPr>
            <w:tcW w:type="dxa" w:w="3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Assertion</w:t>
            </w:r>
          </w:p>
        </w:tc>
        <w:tc>
          <w:tcPr>
            <w:tcW w:type="dxa" w:w="8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Type</w:t>
            </w:r>
          </w:p>
        </w:tc>
        <w:tc>
          <w:tcPr>
            <w:tcW w:type="dxa" w:w="43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Basis — citation, or reasoning chain</w:t>
            </w:r>
          </w:p>
        </w:tc>
        <w:tc>
          <w:tcPr>
            <w:tcW w:type="dxa" w:w="9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Check</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Division 296 of the ITAA 1997 is enacted law: Treasury Laws Amendment (Building a Stronger and Fairer Super System) Act 2026 and Superannuation (Building a Stronger and Fairer Super System) Imposition Act 2026, Royal Assent 13 March 2026, commenced 1 July 2026, first measurement date 30 June 2027.</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Enacting Acts as registered (C2026A00008 and the companion Imposition Act); Parliamentary Library Bills Digest No. 48, 2025-26. Established and independently confirmed in the workflow's settled-facts list. The Imposition Act is what fixes the rates and must be named alongside the amending Act.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design is an additional 15% on earnings attributable to a Total Superannuation Balance above $3m (30% headline) and an additional 25% above $10m (40% headline); both thresholds are indexed; the base is realised earnings; unrealised gains were removed from the 2023 design; the tax is assessed on the individual, not the fund, with a release authority to draw it from superannuation.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Treasury fact sheet 'Better Targeted Superannuation Concessions', 13 October 2025 (https://treasury.gov.au/publication/p2025-709385-btsc); Bills Digest No. 48. Settled in the workflow's verified-facts list.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Subdivision 296-A of the ITAA 1997 contains only s 296-5, an objects clause, and imposes no obligation on any person.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Compiled ITAA 1997, Compilation No. 266, compilation date 1 July 2026. Independently verified prior to this pass. Consequence for the brief: no obligation on trustees can be sourced to Subdivision 296-A, and any earlier draft language implying otherwise has been removed.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term 'RSE licensee' does not appear anywhere in the enacting Act; the Act uses 'superannuation provider'.</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Full-text check of the enacting Act, independently verified prior to this pass. The brief therefore describes duties as falling on 'superannuation providers', and states expressly that APRA's supervised population is a subset of that term rather than its referent.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clearest new duty the regime places on a fund is s 134-140 of Schedule 1 to the Taxation Administration Act 1953: where the Commissioner keeps a Division 296 debt account for a member and the end benefit becomes payable, the provider must notify the Commissioner of the expected payment date within 14 days, in the approved form.</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 134-140 Sch 1 TAA 1953 as enacted; independently verified prior to this pass. This replaces the draft register's unsupported framing that no instrument imposes a fund-side duty.</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 134-145 of Schedule 1 to the TAA 1953 requires a material change or omission in that notification to be corrected within 7 days.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 134-145 Sch 1 TAA 1953 as enacted; independently verified prior to this pass.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 134-140 carries an express note that a person dissatisfied with the provider's conduct may complain under the AFCA scheme.</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Express note to s 134-140 Sch 1 TAA 1953; independently verified prior to this pass.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That express AFCA note cuts against the industry request that trustee Division 296 judgements be placed outside external dispute resolution.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ASFA's 7 April 2026 submission asks that 'fair and reasonable' estimates be 'outside of the scope of matters subject to AFCA review'; (2) Parliament, in the same reform package, attached an express AFCA note to the principal new provider-facing duty; (3) an express statutory note contemplating AFCA complaints about provider conduct under this regime is evidence Parliament assumed AFCA jurisdiction rather than excluding it. The inference is about parliamentary assumption, not about AFCA's jurisdictional source, which lies in the Corporations Act and the AFCA Rules.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For funds with more than six members the attribution of Division 296 fund earnings to individual members is on a 'fair and reasonable' basis with the method left to the trustee; funds with six or fewer members use a prescribed formula plus an annual actuarial certificate.</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Bills Digest No. 48, 2025-26; ASFA submission to Treasury, 7 April 2026; practitioner analyses of the draft regulations. The operative text in F2026L00726 could not be read directly (the Federal Register serves documents through a JavaScript front end), so this rests on secondary description of the instrument rather than the instrument itself.</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final regulations, Income Tax Assessment (1997 Act) Amendment Regulations 2026 (F2026L00726), were made 11 June 2026 and registered 18 June 2026 - twelve days before the first measurement year began.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Federal Register of Legislation, F2026L00726 'as made' metadata (https://www.legislation.gov.au/F2026L00726/asmade). Registration and making dates are readable from the register listing even where the instrument text is not.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elective 30 June 2026 cost-base reset is available to small funds - SMSFs and small APRA funds - not to SMSFs alone; large funds and pooled superannuation trusts receive only a declining prescribed-factor method over four years.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Income Tax (Transitional Provisions) Act 1997 Division 296 transitional provisions as described in Bills Digest No. 48 and in the Tax Institute submission; the small-fund boundary was raised by red-team review. Not read against the operative transitional text. Material because small APRA funds are inside APRA's perimeter, which weakens a pure 'migration out of the perimeter' framing.</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Post-death attribution of earnings survived into the made regulations; the earlier recommendation that licensees should not build to it has been removed as wrong.</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Practitioner commentary on release of the made regulations reporting no change to post-death earnings treatment and the introduction of a 'death benefit income stream' concept, raised in red-team review. Primary text not read. The corrected position - the rule is operative law and licensees must build to it - is stated in the brief; the reconciliation of post-death attribution with the duty to cash death benefits as soon as practicable is put as a supervisory question, not as an instruction to disregard the instrument.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paragraph 24, not paragraph 23, requires an entity to manage its full range of operational risks including legal, regulatory, compliance, conduct, technology, data and change management risk; paragraph 23 is senior management's duty to inform the Board.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Prudential Standard CPS 230 Operational Risk Management, in-force July 2025 version, read verbatim. Independently verified prior to this pass. The register's off-by-one appeared in five places and has been corrected throughout.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paragraph 36(c) makes investment management and fund administration default critical operations for an RSE licensee unless the licensee can justify otherwise; paragraphs 35, 38 and 44 (tolerance levels and business continuity testing) apply accordingly.</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CPS 230 in-force July 2025 version, paragraphs read verbatim.</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also carries a service provider management limb, and APRA already holds a completed material service provider register from every superannuation trustee, submitted by 1 October 2025, collected for the stated purpose of identifying concentration risk across the sector.</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'APRA releases material service provider register template' (https://www.apra.gov.au/news-and-publications/apra-releases-material-service-provider-register-template) - confirmed this pass: registers due from ADIs, superannuation trustees and insurers by 1 October 2025, purpose includes identifying where multiple entities rely on a single provider. APRA also finalised targeted CPS 230 amendments on 30 April 2026.</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231 Outsourcing was revoked on 1 July 2025 and its subject matter absorbed into CPS 230; citing SPS 231 in 2026 is an error and the defined benefit actuarial outsourcing question runs under CPS 230's service provider requirements.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Prudential Handbook and CPS 230 response materials - confirmed this pass that CPS 230 came into effect 1 July 2025 replacing CPS/SPS 231 Outsourcing and 232 Business Continuity Management.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comprehensive investment stress testing programme is SPS 530 paragraph 31, not paragraph 29; SPS 530 paragraph 38 cross-refers to 'paragraph 31'.</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SPS 530 Investment Governance, read via the integrated SPS/SPG 530 text; para 38 self-referentially confirms para 31. Independently verified prior to this pass. Paragraph 29 concerns Board justification for amending an investment strategy.</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530 paragraphs 36(d) and 36(e) require the liquidity management plan to identify a liquidity event and the action to be taken; paragraphs 39-41 establish the valuation governance framework, including triggers for interim valuations.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SPS 530 Investment Governance, paragraphs read verbatim from the integrated text.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SPG 530 paragraph 9 states APRA's expectation that member equity risk be considered with a view to all beneficiaries being dealt with fairly; paragraph 79(e) names 'policy driven events: a change in Government policy, for example, related to access to accrued member assets'; paragraph 110 names 'changes in Government policy settings' as a trigger for more frequent valuations.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Prudential Practice Guide SPG 530 Investment Governance, integrated version (https://www.apra.gov.au/system/files/2023-07/Prudential%20Practice%20Guide%20SPG%20530%20Investment%20Governance%20Integrated%20version%20-%20clean.pdf).</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SPG 516 already permits cohorts based on balance size, so high-balance members can be named as an expected cohort in the annual business performance review without amending a prudential standard.</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SPG 516 Business Performance Review: 'Separate cohorts may also be established using membership characteristics that cut across superannuation products, for example cohorts based on balance size.'</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RSE auditor assurance under SPS 310 does not currently reach the Division 296 calculation and attribution.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SPS 310 Attachment A directs reasonable assurance at data reported under APRA reporting standards and Attachment B at specified legislative compliance; (2) Division 296 fund earnings and member attribution are reported to the Commissioner under the ITAA 1997 and TAA 1953, not under any APRA reporting standard, and do not arise under the SIS Act; (3) therefore neither assurance limb reaches the calculation. Stated in the brief as an assurance gap to be tested by asking what voluntary assurance licensees have obtained, not as a proposal to amend SPS 310.</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 late, incomplete or materially wrong Division 296 report to the Commissioner is not, of itself, a breach notifiable to APRA under SIS Act s 29JA; it becomes notifiable only derivatively, where it evidences inadequate compliance arrangements or produces member loss.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 29JA keys significant-breach notification to breaches of licence conditions, assessed by reference to arrangements to comply with the RSE licensee law and Chapter 2M of the Corporations Act; (2) Division 296 obligations arise under the ITAA 1997 and TAA 1953, which are not RSE licensee law; (3) so the direct trigger is absent. The s 29JA text was not read verbatim in this pass, so the legal premise should be confirmed by APRA Legal before the brief is relied on externally. The recommended fix - stating an expectation of notification in a letter - does not depend on resolving it.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 has an immediate, four-month-old precedent for the intervention recommended here: its 'Payday Super Readiness' letter to RSE licensees of March 2026, which told licensees to revisit implementation timelines, stated that APRA would expect contribution processing to be a CPS 230 critical operation, and stated that significant breaches of the new requirements would necessitate a breach notification to APRA.</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'Payday Super Readiness' (https://www.apra.gov.au/payday-super-readiness) - content confirmed this pass, including the three-business-day allocation requirement from 1 July 2026, the ATO's concern that a material number of licensees were not on track for SuperStream 3.0 Member Verification Request, and the CPS 230 and breach-notification statements.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Payday Super and Division 296 commence on the same day, 1 July 2026, and land on the same administration platforms, data pipelines and finite administrator change capacity; Payday Super carries the earlier and more visible deadline, so Division 296 is the change more likely to be deprioritised.</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both measures commence 1 July 2026 (APRA Payday Super Readiness letter; Division 296 commencement); (2) both are delivered through fund administration and registry systems, which CPS 230 para 36(c) treats as a critical operation; (3) Payday Super has a daily, visible, employer-facing deadline while Division 296 has no external test until the ATO's first information requests in 2027-28; (4) scarce change capacity is therefore allocated to the visible deadline. Behavioural claim, not measured.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 engages bilaterally with Treasury and the ATO, and the remaining calculation and attribution work is progressing through an ATO co-design process; the opportunity is to contribute a prudential perspective to that work, not to remedy an exclusion.</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Established and confirmed in the workflow's settled-facts list. The published membership page for the ATO Superannuation Administration Group does not list APRA, but a published stakeholder-group membership list is not evidence of the full engagement channel, and the brief no longer asserts that APRA has 'no voice' or is 'not in the room'.</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As at 26 July 2026 APRA has published no Division 296-specific letter, guide, FAQ or speech.</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Domain-restricted searches of apra.gov.au; the Chair's June 2026 Senate opening statement does not mention the measure. This is a search-based negative finding, not an exhaustive check of APRA's internal publication index, and should be confirmed internally before being stated externally.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highest published member benefit bracket is '$1,000,000+', which is one third of the lower threshold; at 31 March 2026 that bracket held 305,000 accounts (1.28% of accounts) and $441.5bn of members' benefits (13.8%), with an average balance in the bracket of $1.45m.</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Reporting Standard SRS 611.0 Member Accounts, SRF 611.0 Instructions Table 1 Column 3; APRA Quarterly Superannuation Industry Publication, March 2026, Table 8.</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An average balance of $1.45m against a $1m floor implies a steeply decaying right tail, so the population above $3m in APRA-regulated funds is small - most likely in the hundreds per large licensee rather than the thousands.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$1m+ bracket averages $1.45m across 305,000 accounts; (2) an average only 45% above the floor is inconsistent with a heavy tail; (3) that is consistent with Treasury's estimate of roughly 31,800 affected individuals across all APRA-regulated funds and exempt public sector schemes; (4) spread across the large-licensee population this implies hundreds per fund. Presented in the brief as APRA's own inference used to calibrate supervisory intensity, and as the reason a per-licensee in-scope headcount should be obtained.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An affected member's liability is small near the lower threshold: on a 6% earnings assumption, roughly $1,800 at a $3.2m balance, roughly $9,000 at $4m and roughly $63,000 at $10m, because only the proportion of earnings referable to the balance above $3m is taxed.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Own arithmetic from the enacted proportioning mechanic (taxed proportion = (TSB - $3m)/TSB) and a stated 6% earnings assumption, generated for this meeting because no source publishes worked per-member amounts. Labelled in the brief as APRA's own illustration with the assumption shown. It is the calibration figure against which the behavioural and materiality judgements in the brief should be tested.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Aggregate Division 296 outflow is not a system liquidity event: an indicative APRA-side liability of about $0.9bn a year is roughly 1.1% of annual lump sum payments, about 0.03% of assets, and about 3% of a single peak month in APRA's own system stress test.</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Own derivation, clearly labelled: Treasury's superseded-design costing of $2.3bn in 2027-28 across ~80,000 individuals, scaled by the 31,800-of-80,000 APRA-side share, against APRA-regulated lump sums of $79.7bn and assets of $3,141.1bn for the year to March 2026. The earlier 'one fifteenth of a peak month' figure was wrong - it mixed a whole-of-system numerator with an APRA-side comparison - and has been corrected to a single consistent numerator. Rests on a superseded-design revenue estimate, so it bounds the order of magnitude only.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inaugural System Risk Stress Test modelled $174bn of cumulative liquidity demand, just under 16% of net assets, with peak monthly calls of about $30bn, and funds largely avoided selling unlisted assets, meeting the shock primarily through listed holdings.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System Risk Stress Test, 30 June 2026 (https://www.apra.gov.au/news-and-publications/system-risk-stress-test). Wording corrected from the draft's categorical 'without selling a single unlisted asset', which the source does not support.</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APRA's December 2024 thematic reviewed 23 RSE licensees holding $2,018bn and 18.7m member accounts, and found 12 require material improvement in valuation governance, liquidity risk management or both; the eight-licensee liquidity subgroup represents 27% of funds under management and 5.4m member accounts.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'Governance of unlisted asset valuation and liquidity risk management in superannuation', 17 December 2024. Corrected: the $2,018bn and 18.7m figures are the scope of the review, not the size of the 12 licensees requiring improvement, as the draft register implied.</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December 2024 findings bear on general governance capacity in the platform and mid-sized cohort; they are not evidence of unreadiness for the Division 296 calculation, which sits in different systems and teams.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thematic assessed unlisted asset valuation governance and liquidity risk frameworks, which are investment operations functions; (2) Division 296 calculation and attribution sit in tax and member administration; (3) therefore the thematic is indicative of governance capacity, not probative of Division 296 readiness. The sound reason for prioritising platform and wrap trustees is that member-directed options make attribution genuinely divergent, since members' assets are individually identifiable.</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CSS Fund reports 23.58% of its accounts above $1m and is used as a named concentration in the exposed-cohort analysis.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Derived from APRA Quarterly Superannuation Fund Statistics, March 2026, Table 3. Contested: the same reporting entity's figures for PSS and MilitarySuper show fewer than 20 accounts above $1m against average balances near $585,000 and $546,000, which looks like a reporting artefact. The brief carries CSS as 'subject to data verification' and the derived headline that CSS alone holds 7.9% of all $1m+ accounts has been withdrawn pending confirmation with Commonwealth Superannuation Corporation.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Net rollovers from APRA-regulated funds to SMSFs were $12.2bn in the year to March 2026, up 53.8% on $7.9bn a year earlier.</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APRA Quarterly Superannuation Performance Statistics to March 2026, Table 1a.</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That rollover growth cannot be attributed to Division 296.</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largest single quarter in the series is September 2025, which precedes the 13 October 2025 redesign announcement; (2) the strongest available establishment data attributes SMSF growth to demand for direct control and lower online setup costs, with new funds skewing to ages 35-44 - the opposite demographic; (3) therefore the trend predates the measure and causation is not established. The legislated cost-base asymmetry is a genuine incentive and is stated separately; the flow series is carried as a monitoring line, not as evidence of effect.</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Treasury estimated 31,800 of approximately 80,000 affected individuals would sit in APRA-regulated funds and exempt public sector schemes.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Office of Impact Analysis, 'Impact Analysis: Better Targeted Superannuation Concessions', Treasury, January 2024. Contested on two grounds: it was struck on 2022-vintage data under the superseded change-in-balance design, and it combines APRA-regulated funds with exempt public sector schemes, which are not APRA-supervised - so it overstates APRA's own exposure by an unknown margin. Carried in the brief with both caveats attached, as the only Commonwealth figure available.</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whole-of-person threshold cannot be produced from any APRA collection, because SRS 611.0 is reported per RSE and keyed on member account rather than person; only the ATO holds the aggregated view.</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SRS 611.0 requires reporting separately for each RSE; (2) SRF 611.0 is keyed on member account; (3) a member with $1.8m in each of two APRA-regulated funds appears twice below $2m and never as a $3.6m total; (4) therefore adding balance brackets improves large-account visibility but structurally cannot produce the threshold view. This is why the brief frames any external commitment as monitoring large-account behaviour in APRA-regulated funds, not monitoring the affected population.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ATO's indicative information-request windows are 10 business days for defined benefit and alternative-method interests and 28 calendar days for other APRA-regulated funds.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Superannuation Administration Group key messages, 18 February 2026 and 20 May 2026. Contested: the February meeting records DB requests from November 2027 and APRA-fund requests from February 2028, while the May meeting says November and April with no year stated, and neither reconciles cleanly with assessments issuing in the second half of 2027-28. Cited in the brief as ATO indicative planning dates that have already moved once, not as settled deadlines.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 intends to reuse existing Division 293 SuperStream product type codes for Division 296 release authorities, distinguished by a reference number rather than a new message type.</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Superannuation Administration Group key messages of 17 June 2025 - re-dated after review established that the 2026 SAG pages the draft cited do not contain this text. Contested as an APRA ask: ASFA's 7 April 2026 submission expressly asked the ATO to build on the Division 293 release channel and messaging on cost-to-members grounds, so the brief discloses industry's position and seeks a machine-readable flag on the existing message rather than a new message type.</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ten-business-day payment clock and 20-penalty-unit exposure for release authorities are the existing obligations for other release authority types; the Division 296 equivalent has not been published.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ATO release authority guidance for APRA-regulated funds, which lists six release authority categories and does not yet include Division 296. The brief states the position this way in plain English rather than asserting a ten-day Division 296 deadline as settled.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Division 296 build and run costs recovered through administration fees feed into the annual superannuation performance test, which assesses administration fees against the median for the product category on a combined basis with investment performance, with two consecutive failures prohibiting new members.</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performance test benchmarks administration fees charged in the last financial year against a category median; (2) Division 296 costs recovered through those fees enter that metric; (3) because the benchmark is a median, a licensee with a small affected population relative to total membership spreads the same fixed build cost over a smaller base and moves against the median. The test mechanics are sourced from the legislated performance test framework but were not re-read this pass; the transmission mechanism and the resulting incentive to absorb rather than transparently recover the cost are APRA's own analysis.</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Defined benefit earnings are measured as the movement in the actuarial value of the member's interest, adjusted for contributions and withdrawals and multiplied by a prescribed reduction factor of 0.825; the resulting liability is deferred to a debt account until the end benefit is paid, so there is no near-term call on fund solvency.</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Practitioner analysis of the draft regulations (Grant Thornton) for the 0.825 factor; ATO guidance on paying Division 296 tax for the deferral to a debt account. The factor was verified against the draft, not the made regulations.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single unisex pensioner mortality basis using male rates is not a closed question.</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Actuaries Institute's 7 April 2026 submission welcomes the single unisex male-rate basis; ASFA's submission of the same date contains a live section headed 'Use of only male valuation factors'. Two peak bodies were in disagreement at the close of consultation and the position adopted in the made regulations has not been confirmed, so the draft register's statement that the issue is closed has been withdrawn.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890C58"/>
                <w:sz w:val="13"/>
                <w:szCs w:val="13"/>
              </w:rPr>
              <w:t xml:space="preserve">contested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realised-earnings base taxes distribution and disposal but not accrual, which is a deferral incentive whose system-level tendency is toward low-distribution, low-turnover, capital-growth assets - the same direction as the illiquid-allocation trend APRA has already identified as a system risk.</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Original analytical proposition written for this meeting, unquantified. It is offered as the reason the system-level file should not be closed on the flow question alone, paired with the SRS 553.0 out-of-cycle valuation series (first reporting period the December 2025 quarter) as a clean pre-commencement monitoring baseline. No source makes this argument and no behavioural magnitude is claimed.</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Third-party concentration is the largest operational fact about this measure: the calculation, attribution, ATO lodgement and release-authority payment will be delivered by a small number of shared administrators, custodians and external tax agents, so a methodology defect or build failure is a common-mode event across many funds in the same annual window, and accountability for the 'fair and reasonable' judgement is non-delegable even where a vendor computes it.</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fund administration is a CPS 230 default critical operation and is predominantly outsourced across the sector; (2) CPS 230's service provider limb applies and APRA already holds material service provider registers submitted by 1 October 2025 for concentration-risk purposes; (3) shared administrators mean shared methodology, which produces consistency within a bloc and a cliff between blocs, and means boards will in substance adopt a vendor's judgement; (4) the trustee remains accountable. The concentration pattern is inferred from the structure of the sector, not from the registers themselves, which have not been analysed for this purpose - doing so is the recommended first step and requires no new collection.</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Small APRA funds are APRA-regulated, have six or fewer members, and therefore fall on the prescribed-formula-plus-annual-actuarial-certificate side of the regime rather than the trustee-judgement side that the rest of the analysis addresses.</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regime splits at six members, not at SMSF versus APRA-regulated; (2) small APRA funds are defined by having no more than six members and are trusteed by RSE licensees APRA supervises; (3) therefore a subset of APRA's own supervised population faces a different legal mechanism, including a recurring annual actuarial certificate cost that may be uneconomic for very small funds. The fund count (approximately 673 at June 2025) was not re-verified this pass.</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Council of Financial Regulators is not the right forum for an APRA-ATO coordination question, because the CFR has four members - APRA, ASIC, Treasury and the RBA - and the ATO is not one of them.</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6"/>
                <w:szCs w:val="16"/>
              </w:rPr>
              <w:t xml:space="preserve">S</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CFR member agencies page (https://www.cfr.gov.au/about/member-agencies.html) - confirmed this pass. The brief refers instead to the broader grouping that includes the ATO.</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r>
        <w:tc>
          <w:tcPr>
            <w:tcW w:type="dxa" w:w="3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Whether the ATO can lawfully provide APRA with member-level or fund-level Division 296 and total-balance data is a threshold legal question governed by the taxation secrecy provisions in Schedule 1 Division 355 of the TAA 1953 and by APRA's own secrecy obligations, and it is unresolved.</w:t>
            </w:r>
          </w:p>
        </w:tc>
        <w:tc>
          <w:tcPr>
            <w:tcW w:type="dxa" w:w="8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72CE"/>
                <w:sz w:val="16"/>
                <w:szCs w:val="16"/>
              </w:rPr>
              <w:t xml:space="preserve">I</w:t>
            </w:r>
          </w:p>
        </w:tc>
        <w:tc>
          <w:tcPr>
            <w:tcW w:type="dxa" w:w="43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Chain: (1) the brief recommends an ATO data exchange as the principal answer to APRA's visibility problem; (2) ATO disclosure of protected information is restricted by statute with defined exceptions; (3) therefore the recommendation may require an amendment or a legislated exception rather than an administrative arrangement, and the existing APRA-ATO memorandum of understanding may not cover it. The Division 355 provisions were not read this pass; the point is raised as a question to be resolved before the recommendation is put externally, not as a legal conclusion.</w:t>
            </w:r>
          </w:p>
        </w:tc>
        <w:tc>
          <w:tcPr>
            <w:tcW w:type="dxa" w:w="9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unverified</w:t>
            </w:r>
          </w:p>
        </w:tc>
      </w:tr>
      <w:tr>
        <w:tc>
          <w:tcPr>
            <w:tcW w:type="dxa" w:w="3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recommendations in this brief are options for consideration, and the grading rule is stated on the page and applied mechanically, with any judgement override declared in one line.</w:t>
            </w:r>
          </w:p>
        </w:tc>
        <w:tc>
          <w:tcPr>
            <w:tcW w:type="dxa" w:w="8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6"/>
                <w:szCs w:val="16"/>
              </w:rPr>
              <w:t xml:space="preserve">C</w:t>
            </w:r>
          </w:p>
        </w:tc>
        <w:tc>
          <w:tcPr>
            <w:tcW w:type="dxa" w:w="43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Editorial and methodological decision for this meeting, made in response to review findings that the draft's grades were not monotonic in their own scores (two pairs of items with identical or dominating score vectors carried different grades) and that likelihood had been scored against whether a fact obtains rather than whether an adverse consequence crystallises in a named window. Likelihood is now stated as a dated proposition for each issue, and the A-grade count falls accordingly.</w:t>
            </w:r>
          </w:p>
        </w:tc>
        <w:tc>
          <w:tcPr>
            <w:tcW w:type="dxa" w:w="9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verified</w:t>
            </w:r>
          </w:p>
        </w:tc>
      </w:tr>
    </w:tbl>
    <w:p>
      <w:r>
        <w:br w:type="page"/>
      </w:r>
    </w:p>
    <w:p>
      <w:pPr>
        <w:pBdr>
          <w:bottom w:val="single" w:color="0072CE" w:sz="6" w:space="4"/>
        </w:pBdr>
        <w:spacing w:after="100" w:before="0"/>
      </w:pPr>
      <w:r>
        <w:rPr>
          <w:rFonts w:ascii="Arial" w:cs="Arial" w:eastAsia="Arial" w:hAnsi="Arial"/>
          <w:b/>
          <w:bCs/>
          <w:color w:val="012169"/>
          <w:sz w:val="22"/>
          <w:szCs w:val="22"/>
        </w:rPr>
        <w:t xml:space="preserve">Annex D — Red-team challenge and disposition</w:t>
      </w:r>
    </w:p>
    <w:p>
      <w:pPr>
        <w:spacing w:after="120" w:before="0" w:line="264"/>
      </w:pPr>
      <w:r>
        <w:rPr>
          <w:rFonts w:ascii="Arial" w:cs="Arial" w:eastAsia="Arial" w:hAnsi="Arial"/>
          <w:color w:val="52514E"/>
          <w:sz w:val="17"/>
          <w:szCs w:val="17"/>
        </w:rPr>
        <w:t xml:space="preserve">The draft register was attacked by three independent adversarial reviewers before it reached this page: a hostile fact-checker instructed to refute rather than agree, a grading sceptic instructed to hunt for inflated ratings, and a completeness critic instructed to find what had been left out. Every challenge was dispositioned — accepted and fixed, partially accepted, or rejected with reasons. The table below is the full record, including the challenges we rejected.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1500"/>
        <w:gridCol w:w="4106"/>
      </w:tblGrid>
      <w:tr>
        <w:trPr>
          <w:tblHeader/>
        </w:trPr>
        <w:tc>
          <w:tcPr>
            <w:tcW w:type="dxa" w:w="43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Challenge raised</w:t>
            </w:r>
          </w:p>
        </w:tc>
        <w:tc>
          <w:tcPr>
            <w:tcW w:type="dxa" w:w="1500"/>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jc w:val="center"/>
            </w:pPr>
            <w:r>
              <w:rPr>
                <w:rFonts w:ascii="Arial" w:cs="Arial" w:eastAsia="Arial" w:hAnsi="Arial"/>
                <w:b/>
                <w:bCs/>
                <w:caps/>
                <w:color w:val="012169"/>
                <w:sz w:val="15"/>
                <w:szCs w:val="15"/>
              </w:rPr>
              <w:t xml:space="preserve">Outcome</w:t>
            </w:r>
          </w:p>
        </w:tc>
        <w:tc>
          <w:tcPr>
            <w:tcW w:type="dxa" w:w="4106"/>
            <w:tcBorders>
              <w:top w:val="single" w:color="0072CE" w:sz="8"/>
              <w:left w:val="none" w:color="FFFFFF" w:sz="0"/>
              <w:bottom w:val="single" w:color="D9D8D2" w:sz="3"/>
              <w:right w:val="none" w:color="FFFFFF" w:sz="0"/>
            </w:tcBorders>
            <w:shd w:fill="F4F9FC" w:color="auto" w:val="clear"/>
            <w:tcMar>
              <w:top w:type="dxa" w:w="70"/>
              <w:left w:type="dxa" w:w="100"/>
              <w:bottom w:type="dxa" w:w="70"/>
              <w:right w:type="dxa" w:w="100"/>
            </w:tcMar>
            <w:vAlign w:val="top"/>
          </w:tcPr>
          <w:p>
            <w:pPr>
              <w:spacing w:after="0" w:line="240"/>
            </w:pPr>
            <w:r>
              <w:rPr>
                <w:rFonts w:ascii="Arial" w:cs="Arial" w:eastAsia="Arial" w:hAnsi="Arial"/>
                <w:b/>
                <w:bCs/>
                <w:caps/>
                <w:color w:val="012169"/>
                <w:sz w:val="15"/>
                <w:szCs w:val="15"/>
              </w:rPr>
              <w:t xml:space="preserve">Reasoning</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Consultation ask 8 quotes the ATO as being 'in the position of having retrospective law'. That statement is from June 2025 and is an artefact of the abandoned 1 July 2025 commencement; under the enacted law Assent (13 March 2026) precedes commencement (1 July 2026), so there is no retrospectivity.</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independently checked against the enacted timeline. Quote deleted. The successor fund transfer protocol ask survives on its own footing and is re-grounded on transfers spanning the 30 June 2027 measurement date. Carrying a stale-design quote into a CEO brief is exactly the failure mode this pass exists to catch.</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Likelihood is scored against whether a fact is presently true rather than whether an adverse consequence occurs. All six likelihood-5 scores are present-tense certainties, which manufactures five of the six A grades.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criticism is methodologically decisive. Likelihood is redefined as P(named adverse consequence within a dated window) and every score restated as a dated proposition. Four of the six 5s fall to 2-3. A grades fall from six to three. No counter-argument available: a probability of 5 on a certainty is not a probability.</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No stated rule maps materiality/likelihood/proximity to A/B/C, and the mapping is non-monotonic (P6 and P9 share a score vector but differ in grade; P15 dominates P14 but grades lower).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by adding the columns. Rule now stated on the page (A = proximity&gt;=4 and materiality&gt;=4 and likelihood&gt;=4; B = otherwise sum&gt;=10; C = sum&lt;10) and applied mechanically, with any judgement override stated in one line. An unstated rubric is indefensible in front of a reader who can do arithmetic.</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P6 grades a Division 296 outflow window as A while P16 finds this is not a liquidity event and instructs the brief to open with that. The register contradicts itself on its own headline proposition.</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Genuine internal contradiction; whichever the reader saw second would discredit the other. Resolved in favour of P16, which is the better-evidenced position. P6 is demoted and folded into the liquidity item as 'tested and cleared, with two named exceptions' (illiquid member-directed options; the June 2027 transitional window).</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P14 recommends APRA tell licensees not to build to the post-death attribution rule because it is 'draft'. It is not draft: the regulations were made 11 June and registered 18 June 2026 with the rule intact.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This was the only recommendation in the register capable of causing direct harm if adopted - telling supervised entities not to implement operative law. Instruction deleted and inverted: the rule is made, licensees must build to it, and the supervisory question is how continued post-death attribution is reconciled with the duty to cash death benefits as soon as practicable. Treasury advocacy on the merits is retained but moved to the consultation list.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P2 is graded A, labelled 'sourced', and rests on an unverified negative (APRA absent from the ATO working group / has published nothing), while ignoring bilateral Treasury-ATO-APRA engagement.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confirmed: APRA does engage bilaterally with Treasury and the ATO, and the outstanding calculation/attribution work is progressing through an ATO co-design process. The 'no voice / not in the room' framing was wrong and is removed. The item is no longer a graded prudential risk; it becomes an ungraded APRA action - formalise participation in the Division 296 workstream so a prudential perspective is contributed before the ruling reaches draft - and is written as an opportunity, not a criticism of current practice.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FATAL. CPS 230 is cited five times and only ever the critical-operations limb. The service provider limb (concentration in a handful of administrators, custodians and tax agents building one Division 296 engine for many funds) is never engaged, despite APRA already holding the material service provider register.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largest structural hole and it undercuts the brief's own claim that the exposure is operational. A standalone issue is added covering common-mode failure across client funds in a single correlated annual window, non-delegable trustee accountability where a vendor forms the methodology in substance, the 'administrator cannot deliver' failure mode, and the point that the concentration map already exists in the MSP register at zero collection cost. The CPS 230 framework verdict is rewritten as a two-limb assessment.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CPS 230 para 24 is misquoted throughout; the 'must manage its full range of operational risks' duty is para 24. Para 23 is senior management's duty to inform the Board.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verified. Corrected in P1, P3, P8 and both framework verdicts. A repeated off-by-one on the register's most-cited standard would have been corrected in the room.</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SPS 530 para 31 is not the investment stress testing programme; para 31 is, confirmed by para 38's own cross-reference.</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Independently verified. Citation changed to para 31 and the range restated as paras 31-38 throughout. Para 36(d)/(e) references are unaffected and retained.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elective 30 June 2026 cost-base reset is available to small funds - SMSFs and small APRA funds - not to SMSFs alone. The legislated boundary is fund size, not SMSF versus APRA-regulated, which weakens P7's perimeter framing.</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consequential: small APRA funds sit inside APRA's own perimeter and on the favourable side of the line. P7 is restated around the size boundary, and the perimeter argument (migration to SMSFs) is separated from the design-asymmetry argument (large funds and pooled superannuation trusts disadvantaged against small funds, including APRA-regulated ones).</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Four load-bearing quotes attributed to 2026 ATO Superannuation Administration Group key messages are in fact from the 17 June 2025 meeting; a reader following the citations will not find them.</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Provenance failure. All four re-cited to the 17 June 2025 meeting with its own URL and each flagged as predating the October 2025 redesign and the made regulations, so a reader can judge whether it has been overtaken. This also drove the fatal 'retrospective law' error.</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P13 recommends APRA push back on reuse of the Division 293 SuperStream codes, without disclosing that ASFA expressly asked the ATO to reuse that channel on cost grounds.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Briefing the Chair to advocate against the peak body's stated position without saying so is indefensible. ASFA's request is disclosed and the ask is reframed to a machine-readable Division 296 flag on the existing message plus a commitment that the flow can be isolated in fund and regulator reporting - which meets APRA's classification objective without the build cost ASFA is guarding.</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$2,018bn and 18.7m accounts belong to the 23 licensees reviewed, not the 12 requiring material improvement. The register roughly doubles the apparent scale of the adverse finding.</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against APRA's own December 2024 publication. Restated so the review scope, the 12, and the eight-licensee liquidity subgroup (27% of funds under management, 5.4m accounts) are separately attributed. This is the number most likely to be repeated verbatim and then corrected.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P5 builds a named supervisory shortlist on CSS at 23.58% of accounts above $1m while P10 disclaims the same entity's balance-bracket data as a probable reporting artefact.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register cannot rely on a figure in one issue and disclaim it in another. CSS is moved to 'subject to data verification' pending confirmation with Commonwealth Superannuation Corporation, and the CSS headline number is struck. The shortlist survives on the platform and wrap cohort, which does not depend on the disputed data.</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ATO law companion ruling quote is cited to the advice-under-development page, which does not contain it - and the same page is simultaneously cited for the finding that no Division 296 item appears on it.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cannot be true of one page. The negative finding is retained against that URL; the drafting statement is either re-cited to its actual source or, if it cannot be located, dropped to a gap. No citation is retained on a page that does not carry the quoted words.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P16's 'one fifteenth of a peak stress-test month' mixes numerators - it uses the APRA-side $0.9bn for the lump-sum comparison and the whole-system $2.3bn for the stress-test comparison; the unexplained 0.4-1.1% range has no stated basis.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Arithmetic checked and the criticism holds. One numerator is now used throughout ($0.9bn APRA-side): about 1.1% of annual lump sums, about 0.03% of assets, about 3% of a single peak stress-test month. The unexplained range is deleted. This is the sentence the brief proposes to open with, so it must survive arithmetic.</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'Met it without selling a single unlisted asset' is categorical; APRA's own wording is that funds largely avoided selling unlisted assets, meeting the shock primarily through listed equities.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source does not support the categorical claim and the sentence is load-bearing for the brief's calibration. Replaced with APRA's own wording. The P6 quote is downgraded to a paraphrase pending verification against the full report.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 and P12 overstate trustee finality: the attribution is an input to a Commissioner's assessment, and the member retains an objection right against the ATO regardless of any AFCA carve-out.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it materially changes the remedy landscape. P1 is reframed - the trustee determines the input that drives the assessment. P12 now states that a carve-out removes the AFCA route but not the statutory objection route, and the ask becomes whether an objection against the ATO is a real remedy when the disputed judgement sits with a third party. Note this cuts both ways: the enacting law's express AFCA note on the provider's notification duty shows Parliament contemplated complaints against providers, which weakens the industry carve-out request.</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declares the gender-equity concern 'closed' on the Actuaries Institute's endorsement while ASFA was still making submissions on male-only valuation factors at the close of consultation.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Declaring an issue closed to a CEO on one body's endorsement while another's contemporaneous submission is open is an assurance the brief cannot give. Downgraded to a statement of both positions, with the made-regulation position to be confirmed before treating it as settled.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P6 and P9 have identical score vectors (3/4/5) but different grades.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Resolved by the stated rubric plus the demotion of P6 required by the liquidity contradiction. Under the rule both sit at B; P6 is then folded into the liquidity item and P9 retains its own entry.</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 strictly dominates P14 on the declared scores yet is graded one band lower.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 second independent inversion. Fixed by the stated rubric and by the separate uplift to P15's proximity, which places it above P14 on both score and grade.</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RFI timing (10 business days from November 2027; 28 calendar days from April 2028) is cited jointly to two ATO meetings that say different things, and the non-defined-benefit date appears to have moved from February to April.</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two sources are not consistent and the register presented them as if they were. Each meeting is now cited separately, the schedule change is disclosed, the years are marked as ATO indicative planning dates rather than settled, and the tension with 'assessments issue in the second half of 2027-28' is stated as an open question rather than smoothed over.</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P6's grade A ignores the size of the liability: a member at $3.2m pays about $1,800 and cannot rationally restructure for that, while a member at $8-10m has a real liability but cannot get under $3m by 30 June 2027. Both tails argue against a correlated rush.</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arithmetic is correct (proportioning by (TSB-3m)/TSB then 15%) and it is the strongest single piece of analysis in the red-team pack. Likelihood cut, P6 demoted to C, and the $1,800 / $9,000 / $63,000 figures moved to the front of the brief as the register's missing denominator. The supervisory action - requiring production of the policy-driven liquidity scenario - is retained as a cheap test.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P1's materiality 5 is the register's only 5 and nothing measures it; the spread between two lawful attribution methods is never estimated.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an unmeasured 5 cannot stand: materiality drops to 4 pending evidence, and the proposed test (ask two or three exposed licensees to run two defensible methods over FY2026-27 data to date and report the spread) is adopted as a pre-meeting action. Not fully accepted: the reviewer's premise that every lawful method 'must be broadly proportionate to member balances' is itself unsourced - the statute says only 'fair and reasonable' - so the inference that dispersion is structurally small is not established either. The score moves because the evidence is absent, not because the reviewer's alternative is proved.</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cites 305,000 accounts above $1m averaging $1.45m to argue APRA is blind, and never turns the same data round to bound the in-scope population, so no issue has a denominator.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Correct and cheap to fix. A labelled inference is added: a steeply decaying right tail above $1m, read against Treasury's superseded-design estimate of 31,800 in-scope individuals across all APRA-regulated and exempt public sector funds, implies a median large licensee has in-scope members in the hundreds. Marked 'inferred', with the Treasury vintage caveat carried, and used to calibrate supervisory intensity and the proportionality gate in the readiness item.</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P9 (valuation still determines the tax) is undergraded at B; it is the one issue where APRA has already published adverse findings on the precise control that now carries a personal tax consequence, and the sharper risk is upward revaluation pushing members over the threshold.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substantive insight is accepted and incorporated: upward revaluation at 30 June is the more likely complaints channel, since downward suppression requires alleging misconduct and harms every other member's exit price. The regrade to A is not accepted - under the now-stated rubric a 3/4/5 vector is B, and creating an unexplained override for this item would reintroduce the very inconsistency the rubric was adopted to cure. P9 is the highest-ranked B and is flagged as such, with the reputational point made in the text rather than through the grade.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 (the total superannuation balance redefinition) is undergraded at C on proximity 2; the trustee reports the number and members will act on it, and the failure mode - an excess contributions assessment from a methodology-driven balance movement - is concrete and member-harming.</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Proximity raised and the issue regraded to B, with the excess-contributions failure mode stated. The population is far larger than the Division 296 cohort and the trustee sits at the centre of the disclosure. The unexplained '$1.5 million' figure quoted from ASFA is flagged as unverified rather than repeated.</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P3's likelihood 5 measures commencement rather than risk, and its statement that absence from the risk appetite statement, risk declaration, operational risk financial requirement target or business plan is 'a governance finding' has no materiality gate.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limbs accepted. Likelihood rescored against a failed or materially wrong first RFI response in the 2028 window. The governance-finding statement is gated on exposure, using the in-scope headcount inference above, so a licensee with a handful of affected members is not held to the same expectation as a licensee with thousands. An ungated expectation would not survive contact with a small licensee.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P3, P13 and P8 are one operational-risk theme (fund administration performing a new statutory calculation and payment function on external clocks) split into three graded entries, inflating the apparent breadth of the register.</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3"/>
                <w:szCs w:val="13"/>
              </w:rPr>
              <w:t xml:space="preserve">rejected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They share instruments but not duties, clocks, failure modes or remedies. P3 is a build-and-respond capability question on an annual RFI window; P13 is an externally triggered payment obligation out of preserved benefits; P8 is a multi-year records and reproducibility obligation now reinforced by an independent statutory duty on the provider to notify the Commissioner within 14 days of an end benefit becoming payable and to correct a material error within 7 days - a duty that has nothing to do with release-authority payment and would be buried by a merge. The grade-inflation concern is real but is cured by the stated rubric and the rescoring, which is the proportionate remedy; collapsing three distinct obligations to fix a scoring artefact would lose the one genuinely new duty the enacting law imposes on funds.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P5 bootstraps: findings on unlisted valuation and liquidity frameworks, and enforcement on investment governance, are treated as evidence of unreadiness for a tax calculation performed by different systems and teams.</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inference does not hold and would be spotted immediately. The reasoning is replaced with the sound one the reviewer supplies: platform and wrap trustees are the right cohort because member-directed options make attribution genuinely hard and genuinely divergent. The December 2024 thematic is retained only as indicative evidence of general governance capacity, expressly flagged as indicative rather than probative.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P7's title asserts money is already moving while the body concedes causation is not established, and the largest rollover quarter predates the October 2025 redesign.</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the title over-claims: retitled around the legislated cost-base asymmetry, with the rollover series demoted to a monitoring line and materiality reduced. Not accepted in its reasoning: the September 2025 quarter predates the redesign but not the measure, which had been public policy since February 2023, so that quarter does not refute a Division 296 explanation any more than it supports one. The correct position is that causation is unestablished in both directions and APRA should say so plainly.</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P8's materiality 4 is defeated by its own evidence: ASFA puts typical amendment variation at a few basis points, so per-member tax changes are trivial. The real point is administrative disproportion and four-year reproducibility.</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that member financial harm is not the right frame and that materiality must come down; the issue is reframed around reissuing assessments to move a bill by tens of dollars, which is the strongest argument for the industry's materiality-threshold ask. Not demoted as far as C: the four-year reproducibility obligation now sits alongside an express statutory correction duty on the provider within 7 days of a material change or omission, which is a live, dated compliance obligation rather than a hypothetical, so the issue holds at B.</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P13 states the ten-business-day release authority clock and penalty as settled fact in plain English while its own gap records that the Division 296 release authority type is unconfirmed.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An unconfirmed statutory deadline cannot sit in the plain-English text with the caveat three fields away. Rewritten to state that other release authority types carry a ten-business-day clock and a penalty and that the Division 296 equivalent has not been published, pending confirmation with the ATO before the meeting.</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P12 overstates APRA's proximity (AFCA jurisdiction is ASIC and Treasury territory) and recommends an ATO data request that taxpayer confidentiality does not permit.</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secrecy point is accepted in full: the ask is reframed as a legislative request to Treasury for a disclosure exception, with the obstacle stated. The AFCA point is accepted only in part - the question is routed to ASIC with an APRA member-outcomes view attached rather than owned by APRA - but the proximity downgrade is rejected, because the enacting law's own notification provision carries an express note that a dissatisfied person may complain under the AFCA scheme. Parliament has therefore already contemplated member complaints against providers arising from Division 296 conduct, which is squarely a supervised-entity conduct and operational exposure.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frames the accumulation/defined benefit differential tax base as an equitable-treatment failing, but a trustee cannot breach the covenant by complying with a statute that prescribes different bases.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Category error accepted. The equity framing is demoted to a member-communications point and the issue leads on what is genuinely trustee-side: the new annual actuarial valuation capability, the tighter response window, and decades-long deferred debt account tracking that must survive mergers and administrator changes. The 10,000 defined benefit members figure is caveated to the same standard as the other superseded-design numbers.</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P11's materiality 3 is unsupported: roughly $1.42m sector-wide (or even ten times that) spread across 22.5m accounts is cents per member, which is a governance-of-process point, not a member-outcomes harm.</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arithmetic is right and belongs in the brief. Materiality reduced and the issue regraded, while the recommended action is kept unchanged - asking how build and run costs are recovered before FY2028 fee-setting is locked in is cheap, timely and useful, and the cohort proposal for business performance reviews is among the best instrument-level ideas in the pack. A lower-grade issue with a strong action is recorded as such.</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About half the consultation asks are tax-design positions advanced in APRA's name (cost-base levelling, materiality thresholds, reserve treatment, post-death attribution, loss treatment, pooled superannuation trust mechanics) rather than prudential consequences.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in structure: the list is split into asks APRA owns (participation in the calculation and attribution work, the transfer protocol, a published in-scope headcount, an ATO data arrangement, and a minimum governance standard for attribution as a member-equity expectation) and prudential consequences put on the record for Treasury and the ATO to remedy. Not accepted that the substance should be dropped - a prudential regulator is entitled, and expected, to state the consequence for supervised entities and members of a specific design feature; what it should not do is nominate the tax mechanic. Each relocated item is restated as a consequence with the remedy left to the policy owner.</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P15's plain English fails: 'superannuation interest' is an undefined term of art and is the crux of the issue.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Rewritten in the reviewer's terms - each separate pot of super gets its own value, the total decides whether more money can be put in, and for defined benefit members the number can move because the measuring method changed rather than because their money changed. The brief is unreadable at CEO level if the crux is a term of art.</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P10's plain English packs actuarial value, the movement measure and the 0.825 factor into one clause and assumes the reader knows what a family law split valuation is.</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Rewritten to explain that an actuary must estimate what a promised pension is worth, that the tax looks at how much that estimate rose over the year cut by about 17.5%, and that funds have only ever done this one member at a time, by hand, on divorce. Without that, a reader cannot judge whether the capability build is proportionate.</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No issue anywhere states what an affected member actually pays, so the proportioning mechanism - only the share of earnings above the threshold is taxed - is never explained and every materiality judgement is untestable.</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single most useful omission identified. A worked example is added at the front of the brief ($3.2m about $1,800; $4m about $9,000; $10m about $63,000, with the arithmetic shown and labelled as APRA's own derivation), and every likelihood and materiality score is re-tested against it. This alone drove the demotion of the outflow issue.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P2 recommends escalating an APRA-ATO coordination gap to the Council of Financial Regulators, of which the ATO is not a member; the relevant forum is the wider CFR Plus grouping. The register also recommends an ATO data exchange three times without checking whether taxation secrecy permits it.</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Both accepted. The forum is corrected, and the legal-basis question - whether the taxation secrecy provisions and the existing APRA-ATO arrangements permit member-level or fund-level Division 296 data to be shared, or whether a legislated exception is needed - is added as the threshold step before any data-exchange recommendation. Recommending a data flow without establishing that it is lawful is a hole a Treasury or ATO counterpart would find immediately.</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misses APRA's own Payday Super readiness letter of 25 March 2026 - a four-month-old, self-authored precedent for exactly the intervention the register proposes, on a measure commencing the same day.</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Strongest completeness addition. It supplies a precedent, drafting, and an answer to the 'is this APRA's business?' objection, and it makes the proposed Division 296 letter a consistency step rather than a new initiative. Cited in the engagement and readiness items. The related change-saturation point - both measures commencing 1 July 2026 on the same platforms and the same finite administrator change capacity - is added as a distinct operational risk.</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P11 stops at fee-setting governance and misses the transmission mechanism: costs recovered through administration fees feed the annual performance test, which carries a product-closure consequence. Regrade to A.</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E87722"/>
                <w:sz w:val="13"/>
                <w:szCs w:val="13"/>
              </w:rPr>
              <w:t xml:space="preserve">partially accepted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transmission mechanism is accepted and added, together with the perverse incentive it creates to absorb or capitalise the cost rather than recover it transparently. The regrade to A is rejected: the performance test benchmarks administration fees against the median for the product category, so a cost incurred by the whole sector moves the median as well as the licensee, and the effect is differential rather than absolute. It bites only where a licensee's affected population is small relative to its fee base - a real but narrow exposure, better stated as a supervisory question than as a top-tier risk. The performance test citation is also marked for verification before it is put in front of the CEO.</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P10 cites SPS 231 Outsourcing, which was replaced by CPS 230 on 1 July 2025, so the defined benefit actuarial capability question is analysed under a repealed standard.</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Verified and corrected to the CPS 230 service provider provisions. The substitution also improves the analysis: a small number of consulting actuarial firms will perform the new annual valuation for essentially every defined benefit scheme in the country on a short response clock, which is a service provider concentration exposure in its own right and now sits with the broader concentration issue.</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register identifies that RSE auditor assurance does not reach the Division 296 calculation but never runs the same reasoning on breach reporting: Division 296 obligations arise under tax law, not RSE licensee law, so a failed ATO report is not of itself notifiable to APRA.</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The reasoning is sound and yields three layered blind spots - no APRA reporting standard, no auditor assurance, no notification trigger - of which the register found one. Added, with the fix that costs nothing: state in the proposed letter that APRA expects notification of material Division 296 failures, mirroring the Payday Super approach. Noted alongside it that the enacting law does impose a direct notification duty on the provider, but to the Commissioner and not to APRA, which sharpens rather than weakens the point.</w:t>
            </w:r>
          </w:p>
        </w:tc>
      </w:tr>
      <w:tr>
        <w:tc>
          <w:tcPr>
            <w:tcW w:type="dxa" w:w="43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perimeter analysis has only one channel. Members can also reduce their measured balance via life-company lifetime income streams, and money leaving super often goes to investment bonds - both APRA-regulated products, so part of the supposed perimeter loss is a transfer within APRA's own perimeter.</w:t>
            </w:r>
          </w:p>
        </w:tc>
        <w:tc>
          <w:tcPr>
            <w:tcW w:type="dxa" w:w="1500"/>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jc w:val="center"/>
            </w:pPr>
            <w:r>
              <w:rPr>
                <w:rFonts w:ascii="Arial" w:cs="Arial" w:eastAsia="Arial" w:hAnsi="Arial"/>
                <w:b/>
                <w:bCs/>
                <w:color w:val="00806D"/>
                <w:sz w:val="13"/>
                <w:szCs w:val="13"/>
              </w:rPr>
              <w:t xml:space="preserve">accepted and fixed</w:t>
            </w:r>
          </w:p>
        </w:tc>
        <w:tc>
          <w:tcPr>
            <w:tcW w:type="dxa" w:w="4106"/>
            <w:tcBorders>
              <w:top w:val="single" w:color="D9D8D2" w:sz="3"/>
              <w:left w:val="none" w:color="FFFFFF" w:sz="0"/>
              <w:bottom w:val="single" w:color="D9D8D2" w:sz="3"/>
              <w:right w:val="none" w:color="FFFFFF" w:sz="0"/>
            </w:tcBorders>
            <w:shd w:fill="EFEEE9" w:color="auto" w:val="clear"/>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Accepted as a monitoring item, labelled inferred and unquantified. It usefully reframes the CEO conversation from loss of visibility to an internal coordination step with life insurance supervision that costs nothing, and it connects to the total superannuation balance valuation changes already identified elsewhere in the register.</w:t>
            </w:r>
          </w:p>
        </w:tc>
      </w:tr>
      <w:tr>
        <w:tc>
          <w:tcPr>
            <w:tcW w:type="dxa" w:w="43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1A1A1A"/>
                <w:sz w:val="14"/>
                <w:szCs w:val="14"/>
              </w:rPr>
              <w:t xml:space="preserve">The liquidity item closes the system-level file after testing only aggregate outflow. A realised-earnings base is a deferral incentive that tilts portfolios toward low-distribution, low-turnover illiquid assets - compounding a trend APRA has already flagged.</w:t>
            </w:r>
          </w:p>
        </w:tc>
        <w:tc>
          <w:tcPr>
            <w:tcW w:type="dxa" w:w="1500"/>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jc w:val="center"/>
            </w:pPr>
            <w:r>
              <w:rPr>
                <w:rFonts w:ascii="Arial" w:cs="Arial" w:eastAsia="Arial" w:hAnsi="Arial"/>
                <w:b/>
                <w:bCs/>
                <w:color w:val="898781"/>
                <w:sz w:val="13"/>
                <w:szCs w:val="13"/>
              </w:rPr>
              <w:t xml:space="preserve">rejected</w:t>
            </w:r>
          </w:p>
        </w:tc>
        <w:tc>
          <w:tcPr>
            <w:tcW w:type="dxa" w:w="4106"/>
            <w:tcBorders>
              <w:top w:val="single" w:color="D9D8D2" w:sz="3"/>
              <w:left w:val="none" w:color="FFFFFF" w:sz="0"/>
              <w:bottom w:val="single" w:color="D9D8D2" w:sz="3"/>
              <w:right w:val="none" w:color="FFFFFF" w:sz="0"/>
            </w:tcBorders>
            <w:tcMar>
              <w:top w:type="dxa" w:w="70"/>
              <w:left w:type="dxa" w:w="100"/>
              <w:bottom w:type="dxa" w:w="70"/>
              <w:right w:type="dxa" w:w="100"/>
            </w:tcMar>
            <w:vAlign w:val="top"/>
          </w:tcPr>
          <w:p>
            <w:pPr>
              <w:spacing w:after="0" w:line="250"/>
            </w:pPr>
            <w:r>
              <w:rPr>
                <w:rFonts w:ascii="Arial" w:cs="Arial" w:eastAsia="Arial" w:hAnsi="Arial"/>
                <w:color w:val="52514E"/>
                <w:sz w:val="13"/>
                <w:szCs w:val="13"/>
              </w:rPr>
              <w:t xml:space="preserve">Not carried into the brief. In pooled options asset allocation is set for the whole option and a trustee cannot tilt it to suit fewer than 0.5% of members without running straight into the equitable-treatment covenant, so the proposed mechanism has no route to operate at scale. Where it does operate directly - member-directed and platform options - the effect is already captured by the platform and attribution issues. What remains is an unquantified, unsourced macro-allocation claim in a domain owned by Treasury and the RBA; advancing it as an original APRA proposition in a CEO brief invites a challenge the brief cannot answer, which is precisely the risk this pass is meant to remove. Recorded here as a considered rejection rather than an oversight, and noted as a question APRA could pose internally if it wishes to test it with evidence.</w:t>
            </w:r>
          </w:p>
        </w:tc>
      </w:tr>
    </w:tbl>
    <w:p>
      <w:pPr>
        <w:pBdr>
          <w:bottom w:val="single" w:color="0072CE" w:sz="6" w:space="4"/>
        </w:pBdr>
        <w:spacing w:after="100" w:before="240"/>
      </w:pPr>
      <w:r>
        <w:rPr>
          <w:rFonts w:ascii="Arial" w:cs="Arial" w:eastAsia="Arial" w:hAnsi="Arial"/>
          <w:b/>
          <w:bCs/>
          <w:color w:val="012169"/>
          <w:sz w:val="22"/>
          <w:szCs w:val="22"/>
        </w:rPr>
        <w:t xml:space="preserve">Annex E1 — Points to carry into engagement with Treasury and the ATO</w:t>
      </w:r>
    </w:p>
    <w:p>
      <w:pPr>
        <w:spacing w:after="120" w:before="0" w:line="264"/>
      </w:pPr>
      <w:r>
        <w:rPr>
          <w:rFonts w:ascii="Arial" w:cs="Arial" w:eastAsia="Arial" w:hAnsi="Arial"/>
          <w:color w:val="52514E"/>
          <w:sz w:val="17"/>
          <w:szCs w:val="17"/>
        </w:rPr>
        <w:t xml:space="preserve">Both public consultations on this measure have closed, so these are points for bilateral engagement and the ATO co-design process rather than a submission. They are confined to prudential and member-outcomes consequences; the tax design remedies are left to the policy owner.</w:t>
      </w:r>
    </w:p>
    <w:p>
      <w:pPr>
        <w:pStyle w:val="ListParagraph"/>
        <w:numPr>
          <w:ilvl w:val="0"/>
          <w:numId w:val="2"/>
        </w:numPr>
        <w:spacing w:after="60" w:before="0" w:line="258"/>
      </w:pPr>
      <w:r>
        <w:rPr>
          <w:rFonts w:ascii="Arial" w:cs="Arial" w:eastAsia="Arial" w:hAnsi="Arial"/>
          <w:color w:val="1A1A1A"/>
          <w:sz w:val="17"/>
          <w:szCs w:val="17"/>
        </w:rPr>
        <w:t xml:space="preserve">FRAMING NOTE FOR ALL OF THE BELOW. Both Treasury consultations on this measure have closed (exposure draft, and draft regulations closed 7 April 2026), so there is no open public process to lodge a submission into. The Government's October 2025 commitment to further consultation on how realised earnings are calculated and attributed is being progressed through an ATO co-design process, and APRA engages bilaterally with both Treasury and the ATO. These are therefore points to carry into that existing engagement and into the ATO's co-design work as guidance products are developed - an opportunity to add a prudential and member-outcomes perspective to work that is already under way, not a gap in anyone's current practice.</w:t>
      </w:r>
    </w:p>
    <w:p>
      <w:pPr>
        <w:pStyle w:val="ListParagraph"/>
        <w:numPr>
          <w:ilvl w:val="0"/>
          <w:numId w:val="2"/>
        </w:numPr>
        <w:spacing w:after="60" w:before="0" w:line="258"/>
      </w:pPr>
      <w:r>
        <w:rPr>
          <w:rFonts w:ascii="Arial" w:cs="Arial" w:eastAsia="Arial" w:hAnsi="Arial"/>
          <w:color w:val="1A1A1A"/>
          <w:sz w:val="17"/>
          <w:szCs w:val="17"/>
        </w:rPr>
        <w:t xml:space="preserve">OFFER A PRUDENTIAL PERSPECTIVE ON THE GOVERNANCE OF ATTRIBUTION, WITHOUT PRESCRIBING THE TAX METHOD. The method by which a fund attributes earnings to individual members is being settled through ATO guidance. APRA's distinctive contribution is not the arithmetic but the governance wrapper: that the choice of method is a member-equity decision within the investment governance framework, and so warrants a written and Board-approved methodology, applied consistently from year to year, documented well enough to be reproduced for the full amendment period, and subject to some form of independent review. Worth noting that industry has itself proposed governance by analogy to unit pricing and crediting rate practice. Also worth putting: a default or safe-harbour method that a trustee adopting it can rely on would do more to produce consistent member outcomes than any governance expectation APRA could set, and industry would likely support it - but the design of any such method is properly the ATO's and Treasury's call.</w:t>
      </w:r>
    </w:p>
    <w:p>
      <w:pPr>
        <w:pStyle w:val="ListParagraph"/>
        <w:numPr>
          <w:ilvl w:val="0"/>
          <w:numId w:val="2"/>
        </w:numPr>
        <w:spacing w:after="60" w:before="0" w:line="258"/>
      </w:pPr>
      <w:r>
        <w:rPr>
          <w:rFonts w:ascii="Arial" w:cs="Arial" w:eastAsia="Arial" w:hAnsi="Arial"/>
          <w:color w:val="1A1A1A"/>
          <w:sz w:val="17"/>
          <w:szCs w:val="17"/>
        </w:rPr>
        <w:t xml:space="preserve">RECORD THE THIRD-PARTY CONCENTRATION CONSEQUENCE. The calculation, attribution, reporting and payment functions will be delivered not by each licensee independently but largely by a small number of shared administrators and custodians - all of them mandatory material service providers under CPS 230 para 50. The prudential consequence worth putting on the record with the ATO is that a defect or delay at one provider is a common-mode event across many funds simultaneously, in the same annual window, rather than an isolated failure. This is relevant to how the ATO sequences its information requests, how much transition support it plans, and how it handles first-year extensions. APRA can inform this from the material service provider registers it already receives annually.</w:t>
      </w:r>
    </w:p>
    <w:p>
      <w:pPr>
        <w:pStyle w:val="ListParagraph"/>
        <w:numPr>
          <w:ilvl w:val="0"/>
          <w:numId w:val="2"/>
        </w:numPr>
        <w:spacing w:after="60" w:before="0" w:line="258"/>
      </w:pPr>
      <w:r>
        <w:rPr>
          <w:rFonts w:ascii="Arial" w:cs="Arial" w:eastAsia="Arial" w:hAnsi="Arial"/>
          <w:color w:val="1A1A1A"/>
          <w:sz w:val="17"/>
          <w:szCs w:val="17"/>
        </w:rPr>
        <w:t xml:space="preserve">SETTLE THE TRANSFER PROTOCOL BEFORE THE FY2027 MERGER SEASON. The protocol for carrying member-level Division 296 information through a successor fund transfer or intra-fund transfer needs to be settled for transfers spanning the 30 June 2027 measurement date. This is squarely APRA's business because APRA actively encourages consolidation, so an unresolved protocol means APRA's own consolidation agenda could generate member-level tax errors. (The earlier industry discussion of a 'retrospective law' problem related to the abandoned 1 July 2025 commencement under the previous design and no longer applies: Royal Assent on 13 March 2026 preceded commencement on 1 July 2026.)</w:t>
      </w:r>
    </w:p>
    <w:p>
      <w:pPr>
        <w:pStyle w:val="ListParagraph"/>
        <w:numPr>
          <w:ilvl w:val="0"/>
          <w:numId w:val="2"/>
        </w:numPr>
        <w:spacing w:after="60" w:before="0" w:line="258"/>
      </w:pPr>
      <w:r>
        <w:rPr>
          <w:rFonts w:ascii="Arial" w:cs="Arial" w:eastAsia="Arial" w:hAnsi="Arial"/>
          <w:color w:val="1A1A1A"/>
          <w:sz w:val="17"/>
          <w:szCs w:val="17"/>
        </w:rPr>
        <w:t xml:space="preserve">ASK FOR A CURRENT IN-SCOPE HEADCOUNT, SPLIT BY SECTOR. The only Commonwealth estimate of the affected population was struck under the superseded design on older data, and no absolute headcount has been published for the enacted realised-earnings design. Without a current number split between APRA-regulated funds, exempt public sector schemes and self-managed funds, APRA cannot calibrate supervisory intensity, cannot test a licensee that says it has very few affected members, and cannot size the perimeter question. This is a low-cost ask and the ATO is the only party that can answer it.</w:t>
      </w:r>
    </w:p>
    <w:p>
      <w:pPr>
        <w:pStyle w:val="ListParagraph"/>
        <w:numPr>
          <w:ilvl w:val="0"/>
          <w:numId w:val="2"/>
        </w:numPr>
        <w:spacing w:after="60" w:before="0" w:line="258"/>
      </w:pPr>
      <w:r>
        <w:rPr>
          <w:rFonts w:ascii="Arial" w:cs="Arial" w:eastAsia="Arial" w:hAnsi="Arial"/>
          <w:color w:val="1A1A1A"/>
          <w:sz w:val="17"/>
          <w:szCs w:val="17"/>
        </w:rPr>
        <w:t xml:space="preserve">RESOLVE THE LEGAL GATEWAY BEFORE PURSUING A DATA EXCHANGE. A standing ATO-to-APRA data exchange covering balance distribution and Division 296 outflows by fund would substantially answer APRA's visibility problem without any change to APRA's own collections. The threshold question is whether taxpayer confidentiality in the taxation administration law permits it, and whether the existing APRA-ATO arrangements cover it or an amendment is needed. That question should be settled first, because if the answer is no, the remedy is a legislative one for Treasury rather than an administrative one for the ATO. Note also that the Council of Financial Regulators does not include the ATO, so this is a bilateral matter rather than a CFR one.</w:t>
      </w:r>
    </w:p>
    <w:p>
      <w:pPr>
        <w:pStyle w:val="ListParagraph"/>
        <w:numPr>
          <w:ilvl w:val="0"/>
          <w:numId w:val="2"/>
        </w:numPr>
        <w:spacing w:after="60" w:before="0" w:line="258"/>
      </w:pPr>
      <w:r>
        <w:rPr>
          <w:rFonts w:ascii="Arial" w:cs="Arial" w:eastAsia="Arial" w:hAnsi="Arial"/>
          <w:color w:val="1A1A1A"/>
          <w:sz w:val="17"/>
          <w:szCs w:val="17"/>
        </w:rPr>
        <w:t xml:space="preserve">PUT THE CHANGE-SATURATION POINT ON THE RECORD. Payday Super and Division 296 commenced on the same day, in the same administration systems, drawing on the same finite pool of administrator change capacity, with Payday Super carrying the earlier and more visible deadline. The foreseeable consequence is that Division 296 is the change most likely to be deprioritised - and it is the one with guidance still being developed, no external assurance, and a multi-year amendment tail. This is worth stating to Treasury and the ATO as a sequencing and transition-support consideration, and it is directly relevant to how much first-year flexibility the ATO builds in.</w:t>
      </w:r>
    </w:p>
    <w:p>
      <w:pPr>
        <w:pStyle w:val="ListParagraph"/>
        <w:numPr>
          <w:ilvl w:val="0"/>
          <w:numId w:val="2"/>
        </w:numPr>
        <w:spacing w:after="60" w:before="0" w:line="258"/>
      </w:pPr>
      <w:r>
        <w:rPr>
          <w:rFonts w:ascii="Arial" w:cs="Arial" w:eastAsia="Arial" w:hAnsi="Arial"/>
          <w:color w:val="1A1A1A"/>
          <w:sz w:val="17"/>
          <w:szCs w:val="17"/>
        </w:rPr>
        <w:t xml:space="preserve">RECORD PRUDENTIAL AND MEMBER-OUTCOMES CONSEQUENCES, LEAVING THE REMEDIES TO THE POLICY OWNER. Several contested design features have real consequences for supervised entities and their members, but the remedies are tax design questions for Treasury and the ATO and APRA should not advocate specific tax mechanics. The consequences worth recording are: (a) continued attribution of earnings after a member's death sits awkwardly with the trustee's obligation to cash a death benefit as soon as practicable, and trustees will need to know which obligation yields - noting that this rule is now made law, so licensees must build to it rather than wait; (b) where a fund amends its income tax return, the resulting re-reporting can reopen personal assessments years later, which is an administrative and record-keeping burden on trustees disproportionate to the typically small change in any member's tax; (c) the cost-base transitional treatment differs by fund size rather than by regulator, so some APRA-regulated entities sit on each side of the line, and the asymmetry is a migration incentive worth monitoring rather than a settled cause of the recent rollover trend; and (d) industry has asked that trustee attribution judgements sit outside the external dispute resolution scheme - APRA should have a view before this is settled by default, noting that the new notification duty on providers in the taxation administration law carries an express note preserving AFCA complaints, which cuts against that request, and that the question is primarily ASIC's and Treasury's perimeter.</w:t>
      </w:r>
    </w:p>
    <w:p>
      <w:pPr>
        <w:pBdr>
          <w:bottom w:val="single" w:color="0072CE" w:sz="6" w:space="4"/>
        </w:pBdr>
        <w:spacing w:after="100" w:before="240"/>
      </w:pPr>
      <w:r>
        <w:rPr>
          <w:rFonts w:ascii="Arial" w:cs="Arial" w:eastAsia="Arial" w:hAnsi="Arial"/>
          <w:b/>
          <w:bCs/>
          <w:color w:val="012169"/>
          <w:sz w:val="22"/>
          <w:szCs w:val="22"/>
        </w:rPr>
        <w:t xml:space="preserve">Annex E2 — What we still do not know</w:t>
      </w:r>
    </w:p>
    <w:p>
      <w:pPr>
        <w:spacing w:after="100" w:before="0" w:line="264"/>
      </w:pPr>
      <w:r>
        <w:rPr>
          <w:rFonts w:ascii="Arial" w:cs="Arial" w:eastAsia="Arial" w:hAnsi="Arial"/>
          <w:color w:val="52514E"/>
          <w:sz w:val="17"/>
          <w:szCs w:val="17"/>
        </w:rPr>
        <w:t xml:space="preserve">Stated plainly so the meeting does not over-read the analysis.</w:t>
      </w:r>
    </w:p>
    <w:p>
      <w:pPr>
        <w:pStyle w:val="ListParagraph"/>
        <w:numPr>
          <w:ilvl w:val="0"/>
          <w:numId w:val="2"/>
        </w:numPr>
        <w:spacing w:after="60" w:before="0" w:line="258"/>
      </w:pPr>
      <w:r>
        <w:rPr>
          <w:rFonts w:ascii="Arial" w:cs="Arial" w:eastAsia="Arial" w:hAnsi="Arial"/>
          <w:color w:val="1A1A1A"/>
          <w:sz w:val="17"/>
          <w:szCs w:val="17"/>
        </w:rPr>
        <w:t xml:space="preserve">The ATO's law companion ruling on calculating Division 296 fund earnings and members' relevant super earnings is still unwritten and unpublished. As at the page's 6 July 2026 update, no Division 296 item appears on the ATO's advice-under-development programme, which lists five unrelated items. Until it issues, no authoritative statement exists of how the calculation is to be performed, and the ruling's move from draft to final is the point at which the method effectively fixes.</w:t>
      </w:r>
    </w:p>
    <w:p>
      <w:pPr>
        <w:pStyle w:val="ListParagraph"/>
        <w:numPr>
          <w:ilvl w:val="0"/>
          <w:numId w:val="2"/>
        </w:numPr>
        <w:spacing w:after="60" w:before="0" w:line="258"/>
      </w:pPr>
      <w:r>
        <w:rPr>
          <w:rFonts w:ascii="Arial" w:cs="Arial" w:eastAsia="Arial" w:hAnsi="Arial"/>
          <w:color w:val="1A1A1A"/>
          <w:sz w:val="17"/>
          <w:szCs w:val="17"/>
        </w:rPr>
        <w:t xml:space="preserve">The operative attribution text in F2026L00726 could not be read directly - the Federal Register serves instrument documents through a JavaScript front end. The 'more than six members' boundary, the 'fair and reasonable' wording, the prescribed formula and actuarial certificate for small funds, and the prescribed defined benefit reduction factor of 0.825 all rest on the Bills Digest, industry submissions and practitioner commentary on the draft, not on the made instrument. The register's earlier phase-in factors (20/40/60/80 per cent) were drawn from two practitioner readings of the draft and are not carried in the brief.</w:t>
      </w:r>
    </w:p>
    <w:p>
      <w:pPr>
        <w:pStyle w:val="ListParagraph"/>
        <w:numPr>
          <w:ilvl w:val="0"/>
          <w:numId w:val="2"/>
        </w:numPr>
        <w:spacing w:after="60" w:before="0" w:line="258"/>
      </w:pPr>
      <w:r>
        <w:rPr>
          <w:rFonts w:ascii="Arial" w:cs="Arial" w:eastAsia="Arial" w:hAnsi="Arial"/>
          <w:color w:val="1A1A1A"/>
          <w:sz w:val="17"/>
          <w:szCs w:val="17"/>
        </w:rPr>
        <w:t xml:space="preserve">Consequently it is not confirmed whether the made regulations adopted any of the following, each of which industry requested and each of which changes a recommendation in the brief: a materiality threshold (5 per cent was proposed by two bodies) and an extended reporting window on amended fund tax returns; a fix for pooled superannuation trusts with multiple options or unitholders; a prescribed treatment of unallocated reserves; a bulk 30 June 2026 cost-base declaration for member-directed options in large funds; and the treatment of losses, specifically whether member-level earnings are floored at nil with no carry-forward and whether a loss in one interest can offset a gain in another.</w:t>
      </w:r>
    </w:p>
    <w:p>
      <w:pPr>
        <w:pStyle w:val="ListParagraph"/>
        <w:numPr>
          <w:ilvl w:val="0"/>
          <w:numId w:val="2"/>
        </w:numPr>
        <w:spacing w:after="60" w:before="0" w:line="258"/>
      </w:pPr>
      <w:r>
        <w:rPr>
          <w:rFonts w:ascii="Arial" w:cs="Arial" w:eastAsia="Arial" w:hAnsi="Arial"/>
          <w:color w:val="1A1A1A"/>
          <w:sz w:val="17"/>
          <w:szCs w:val="17"/>
        </w:rPr>
        <w:t xml:space="preserve">The ATO's information-request timetable is internally inconsistent across its own published records. The 18 February 2026 Superannuation Administration Group key messages record defined benefit requests from November 2027 and other APRA-fund requests from February 2028; the 20 May 2026 key messages say November and April with no year stated. Neither reconciles cleanly with assessments issuing in the second half of 2027-28. The dates should be treated as indicative ATO planning that has already moved once, and confirmed before any supervisory timetable is built on them.</w:t>
      </w:r>
    </w:p>
    <w:p>
      <w:pPr>
        <w:pStyle w:val="ListParagraph"/>
        <w:numPr>
          <w:ilvl w:val="0"/>
          <w:numId w:val="2"/>
        </w:numPr>
        <w:spacing w:after="60" w:before="0" w:line="258"/>
      </w:pPr>
      <w:r>
        <w:rPr>
          <w:rFonts w:ascii="Arial" w:cs="Arial" w:eastAsia="Arial" w:hAnsi="Arial"/>
          <w:color w:val="1A1A1A"/>
          <w:sz w:val="17"/>
          <w:szCs w:val="17"/>
        </w:rPr>
        <w:t xml:space="preserve">Whether AFCA jurisdiction over a trustee's 'fair and reasonable' attribution will be curtailed is unresolved and points in two directions. s 134-140 of Schedule 1 to the TAA 1953 carries an express note contemplating AFCA complaints about provider conduct under this regime; ASFA asked Treasury to place attribution judgements outside AFCA review. It is separately doubtful that income tax regulations could curtail AFCA at all, since its jurisdiction derives from the Corporations Act scheme approval and the AFCA Rules, which is ASIC and Treasury territory rather than APRA's. The member's statutory right to object to the ATO assessment persists either way, but whether that is a real remedy when the disputed judgement was made by a third party is untested.</w:t>
      </w:r>
    </w:p>
    <w:p>
      <w:pPr>
        <w:pStyle w:val="ListParagraph"/>
        <w:numPr>
          <w:ilvl w:val="0"/>
          <w:numId w:val="2"/>
        </w:numPr>
        <w:spacing w:after="60" w:before="0" w:line="258"/>
      </w:pPr>
      <w:r>
        <w:rPr>
          <w:rFonts w:ascii="Arial" w:cs="Arial" w:eastAsia="Arial" w:hAnsi="Arial"/>
          <w:color w:val="1A1A1A"/>
          <w:sz w:val="17"/>
          <w:szCs w:val="17"/>
        </w:rPr>
        <w:t xml:space="preserve">The dispersion between two lawful 'fair and reasonable' attribution methods applied to the same fund and the same members has never been measured, and nothing in the public record estimates it. This is the single most consequential unknown in the brief: if the spread is a few basis points of attributed earnings, the attribution issue is a platform and member-directed-option problem rather than an industry-wide one; if it is percentage points, it is the central issue. The recommended test - asking two or three exposed licensees to run two defensible methods over their year-to-date data and report the spread - would resolve it before the first measurement year closes.</w:t>
      </w:r>
    </w:p>
    <w:p>
      <w:pPr>
        <w:pStyle w:val="ListParagraph"/>
        <w:numPr>
          <w:ilvl w:val="0"/>
          <w:numId w:val="2"/>
        </w:numPr>
        <w:spacing w:after="60" w:before="0" w:line="258"/>
      </w:pPr>
      <w:r>
        <w:rPr>
          <w:rFonts w:ascii="Arial" w:cs="Arial" w:eastAsia="Arial" w:hAnsi="Arial"/>
          <w:color w:val="1A1A1A"/>
          <w:sz w:val="17"/>
          <w:szCs w:val="17"/>
        </w:rPr>
        <w:t xml:space="preserve">No current in-scope headcount exists under the enacted design, at sector level or per licensee. The only Commonwealth figure - 31,800 of approximately 80,000 individuals - is from the January 2024 Impact Analysis, struck on 2022-vintage data under the superseded change-in-balance design, and it combines APRA-regulated funds with exempt public sector schemes that APRA does not supervise. Without a denominator, supervisory intensity cannot be calibrated and a licensee claiming minimal exposure cannot be challenged.</w:t>
      </w:r>
    </w:p>
    <w:p>
      <w:pPr>
        <w:pStyle w:val="ListParagraph"/>
        <w:numPr>
          <w:ilvl w:val="0"/>
          <w:numId w:val="2"/>
        </w:numPr>
        <w:spacing w:after="60" w:before="0" w:line="258"/>
      </w:pPr>
      <w:r>
        <w:rPr>
          <w:rFonts w:ascii="Arial" w:cs="Arial" w:eastAsia="Arial" w:hAnsi="Arial"/>
          <w:color w:val="1A1A1A"/>
          <w:sz w:val="17"/>
          <w:szCs w:val="17"/>
        </w:rPr>
        <w:t xml:space="preserve">The integrity of APRA's fund-level balance-bracket data for the largest Commonwealth defined benefit schemes is in doubt. PSS and MilitarySuper report fewer than 20 accounts above $1m against average balances near $585,000 and $546,000, with most accounts clustered in a single bracket. CSS, reported by the same entity on the same form, is the largest single concentration in the exposed-cohort analysis. Until Commonwealth Superannuation Corporation confirms the reporting, CSS should not be used as a headline figure.</w:t>
      </w:r>
    </w:p>
    <w:p>
      <w:pPr>
        <w:pStyle w:val="ListParagraph"/>
        <w:numPr>
          <w:ilvl w:val="0"/>
          <w:numId w:val="2"/>
        </w:numPr>
        <w:spacing w:after="60" w:before="0" w:line="258"/>
      </w:pPr>
      <w:r>
        <w:rPr>
          <w:rFonts w:ascii="Arial" w:cs="Arial" w:eastAsia="Arial" w:hAnsi="Arial"/>
          <w:color w:val="1A1A1A"/>
          <w:sz w:val="17"/>
          <w:szCs w:val="17"/>
        </w:rPr>
        <w:t xml:space="preserve">Causation of the growth in net rollovers to SMSFs is not established and probably cannot be from published data. The largest single quarter precedes the redesign announcement, and the best establishment data attributes growth to different drivers and a younger demographic. The legislated cost-base asymmetry is real; the flow series does not evidence its effect.</w:t>
      </w:r>
    </w:p>
    <w:p>
      <w:pPr>
        <w:pStyle w:val="ListParagraph"/>
        <w:numPr>
          <w:ilvl w:val="0"/>
          <w:numId w:val="2"/>
        </w:numPr>
        <w:spacing w:after="60" w:before="0" w:line="258"/>
      </w:pPr>
      <w:r>
        <w:rPr>
          <w:rFonts w:ascii="Arial" w:cs="Arial" w:eastAsia="Arial" w:hAnsi="Arial"/>
          <w:color w:val="1A1A1A"/>
          <w:sz w:val="17"/>
          <w:szCs w:val="17"/>
        </w:rPr>
        <w:t xml:space="preserve">Whether the male-only unisex mortality basis was settled in the made regulations is unknown. Two peak bodies were in disagreement at the close of consultation - the Actuaries Institute welcoming it, ASFA still submitting on it - and the draft register's statement that the question is closed has been withdrawn.</w:t>
      </w:r>
    </w:p>
    <w:p>
      <w:pPr>
        <w:pStyle w:val="ListParagraph"/>
        <w:numPr>
          <w:ilvl w:val="0"/>
          <w:numId w:val="2"/>
        </w:numPr>
        <w:spacing w:after="60" w:before="0" w:line="258"/>
      </w:pPr>
      <w:r>
        <w:rPr>
          <w:rFonts w:ascii="Arial" w:cs="Arial" w:eastAsia="Arial" w:hAnsi="Arial"/>
          <w:color w:val="1A1A1A"/>
          <w:sz w:val="17"/>
          <w:szCs w:val="17"/>
        </w:rPr>
        <w:t xml:space="preserve">The final form of post-death attribution is not confirmed against the made instrument. Practitioner commentary on release indicates the draft approach survived and a 'death benefit income stream' concept was added, but sources conflict on whether a deceased member's total superannuation balance is set to nil so no further liability accrues, or whether attribution continues to the undistributed interest until death benefits are fully paid. The two readings produce materially different trustee obligations.</w:t>
      </w:r>
    </w:p>
    <w:p>
      <w:pPr>
        <w:pStyle w:val="ListParagraph"/>
        <w:numPr>
          <w:ilvl w:val="0"/>
          <w:numId w:val="2"/>
        </w:numPr>
        <w:spacing w:after="60" w:before="0" w:line="258"/>
      </w:pPr>
      <w:r>
        <w:rPr>
          <w:rFonts w:ascii="Arial" w:cs="Arial" w:eastAsia="Arial" w:hAnsi="Arial"/>
          <w:color w:val="1A1A1A"/>
          <w:sz w:val="17"/>
          <w:szCs w:val="17"/>
        </w:rPr>
        <w:t xml:space="preserve">Whether Division 296 release authorities carry the ten-business-day payment clock and the 20-penalty-unit non-compliance exposure has not been published. The ATO's list of release authority types for APRA-regulated funds shows six categories and does not include Division 296. The specific condition-of-release item authorising release of preserved benefits for this purpose was also not identified.</w:t>
      </w:r>
    </w:p>
    <w:p>
      <w:pPr>
        <w:pStyle w:val="ListParagraph"/>
        <w:numPr>
          <w:ilvl w:val="0"/>
          <w:numId w:val="2"/>
        </w:numPr>
        <w:spacing w:after="60" w:before="0" w:line="258"/>
      </w:pPr>
      <w:r>
        <w:rPr>
          <w:rFonts w:ascii="Arial" w:cs="Arial" w:eastAsia="Arial" w:hAnsi="Arial"/>
          <w:color w:val="1A1A1A"/>
          <w:sz w:val="17"/>
          <w:szCs w:val="17"/>
        </w:rPr>
        <w:t xml:space="preserve">The legal gateway for any ATO-to-APRA data exchange is unresolved: whether the taxation secrecy provisions in Schedule 1 Division 355 of the TAA 1953 permit disclosure of total-balance or Division 296 outflow data to APRA, whether the existing APRA-ATO memorandum of understanding covers it, and whether a legislated exception is required. The brief's principal answer to its own principal visibility problem may not be administratively available.</w:t>
      </w:r>
    </w:p>
    <w:p>
      <w:pPr>
        <w:pStyle w:val="ListParagraph"/>
        <w:numPr>
          <w:ilvl w:val="0"/>
          <w:numId w:val="2"/>
        </w:numPr>
        <w:spacing w:after="60" w:before="0" w:line="258"/>
      </w:pPr>
      <w:r>
        <w:rPr>
          <w:rFonts w:ascii="Arial" w:cs="Arial" w:eastAsia="Arial" w:hAnsi="Arial"/>
          <w:color w:val="1A1A1A"/>
          <w:sz w:val="17"/>
          <w:szCs w:val="17"/>
        </w:rPr>
        <w:t xml:space="preserve">The trust-law layer beneath the operational analysis is untested. Whether an RSE's governing rules permit debiting a member's interest to satisfy a Division 296 release authority, and whether they permit recovering build and run costs from members, has not been checked and may require deed amendments across the industry before the first release authorities arrive.</w:t>
      </w:r>
    </w:p>
    <w:p>
      <w:pPr>
        <w:pStyle w:val="ListParagraph"/>
        <w:numPr>
          <w:ilvl w:val="0"/>
          <w:numId w:val="2"/>
        </w:numPr>
        <w:spacing w:after="60" w:before="0" w:line="258"/>
      </w:pPr>
      <w:r>
        <w:rPr>
          <w:rFonts w:ascii="Arial" w:cs="Arial" w:eastAsia="Arial" w:hAnsi="Arial"/>
          <w:color w:val="1A1A1A"/>
          <w:sz w:val="17"/>
          <w:szCs w:val="17"/>
        </w:rPr>
        <w:t xml:space="preserve">Where a trustee's attribution error causes a member a personal tax detriment or a penalty, it is unknown whether the trustee may indemnify itself from fund assets consistently with the SIS Act restrictions on indemnity, and whether the operational risk financial requirement - which is members' money - may lawfully be applied to compensate an individual's personal tax liability. Either answer has a significant member-equity consequence and neither has been researched.</w:t>
      </w:r>
    </w:p>
    <w:p>
      <w:pPr>
        <w:pStyle w:val="ListParagraph"/>
        <w:numPr>
          <w:ilvl w:val="0"/>
          <w:numId w:val="2"/>
        </w:numPr>
        <w:spacing w:after="60" w:before="0" w:line="258"/>
      </w:pPr>
      <w:r>
        <w:rPr>
          <w:rFonts w:ascii="Arial" w:cs="Arial" w:eastAsia="Arial" w:hAnsi="Arial"/>
          <w:color w:val="1A1A1A"/>
          <w:sz w:val="17"/>
          <w:szCs w:val="17"/>
        </w:rPr>
        <w:t xml:space="preserve">Two reporting-side questions remain open: whether SRS 710.0 Conditions of Release or SRS 610.1 Changes in Membership Profile already decompose outflows by reason, which would partly close the flow-visibility gap; and whether confidentiality and re-identification constraints would prevent publication of fund-level counts in a $10m+ balance bracket, which bears on the claim that adding brackets to SRS 611.0 is a cheap change.</w:t>
      </w:r>
    </w:p>
    <w:p>
      <w:pPr>
        <w:pStyle w:val="ListParagraph"/>
        <w:numPr>
          <w:ilvl w:val="0"/>
          <w:numId w:val="2"/>
        </w:numPr>
        <w:spacing w:after="60" w:before="0" w:line="258"/>
      </w:pPr>
      <w:r>
        <w:rPr>
          <w:rFonts w:ascii="Arial" w:cs="Arial" w:eastAsia="Arial" w:hAnsi="Arial"/>
          <w:color w:val="1A1A1A"/>
          <w:sz w:val="17"/>
          <w:szCs w:val="17"/>
        </w:rPr>
        <w:t xml:space="preserve">It is not known whether the remediation plans arising from APRA's December 2024 valuation and liquidity thematic have been delivered and closed out. The exposed-cohort recommendation assumes they have not, and should be checked internally before the meeting.</w:t>
      </w:r>
    </w:p>
    <w:p>
      <w:pPr>
        <w:pStyle w:val="ListParagraph"/>
        <w:numPr>
          <w:ilvl w:val="0"/>
          <w:numId w:val="2"/>
        </w:numPr>
        <w:spacing w:after="60" w:before="0" w:line="258"/>
      </w:pPr>
      <w:r>
        <w:rPr>
          <w:rFonts w:ascii="Arial" w:cs="Arial" w:eastAsia="Arial" w:hAnsi="Arial"/>
          <w:color w:val="1A1A1A"/>
          <w:sz w:val="17"/>
          <w:szCs w:val="17"/>
        </w:rPr>
        <w:t xml:space="preserve">The extent and form of APRA's engagement with Treasury and the ATO on this measure since October 2025 is known to exist but not documented in this work. The finding that APRA has published nothing Division 296-specific is search-based and should be confirmed against APRA's own publication records before being stated externally.</w:t>
      </w:r>
    </w:p>
    <w:p>
      <w:pPr>
        <w:pStyle w:val="ListParagraph"/>
        <w:numPr>
          <w:ilvl w:val="0"/>
          <w:numId w:val="2"/>
        </w:numPr>
        <w:spacing w:after="60" w:before="0" w:line="258"/>
      </w:pPr>
      <w:r>
        <w:rPr>
          <w:rFonts w:ascii="Arial" w:cs="Arial" w:eastAsia="Arial" w:hAnsi="Arial"/>
          <w:color w:val="1A1A1A"/>
          <w:sz w:val="17"/>
          <w:szCs w:val="17"/>
        </w:rPr>
        <w:t xml:space="preserve">Whether the s 29JA breach-notification analysis is legally correct has not been confirmed against the provision's text. If a Division 296 failure is in fact notifiable on some other basis, the recommended letter is unnecessary; if it is not, the letter is the cheapest available fix.</w:t>
      </w:r>
    </w:p>
    <w:p>
      <w:pPr>
        <w:pStyle w:val="ListParagraph"/>
        <w:numPr>
          <w:ilvl w:val="0"/>
          <w:numId w:val="2"/>
        </w:numPr>
        <w:spacing w:after="60" w:before="0" w:line="258"/>
      </w:pPr>
      <w:r>
        <w:rPr>
          <w:rFonts w:ascii="Arial" w:cs="Arial" w:eastAsia="Arial" w:hAnsi="Arial"/>
          <w:color w:val="1A1A1A"/>
          <w:sz w:val="17"/>
          <w:szCs w:val="17"/>
        </w:rPr>
        <w:t xml:space="preserve">Several populations named in the brief remain unanalysed for want of time: exempt public sector schemes and unfunded state schemes, which are outside APRA's supervision but inside the Commonwealth's affected-population estimate; constitutionally protected funds; crediting-rate and smoothed-return funds, where the brief's unit-pricing governance analogy does not reach; deferred and innovative income streams; and migration into life-company lifetime income streams and investment bonds, which would move members between two parts of APRA's own perimeter rather than out of it. Each is identified as a gap rather than asserted.</w:t>
      </w:r>
    </w:p>
    <w:p>
      <w:pPr>
        <w:pBdr>
          <w:bottom w:val="single" w:color="0072CE" w:sz="6" w:space="4"/>
        </w:pBdr>
        <w:spacing w:after="100" w:before="240"/>
      </w:pPr>
      <w:r>
        <w:rPr>
          <w:rFonts w:ascii="Arial" w:cs="Arial" w:eastAsia="Arial" w:hAnsi="Arial"/>
          <w:b/>
          <w:bCs/>
          <w:color w:val="012169"/>
          <w:sz w:val="22"/>
          <w:szCs w:val="22"/>
        </w:rPr>
        <w:t xml:space="preserve">Annex F — Sources consulted</w:t>
      </w:r>
    </w:p>
    <w:p>
      <w:pPr>
        <w:spacing w:after="30" w:line="230"/>
      </w:pPr>
      <w:r>
        <w:rPr>
          <w:rFonts w:ascii="Arial" w:cs="Arial" w:eastAsia="Arial" w:hAnsi="Arial"/>
          <w:color w:val="52514E"/>
          <w:sz w:val="13"/>
          <w:szCs w:val="13"/>
        </w:rPr>
        <w:t xml:space="preserve">https://api.prod.legislation.gov.au/v1/titles/C2026A00008</w:t>
      </w:r>
    </w:p>
    <w:p>
      <w:pPr>
        <w:spacing w:after="30" w:line="230"/>
      </w:pPr>
      <w:r>
        <w:rPr>
          <w:rFonts w:ascii="Arial" w:cs="Arial" w:eastAsia="Arial" w:hAnsi="Arial"/>
          <w:color w:val="52514E"/>
          <w:sz w:val="13"/>
          <w:szCs w:val="13"/>
        </w:rPr>
        <w:t xml:space="preserve">https://www.legislation.gov.au/C2026A00008/asmade/text</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https://www.ato.gov.au/individuals-and-families/super-for-individuals-and-families/super/growing-and-keeping-track-of-your-super/caps-limits-and-tax-on-super-contributions/division-296-tax/how-division-296-tax-is-calculated</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https://www.ato.gov.au/individuals-and-families/super-for-individuals-and-families/super/growing-and-keeping-track-of-your-super/caps-limits-and-tax-on-super-contributions/division-296-tax/division-296-tax-on-large-super-balances</w:t>
      </w:r>
    </w:p>
    <w:p>
      <w:pPr>
        <w:spacing w:after="30" w:line="230"/>
      </w:pPr>
      <w:r>
        <w:rPr>
          <w:rFonts w:ascii="Arial" w:cs="Arial" w:eastAsia="Arial" w:hAnsi="Arial"/>
          <w:color w:val="52514E"/>
          <w:sz w:val="13"/>
          <w:szCs w:val="13"/>
        </w:rPr>
        <w:t xml:space="preserve">https://www.ato.gov.au/individuals-and-families/super-for-individuals-and-families/super/growing-and-keeping-track-of-your-super/caps-limits-and-tax-on-super-contributions/division-296-tax/paying-division-296-tax</w:t>
      </w:r>
    </w:p>
    <w:p>
      <w:pPr>
        <w:spacing w:after="30" w:line="230"/>
      </w:pPr>
      <w:r>
        <w:rPr>
          <w:rFonts w:ascii="Arial" w:cs="Arial" w:eastAsia="Arial" w:hAnsi="Arial"/>
          <w:color w:val="52514E"/>
          <w:sz w:val="13"/>
          <w:szCs w:val="13"/>
        </w:rPr>
        <w:t xml:space="preserve">https://www.ato.gov.au/about-ato/new-legislation/in-detail/superannuation/better-targeted-superannuation-concessions</w:t>
      </w:r>
    </w:p>
    <w:p>
      <w:pPr>
        <w:spacing w:after="30" w:line="230"/>
      </w:pPr>
      <w:r>
        <w:rPr>
          <w:rFonts w:ascii="Arial" w:cs="Arial" w:eastAsia="Arial" w:hAnsi="Arial"/>
          <w:color w:val="52514E"/>
          <w:sz w:val="13"/>
          <w:szCs w:val="13"/>
        </w:rPr>
        <w:t xml:space="preserve">https://www.ato.gov.au/individuals-and-families/super-for-individuals-and-families/self-managed-super-funds-smsf/smsf-administration-and-reporting/about-division-296-tax-for-smsfs</w:t>
      </w:r>
    </w:p>
    <w:p>
      <w:pPr>
        <w:spacing w:after="30" w:line="230"/>
      </w:pPr>
      <w:r>
        <w:rPr>
          <w:rFonts w:ascii="Arial" w:cs="Arial" w:eastAsia="Arial" w:hAnsi="Arial"/>
          <w:color w:val="52514E"/>
          <w:sz w:val="13"/>
          <w:szCs w:val="13"/>
        </w:rPr>
        <w:t xml:space="preserve">https://www.ato.gov.au/tax-and-super-professionals/for-superannuation-professionals/apra-regulated-funds/managing-member-benefits/release-authorities</w:t>
      </w:r>
    </w:p>
    <w:p>
      <w:pPr>
        <w:spacing w:after="30" w:line="230"/>
      </w:pPr>
      <w:r>
        <w:rPr>
          <w:rFonts w:ascii="Arial" w:cs="Arial" w:eastAsia="Arial" w:hAnsi="Arial"/>
          <w:color w:val="52514E"/>
          <w:sz w:val="13"/>
          <w:szCs w:val="13"/>
        </w:rPr>
        <w:t xml:space="preserve">https://www.superannuation.asn.au/wp-content/uploads/2026/05/202619_Treasury_Division-296_Regulations_7_April.pdf</w:t>
      </w:r>
    </w:p>
    <w:p>
      <w:pPr>
        <w:spacing w:after="30" w:line="230"/>
      </w:pPr>
      <w:r>
        <w:rPr>
          <w:rFonts w:ascii="Arial" w:cs="Arial" w:eastAsia="Arial" w:hAnsi="Arial"/>
          <w:color w:val="52514E"/>
          <w:sz w:val="13"/>
          <w:szCs w:val="13"/>
        </w:rPr>
        <w:t xml:space="preserve">https://consult.treasury.gov.au/c2026-750935</w:t>
      </w:r>
    </w:p>
    <w:p>
      <w:pPr>
        <w:spacing w:after="30" w:line="230"/>
      </w:pPr>
      <w:r>
        <w:rPr>
          <w:rFonts w:ascii="Arial" w:cs="Arial" w:eastAsia="Arial" w:hAnsi="Arial"/>
          <w:color w:val="52514E"/>
          <w:sz w:val="13"/>
          <w:szCs w:val="13"/>
        </w:rPr>
        <w:t xml:space="preserve">https://www.taxinstitute.com.au/resources/submissions/2026/building-a-stronger-and-fairer-super-system-act-2026-draft-regulations</w:t>
      </w:r>
    </w:p>
    <w:p>
      <w:pPr>
        <w:spacing w:after="30" w:line="230"/>
      </w:pPr>
      <w:r>
        <w:rPr>
          <w:rFonts w:ascii="Arial" w:cs="Arial" w:eastAsia="Arial" w:hAnsi="Arial"/>
          <w:color w:val="52514E"/>
          <w:sz w:val="13"/>
          <w:szCs w:val="13"/>
        </w:rPr>
        <w:t xml:space="preserve">https://www.charteredaccountantsanz.com/news-and-analysis/advocacy/policy-submissions/submission-on-building-a-stronger-and-fairer-super-system-act-2026</w:t>
      </w:r>
    </w:p>
    <w:p>
      <w:pPr>
        <w:spacing w:after="30" w:line="230"/>
      </w:pPr>
      <w:r>
        <w:rPr>
          <w:rFonts w:ascii="Arial" w:cs="Arial" w:eastAsia="Arial" w:hAnsi="Arial"/>
          <w:color w:val="52514E"/>
          <w:sz w:val="13"/>
          <w:szCs w:val="13"/>
        </w:rPr>
        <w:t xml:space="preserve">https://www.heffron.com.au/news/division-296-draft-regulations-key-highlights-heffron</w:t>
      </w:r>
    </w:p>
    <w:p>
      <w:pPr>
        <w:spacing w:after="30" w:line="230"/>
      </w:pPr>
      <w:r>
        <w:rPr>
          <w:rFonts w:ascii="Arial" w:cs="Arial" w:eastAsia="Arial" w:hAnsi="Arial"/>
          <w:color w:val="52514E"/>
          <w:sz w:val="13"/>
          <w:szCs w:val="13"/>
        </w:rPr>
        <w:t xml:space="preserve">https://landing.heffron.com.au/division-296-news-and-resources</w:t>
      </w:r>
    </w:p>
    <w:p>
      <w:pPr>
        <w:spacing w:after="30" w:line="230"/>
      </w:pPr>
      <w:r>
        <w:rPr>
          <w:rFonts w:ascii="Arial" w:cs="Arial" w:eastAsia="Arial" w:hAnsi="Arial"/>
          <w:color w:val="52514E"/>
          <w:sz w:val="13"/>
          <w:szCs w:val="13"/>
        </w:rPr>
        <w:t xml:space="preserve">https://www.grantthornton.com.au/insights/client-alerts/what-do-the-division-296-draft-tax-regulations-tell-us/</w:t>
      </w:r>
    </w:p>
    <w:p>
      <w:pPr>
        <w:spacing w:after="30" w:line="230"/>
      </w:pPr>
      <w:r>
        <w:rPr>
          <w:rFonts w:ascii="Arial" w:cs="Arial" w:eastAsia="Arial" w:hAnsi="Arial"/>
          <w:color w:val="52514E"/>
          <w:sz w:val="13"/>
          <w:szCs w:val="13"/>
        </w:rPr>
        <w:t xml:space="preserve">https://sladen.com.au/news/2026/1/19/the-new-div-296-draft-legislation-part-2-the-transitional-rules</w:t>
      </w:r>
    </w:p>
    <w:p>
      <w:pPr>
        <w:spacing w:after="30" w:line="230"/>
      </w:pPr>
      <w:r>
        <w:rPr>
          <w:rFonts w:ascii="Arial" w:cs="Arial" w:eastAsia="Arial" w:hAnsi="Arial"/>
          <w:color w:val="52514E"/>
          <w:sz w:val="13"/>
          <w:szCs w:val="13"/>
        </w:rPr>
        <w:t xml:space="preserve">https://www.dbalawyers.com.au/announcements/revised-division-296-super-tax-from-1-july-2026/</w:t>
      </w:r>
    </w:p>
    <w:p>
      <w:pPr>
        <w:spacing w:after="30" w:line="230"/>
      </w:pPr>
      <w:r>
        <w:rPr>
          <w:rFonts w:ascii="Arial" w:cs="Arial" w:eastAsia="Arial" w:hAnsi="Arial"/>
          <w:color w:val="52514E"/>
          <w:sz w:val="13"/>
          <w:szCs w:val="13"/>
        </w:rPr>
        <w:t xml:space="preserve">https://www.superguide.com.au/super-booster/super-tax-accounts-3-million</w:t>
      </w:r>
    </w:p>
    <w:p>
      <w:pPr>
        <w:spacing w:after="30" w:line="230"/>
      </w:pPr>
      <w:r>
        <w:rPr>
          <w:rFonts w:ascii="Arial" w:cs="Arial" w:eastAsia="Arial" w:hAnsi="Arial"/>
          <w:color w:val="52514E"/>
          <w:sz w:val="13"/>
          <w:szCs w:val="13"/>
        </w:rPr>
        <w:t xml:space="preserve">https://smsmagazine.com.au/news/2026/05/14/risk-of-wasting-div-296-capital-losses/</w:t>
      </w:r>
    </w:p>
    <w:p>
      <w:pPr>
        <w:spacing w:after="30" w:line="230"/>
      </w:pPr>
      <w:r>
        <w:rPr>
          <w:rFonts w:ascii="Arial" w:cs="Arial" w:eastAsia="Arial" w:hAnsi="Arial"/>
          <w:color w:val="52514E"/>
          <w:sz w:val="13"/>
          <w:szCs w:val="13"/>
        </w:rPr>
        <w:t xml:space="preserve">https://www.accurium.com.au/blog/2026/03/div-296-is-now-law-what-you-need-to-know-before-it-starts-on-1-july-2026/</w:t>
      </w:r>
    </w:p>
    <w:p>
      <w:pPr>
        <w:spacing w:after="30" w:line="230"/>
      </w:pPr>
      <w:r>
        <w:rPr>
          <w:rFonts w:ascii="Arial" w:cs="Arial" w:eastAsia="Arial" w:hAnsi="Arial"/>
          <w:color w:val="52514E"/>
          <w:sz w:val="13"/>
          <w:szCs w:val="13"/>
        </w:rPr>
        <w:t xml:space="preserve">https://www.aph.gov.au/Parliamentary_Business/Bills_Legislation/bd/bd2526/26bd048</w:t>
      </w:r>
    </w:p>
    <w:p>
      <w:pPr>
        <w:spacing w:after="30" w:line="230"/>
      </w:pPr>
      <w:r>
        <w:rPr>
          <w:rFonts w:ascii="Arial" w:cs="Arial" w:eastAsia="Arial" w:hAnsi="Arial"/>
          <w:color w:val="52514E"/>
          <w:sz w:val="13"/>
          <w:szCs w:val="13"/>
        </w:rPr>
        <w:t xml:space="preserve">https://www5.austlii.edu.au/au/legis/cth/bill_em/tlaasafssb2026695/memo_0.html</w:t>
      </w:r>
    </w:p>
    <w:p>
      <w:pPr>
        <w:spacing w:after="30" w:line="230"/>
      </w:pPr>
      <w:r>
        <w:rPr>
          <w:rFonts w:ascii="Arial" w:cs="Arial" w:eastAsia="Arial" w:hAnsi="Arial"/>
          <w:color w:val="52514E"/>
          <w:sz w:val="13"/>
          <w:szCs w:val="13"/>
        </w:rPr>
        <w:t xml:space="preserve">https://www.legislation.gov.au/C2026A00009/asmade/text</w:t>
      </w:r>
    </w:p>
    <w:p>
      <w:pPr>
        <w:spacing w:after="30" w:line="230"/>
      </w:pPr>
      <w:r>
        <w:rPr>
          <w:rFonts w:ascii="Arial" w:cs="Arial" w:eastAsia="Arial" w:hAnsi="Arial"/>
          <w:color w:val="52514E"/>
          <w:sz w:val="13"/>
          <w:szCs w:val="13"/>
        </w:rPr>
        <w:t xml:space="preserve">https://www.legislation.gov.au/F2026L00726/asmade</w:t>
      </w:r>
    </w:p>
    <w:p>
      <w:pPr>
        <w:spacing w:after="30" w:line="230"/>
      </w:pPr>
      <w:r>
        <w:rPr>
          <w:rFonts w:ascii="Arial" w:cs="Arial" w:eastAsia="Arial" w:hAnsi="Arial"/>
          <w:color w:val="52514E"/>
          <w:sz w:val="13"/>
          <w:szCs w:val="13"/>
        </w:rPr>
        <w:t xml:space="preserve">https://www.aph.gov.au/Parliamentary_Business/Bills_Legislation/Bills_Search_Results/Result?bId=r7437</w:t>
      </w:r>
    </w:p>
    <w:p>
      <w:pPr>
        <w:spacing w:after="30" w:line="230"/>
      </w:pPr>
      <w:r>
        <w:rPr>
          <w:rFonts w:ascii="Arial" w:cs="Arial" w:eastAsia="Arial" w:hAnsi="Arial"/>
          <w:color w:val="52514E"/>
          <w:sz w:val="13"/>
          <w:szCs w:val="13"/>
        </w:rPr>
        <w:t xml:space="preserve">https://www.aph.gov.au/Parliamentary_Business/Bills_Legislation/Bills_Search_Results/Result?bId=r7133</w:t>
      </w:r>
    </w:p>
    <w:p>
      <w:pPr>
        <w:spacing w:after="30" w:line="230"/>
      </w:pPr>
      <w:r>
        <w:rPr>
          <w:rFonts w:ascii="Arial" w:cs="Arial" w:eastAsia="Arial" w:hAnsi="Arial"/>
          <w:color w:val="52514E"/>
          <w:sz w:val="13"/>
          <w:szCs w:val="13"/>
        </w:rPr>
        <w:t xml:space="preserve">https://www.aph.gov.au/Parliamentary_Business/Committees/Senate/Scrutiny_of_Bills/Work_of_the_committee/Scrutiny_Digest_List/2026/Scrutiny_Digest_3_of_2026</w:t>
      </w:r>
    </w:p>
    <w:p>
      <w:pPr>
        <w:spacing w:after="30" w:line="230"/>
      </w:pPr>
      <w:r>
        <w:rPr>
          <w:rFonts w:ascii="Arial" w:cs="Arial" w:eastAsia="Arial" w:hAnsi="Arial"/>
          <w:color w:val="52514E"/>
          <w:sz w:val="13"/>
          <w:szCs w:val="13"/>
        </w:rPr>
        <w:t xml:space="preserve">https://treasury.gov.au/publication/p2025-709385-btsc</w:t>
      </w:r>
    </w:p>
    <w:p>
      <w:pPr>
        <w:spacing w:after="30" w:line="230"/>
      </w:pPr>
      <w:r>
        <w:rPr>
          <w:rFonts w:ascii="Arial" w:cs="Arial" w:eastAsia="Arial" w:hAnsi="Arial"/>
          <w:color w:val="52514E"/>
          <w:sz w:val="13"/>
          <w:szCs w:val="13"/>
        </w:rPr>
        <w:t xml:space="preserve">https://treasury.gov.au/sites/default/files/2025-10/p2025-709385.docx</w:t>
      </w:r>
    </w:p>
    <w:p>
      <w:pPr>
        <w:spacing w:after="30" w:line="230"/>
      </w:pPr>
      <w:r>
        <w:rPr>
          <w:rFonts w:ascii="Arial" w:cs="Arial" w:eastAsia="Arial" w:hAnsi="Arial"/>
          <w:color w:val="52514E"/>
          <w:sz w:val="13"/>
          <w:szCs w:val="13"/>
        </w:rPr>
        <w:t xml:space="preserve">https://treasury.gov.au/consultation</w:t>
      </w:r>
    </w:p>
    <w:p>
      <w:pPr>
        <w:spacing w:after="30" w:line="230"/>
      </w:pPr>
      <w:r>
        <w:rPr>
          <w:rFonts w:ascii="Arial" w:cs="Arial" w:eastAsia="Arial" w:hAnsi="Arial"/>
          <w:color w:val="52514E"/>
          <w:sz w:val="13"/>
          <w:szCs w:val="13"/>
        </w:rPr>
        <w:t xml:space="preserve">https://treasury.gov.au/consultation/building-stronger-and-fairer-super-system-act-2026-draft-regulations</w:t>
      </w:r>
    </w:p>
    <w:p>
      <w:pPr>
        <w:spacing w:after="30" w:line="230"/>
      </w:pPr>
      <w:r>
        <w:rPr>
          <w:rFonts w:ascii="Arial" w:cs="Arial" w:eastAsia="Arial" w:hAnsi="Arial"/>
          <w:color w:val="52514E"/>
          <w:sz w:val="13"/>
          <w:szCs w:val="13"/>
        </w:rPr>
        <w:t xml:space="preserve">https://www.ato.gov.au/about-ato/ato-advice-and-guidance/advice-under-development-program/advice-under-development-superannuation-issues</w:t>
      </w:r>
    </w:p>
    <w:p>
      <w:pPr>
        <w:spacing w:after="30" w:line="230"/>
      </w:pPr>
      <w:r>
        <w:rPr>
          <w:rFonts w:ascii="Arial" w:cs="Arial" w:eastAsia="Arial" w:hAnsi="Arial"/>
          <w:color w:val="52514E"/>
          <w:sz w:val="13"/>
          <w:szCs w:val="13"/>
        </w:rPr>
        <w:t xml:space="preserve">https://www.ato.gov.au/about-ato/consultation/in-detail/stakeholder-relationship-groups-key-messages/superannuation-administration-group/superannuation-administration-group-key-messages-20-may-2026</w:t>
      </w:r>
    </w:p>
    <w:p>
      <w:pPr>
        <w:spacing w:after="30" w:line="230"/>
      </w:pPr>
      <w:r>
        <w:rPr>
          <w:rFonts w:ascii="Arial" w:cs="Arial" w:eastAsia="Arial" w:hAnsi="Arial"/>
          <w:color w:val="52514E"/>
          <w:sz w:val="13"/>
          <w:szCs w:val="13"/>
        </w:rPr>
        <w:t xml:space="preserve">https://www.ato.gov.au/about-ato/consultation/in-detail/stakeholder-relationship-groups-key-messages/superannuation-administration-group/superannuation-administration-group-key-messages-18-february-2026</w:t>
      </w:r>
    </w:p>
    <w:p>
      <w:pPr>
        <w:spacing w:after="30" w:line="230"/>
      </w:pPr>
      <w:r>
        <w:rPr>
          <w:rFonts w:ascii="Arial" w:cs="Arial" w:eastAsia="Arial" w:hAnsi="Arial"/>
          <w:color w:val="52514E"/>
          <w:sz w:val="13"/>
          <w:szCs w:val="13"/>
        </w:rPr>
        <w:t xml:space="preserve">https://www.regulationtomorrow.com/2026/03/treasury-issues-draft-regulations-for-the-governments-better-targeted-super-concessions-policy/</w:t>
      </w:r>
    </w:p>
    <w:p>
      <w:pPr>
        <w:spacing w:after="30" w:line="230"/>
      </w:pPr>
      <w:r>
        <w:rPr>
          <w:rFonts w:ascii="Arial" w:cs="Arial" w:eastAsia="Arial" w:hAnsi="Arial"/>
          <w:color w:val="52514E"/>
          <w:sz w:val="13"/>
          <w:szCs w:val="13"/>
        </w:rPr>
        <w:t xml:space="preserve">https://www.apra.gov.au/system/files/2023-07/Prudential%20Standard%20CPS%20230%20Operational%20Risk%20Management%20-%20clean.pdf</w:t>
      </w:r>
    </w:p>
    <w:p>
      <w:pPr>
        <w:spacing w:after="30" w:line="230"/>
      </w:pPr>
      <w:r>
        <w:rPr>
          <w:rFonts w:ascii="Arial" w:cs="Arial" w:eastAsia="Arial" w:hAnsi="Arial"/>
          <w:color w:val="52514E"/>
          <w:sz w:val="13"/>
          <w:szCs w:val="13"/>
        </w:rPr>
        <w:t xml:space="preserve">https://www.apra.gov.au/system/files/2023-07/Prudential%20Practice%20Guide%20SPG%20530%20Investment%20Governance%20Integrated%20version%20-%20clean.pdf</w:t>
      </w:r>
    </w:p>
    <w:p>
      <w:pPr>
        <w:spacing w:after="30" w:line="230"/>
      </w:pPr>
      <w:r>
        <w:rPr>
          <w:rFonts w:ascii="Arial" w:cs="Arial" w:eastAsia="Arial" w:hAnsi="Arial"/>
          <w:color w:val="52514E"/>
          <w:sz w:val="13"/>
          <w:szCs w:val="13"/>
        </w:rPr>
        <w:t xml:space="preserve">https://www.apra.gov.au/standards/sps-530</w:t>
      </w:r>
    </w:p>
    <w:p>
      <w:pPr>
        <w:spacing w:after="30" w:line="230"/>
      </w:pPr>
      <w:r>
        <w:rPr>
          <w:rFonts w:ascii="Arial" w:cs="Arial" w:eastAsia="Arial" w:hAnsi="Arial"/>
          <w:color w:val="52514E"/>
          <w:sz w:val="13"/>
          <w:szCs w:val="13"/>
        </w:rPr>
        <w:t xml:space="preserve">https://www.apra.gov.au/standards/sps-515</w:t>
      </w:r>
    </w:p>
    <w:p>
      <w:pPr>
        <w:spacing w:after="30" w:line="230"/>
      </w:pPr>
      <w:r>
        <w:rPr>
          <w:rFonts w:ascii="Arial" w:cs="Arial" w:eastAsia="Arial" w:hAnsi="Arial"/>
          <w:color w:val="52514E"/>
          <w:sz w:val="13"/>
          <w:szCs w:val="13"/>
        </w:rPr>
        <w:t xml:space="preserve">https://www.apra.gov.au/sites/default/files/2021-10/Reporting%20Standard%20SRS%20611.0%20Member%20Accounts%20-%20marked%20up.pdf</w:t>
      </w:r>
    </w:p>
    <w:p>
      <w:pPr>
        <w:spacing w:after="30" w:line="230"/>
      </w:pPr>
      <w:r>
        <w:rPr>
          <w:rFonts w:ascii="Arial" w:cs="Arial" w:eastAsia="Arial" w:hAnsi="Arial"/>
          <w:color w:val="52514E"/>
          <w:sz w:val="13"/>
          <w:szCs w:val="13"/>
        </w:rPr>
        <w:t xml:space="preserve">https://www.apra.gov.au/system/files/2024-12/Reporting%20Standard%20SRS%20551.0%20Liquidity_clean.pdf</w:t>
      </w:r>
    </w:p>
    <w:p>
      <w:pPr>
        <w:spacing w:after="30" w:line="230"/>
      </w:pPr>
      <w:r>
        <w:rPr>
          <w:rFonts w:ascii="Arial" w:cs="Arial" w:eastAsia="Arial" w:hAnsi="Arial"/>
          <w:color w:val="52514E"/>
          <w:sz w:val="13"/>
          <w:szCs w:val="13"/>
        </w:rPr>
        <w:t xml:space="preserve">https://www.apra.gov.au/system/files/2024-12/Reporting%20Standard%20SRS%20553.0%20Investment%20Exposure%20Concentrations%20and%20Valuations_clean.pdf</w:t>
      </w:r>
    </w:p>
    <w:p>
      <w:pPr>
        <w:spacing w:after="30" w:line="230"/>
      </w:pPr>
      <w:r>
        <w:rPr>
          <w:rFonts w:ascii="Arial" w:cs="Arial" w:eastAsia="Arial" w:hAnsi="Arial"/>
          <w:color w:val="52514E"/>
          <w:sz w:val="13"/>
          <w:szCs w:val="13"/>
        </w:rPr>
        <w:t xml:space="preserve">https://www.apra.gov.au/industries/33/standards</w:t>
      </w:r>
    </w:p>
    <w:p>
      <w:pPr>
        <w:spacing w:after="30" w:line="230"/>
      </w:pPr>
      <w:r>
        <w:rPr>
          <w:rFonts w:ascii="Arial" w:cs="Arial" w:eastAsia="Arial" w:hAnsi="Arial"/>
          <w:color w:val="52514E"/>
          <w:sz w:val="13"/>
          <w:szCs w:val="13"/>
        </w:rPr>
        <w:t xml:space="preserve">https://www.apra.gov.au/superannuation-data-transformation</w:t>
      </w:r>
    </w:p>
    <w:p>
      <w:pPr>
        <w:spacing w:after="30" w:line="230"/>
      </w:pPr>
      <w:r>
        <w:rPr>
          <w:rFonts w:ascii="Arial" w:cs="Arial" w:eastAsia="Arial" w:hAnsi="Arial"/>
          <w:color w:val="52514E"/>
          <w:sz w:val="13"/>
          <w:szCs w:val="13"/>
        </w:rPr>
        <w:t xml:space="preserve">https://www.apra.gov.au/phase-2-depth</w:t>
      </w:r>
    </w:p>
    <w:p>
      <w:pPr>
        <w:spacing w:after="30" w:line="230"/>
      </w:pPr>
      <w:r>
        <w:rPr>
          <w:rFonts w:ascii="Arial" w:cs="Arial" w:eastAsia="Arial" w:hAnsi="Arial"/>
          <w:color w:val="52514E"/>
          <w:sz w:val="13"/>
          <w:szCs w:val="13"/>
        </w:rPr>
        <w:t xml:space="preserve">https://www.apra.gov.au/standards/sps-114</w:t>
      </w:r>
    </w:p>
    <w:p>
      <w:pPr>
        <w:spacing w:after="30" w:line="230"/>
      </w:pPr>
      <w:r>
        <w:rPr>
          <w:rFonts w:ascii="Arial" w:cs="Arial" w:eastAsia="Arial" w:hAnsi="Arial"/>
          <w:color w:val="52514E"/>
          <w:sz w:val="13"/>
          <w:szCs w:val="13"/>
        </w:rPr>
        <w:t xml:space="preserve">https://www.apra.gov.au/standards/sps-220</w:t>
      </w:r>
    </w:p>
    <w:p>
      <w:pPr>
        <w:spacing w:after="30" w:line="230"/>
      </w:pPr>
      <w:r>
        <w:rPr>
          <w:rFonts w:ascii="Arial" w:cs="Arial" w:eastAsia="Arial" w:hAnsi="Arial"/>
          <w:color w:val="52514E"/>
          <w:sz w:val="13"/>
          <w:szCs w:val="13"/>
        </w:rPr>
        <w:t xml:space="preserve">https://www.apra.gov.au/standards/sps-310</w:t>
      </w:r>
    </w:p>
    <w:p>
      <w:pPr>
        <w:spacing w:after="30" w:line="230"/>
      </w:pPr>
      <w:r>
        <w:rPr>
          <w:rFonts w:ascii="Arial" w:cs="Arial" w:eastAsia="Arial" w:hAnsi="Arial"/>
          <w:color w:val="52514E"/>
          <w:sz w:val="13"/>
          <w:szCs w:val="13"/>
        </w:rPr>
        <w:t xml:space="preserve">https://www.apra.gov.au/standards/sps-160</w:t>
      </w:r>
    </w:p>
    <w:p>
      <w:pPr>
        <w:spacing w:after="30" w:line="230"/>
      </w:pPr>
      <w:r>
        <w:rPr>
          <w:rFonts w:ascii="Arial" w:cs="Arial" w:eastAsia="Arial" w:hAnsi="Arial"/>
          <w:color w:val="52514E"/>
          <w:sz w:val="13"/>
          <w:szCs w:val="13"/>
        </w:rPr>
        <w:t xml:space="preserve">https://www.apra.gov.au/standards/sps-250</w:t>
      </w:r>
    </w:p>
    <w:p>
      <w:pPr>
        <w:spacing w:after="30" w:line="230"/>
      </w:pPr>
      <w:r>
        <w:rPr>
          <w:rFonts w:ascii="Arial" w:cs="Arial" w:eastAsia="Arial" w:hAnsi="Arial"/>
          <w:color w:val="52514E"/>
          <w:sz w:val="13"/>
          <w:szCs w:val="13"/>
        </w:rPr>
        <w:t xml:space="preserve">https://www.apra.gov.au/standards/cps-234</w:t>
      </w:r>
    </w:p>
    <w:p>
      <w:pPr>
        <w:spacing w:after="30" w:line="230"/>
      </w:pPr>
      <w:r>
        <w:rPr>
          <w:rFonts w:ascii="Arial" w:cs="Arial" w:eastAsia="Arial" w:hAnsi="Arial"/>
          <w:color w:val="52514E"/>
          <w:sz w:val="13"/>
          <w:szCs w:val="13"/>
        </w:rPr>
        <w:t xml:space="preserve">https://www.apra.gov.au/standards/cps-190</w:t>
      </w:r>
    </w:p>
    <w:p>
      <w:pPr>
        <w:spacing w:after="30" w:line="230"/>
      </w:pPr>
      <w:r>
        <w:rPr>
          <w:rFonts w:ascii="Arial" w:cs="Arial" w:eastAsia="Arial" w:hAnsi="Arial"/>
          <w:color w:val="52514E"/>
          <w:sz w:val="13"/>
          <w:szCs w:val="13"/>
        </w:rPr>
        <w:t xml:space="preserve">https://www.apra.gov.au/sites/default/files/Prudential%20Practice%20Guide%20SPG%20516%20-%20Business%20Performance%20Review_0.pdf</w:t>
      </w:r>
    </w:p>
    <w:p>
      <w:pPr>
        <w:spacing w:after="30" w:line="230"/>
      </w:pPr>
      <w:r>
        <w:rPr>
          <w:rFonts w:ascii="Arial" w:cs="Arial" w:eastAsia="Arial" w:hAnsi="Arial"/>
          <w:color w:val="52514E"/>
          <w:sz w:val="13"/>
          <w:szCs w:val="13"/>
        </w:rPr>
        <w:t xml:space="preserve">https://www.apra.gov.au/news-and-publications/opening-statement-to-senate-economics-legislation-committee-%E2%80%93-june-2026</w:t>
      </w:r>
    </w:p>
    <w:p>
      <w:pPr>
        <w:spacing w:after="30" w:line="230"/>
      </w:pPr>
      <w:r>
        <w:rPr>
          <w:rFonts w:ascii="Arial" w:cs="Arial" w:eastAsia="Arial" w:hAnsi="Arial"/>
          <w:color w:val="52514E"/>
          <w:sz w:val="13"/>
          <w:szCs w:val="13"/>
        </w:rPr>
        <w:t xml:space="preserve">https://www.apra.gov.au/news-and-publications/apra-provides-update-implementation-new-operational-risk-standard</w:t>
      </w:r>
    </w:p>
    <w:p>
      <w:pPr>
        <w:spacing w:after="30" w:line="230"/>
      </w:pPr>
      <w:r>
        <w:rPr>
          <w:rFonts w:ascii="Arial" w:cs="Arial" w:eastAsia="Arial" w:hAnsi="Arial"/>
          <w:color w:val="52514E"/>
          <w:sz w:val="13"/>
          <w:szCs w:val="13"/>
        </w:rPr>
        <w:t xml:space="preserve">https://www.ato.gov.au/tax-and-super-professionals/for-superannuation-professionals/apra-regulated-funds/paying-benefits/releasing-benefits/release-authorities</w:t>
      </w:r>
    </w:p>
    <w:p>
      <w:pPr>
        <w:spacing w:after="30" w:line="230"/>
      </w:pPr>
      <w:r>
        <w:rPr>
          <w:rFonts w:ascii="Arial" w:cs="Arial" w:eastAsia="Arial" w:hAnsi="Arial"/>
          <w:color w:val="52514E"/>
          <w:sz w:val="13"/>
          <w:szCs w:val="13"/>
        </w:rPr>
        <w:t xml:space="preserve">https://www.ato.gov.au/about-ato/consultation/consultation-groups/superannuation-administration-group</w:t>
      </w:r>
    </w:p>
    <w:p>
      <w:pPr>
        <w:spacing w:after="30" w:line="230"/>
      </w:pPr>
      <w:r>
        <w:rPr>
          <w:rFonts w:ascii="Arial" w:cs="Arial" w:eastAsia="Arial" w:hAnsi="Arial"/>
          <w:color w:val="52514E"/>
          <w:sz w:val="13"/>
          <w:szCs w:val="13"/>
        </w:rPr>
        <w:t xml:space="preserve">https://www.apra.gov.au/sites/default/files/2023-09/Prudential%20Standard%20SPS%20515%20Strategic%20Planning%20and%20Member%20Outcomes.pdf</w:t>
      </w:r>
    </w:p>
    <w:p>
      <w:pPr>
        <w:spacing w:after="30" w:line="230"/>
      </w:pPr>
      <w:r>
        <w:rPr>
          <w:rFonts w:ascii="Arial" w:cs="Arial" w:eastAsia="Arial" w:hAnsi="Arial"/>
          <w:color w:val="52514E"/>
          <w:sz w:val="13"/>
          <w:szCs w:val="13"/>
        </w:rPr>
        <w:t xml:space="preserve">https://www.apra.gov.au/governance-of-unlisted-asset-valuation-and-liquidity-risk-management-superannuation-december-2024</w:t>
      </w:r>
    </w:p>
    <w:p>
      <w:pPr>
        <w:spacing w:after="30" w:line="230"/>
      </w:pPr>
      <w:r>
        <w:rPr>
          <w:rFonts w:ascii="Arial" w:cs="Arial" w:eastAsia="Arial" w:hAnsi="Arial"/>
          <w:color w:val="52514E"/>
          <w:sz w:val="13"/>
          <w:szCs w:val="13"/>
        </w:rPr>
        <w:t xml:space="preserve">https://www.apra.gov.au/news-and-publications/system-risk-stress-test</w:t>
      </w:r>
    </w:p>
    <w:p>
      <w:pPr>
        <w:spacing w:after="30" w:line="230"/>
      </w:pPr>
      <w:r>
        <w:rPr>
          <w:rFonts w:ascii="Arial" w:cs="Arial" w:eastAsia="Arial" w:hAnsi="Arial"/>
          <w:color w:val="52514E"/>
          <w:sz w:val="13"/>
          <w:szCs w:val="13"/>
        </w:rPr>
        <w:t xml:space="preserve">https://www.apra.gov.au/system-risk-outlook-may-2026</w:t>
      </w:r>
    </w:p>
    <w:p>
      <w:pPr>
        <w:spacing w:after="30" w:line="230"/>
      </w:pPr>
      <w:r>
        <w:rPr>
          <w:rFonts w:ascii="Arial" w:cs="Arial" w:eastAsia="Arial" w:hAnsi="Arial"/>
          <w:color w:val="52514E"/>
          <w:sz w:val="13"/>
          <w:szCs w:val="13"/>
        </w:rPr>
        <w:t xml:space="preserve">https://www.apra.gov.au/system-risk-outlook-november-2025</w:t>
      </w:r>
    </w:p>
    <w:p>
      <w:pPr>
        <w:spacing w:after="30" w:line="230"/>
      </w:pPr>
      <w:r>
        <w:rPr>
          <w:rFonts w:ascii="Arial" w:cs="Arial" w:eastAsia="Arial" w:hAnsi="Arial"/>
          <w:color w:val="52514E"/>
          <w:sz w:val="13"/>
          <w:szCs w:val="13"/>
        </w:rPr>
        <w:t xml:space="preserve">https://www.apra.gov.au/sites/default/files/2022-07/Prudential%20Standard%20SPS%20530%20Investment%20Governance.pdf</w:t>
      </w:r>
    </w:p>
    <w:p>
      <w:pPr>
        <w:spacing w:after="30" w:line="230"/>
      </w:pPr>
      <w:r>
        <w:rPr>
          <w:rFonts w:ascii="Arial" w:cs="Arial" w:eastAsia="Arial" w:hAnsi="Arial"/>
          <w:color w:val="52514E"/>
          <w:sz w:val="13"/>
          <w:szCs w:val="13"/>
        </w:rPr>
        <w:t xml:space="preserve">https://www.apra.gov.au/sites/default/files/2021-10/Findings%20from%20APRA%E2%80%99s%20superannuation%20thematic%20reviews_1.pdf</w:t>
      </w:r>
    </w:p>
    <w:p>
      <w:pPr>
        <w:spacing w:after="30" w:line="230"/>
      </w:pPr>
      <w:r>
        <w:rPr>
          <w:rFonts w:ascii="Arial" w:cs="Arial" w:eastAsia="Arial" w:hAnsi="Arial"/>
          <w:color w:val="52514E"/>
          <w:sz w:val="13"/>
          <w:szCs w:val="13"/>
        </w:rPr>
        <w:t xml:space="preserve">https://www.apra.gov.au/quarterly-superannuation-industry-publication</w:t>
      </w:r>
    </w:p>
    <w:p>
      <w:pPr>
        <w:spacing w:after="30" w:line="230"/>
      </w:pPr>
      <w:r>
        <w:rPr>
          <w:rFonts w:ascii="Arial" w:cs="Arial" w:eastAsia="Arial" w:hAnsi="Arial"/>
          <w:color w:val="52514E"/>
          <w:sz w:val="13"/>
          <w:szCs w:val="13"/>
        </w:rPr>
        <w:t xml:space="preserve">https://www.apra.gov.au/quarterly-superannuation-statistics</w:t>
      </w:r>
    </w:p>
    <w:p>
      <w:pPr>
        <w:spacing w:after="30" w:line="230"/>
      </w:pPr>
      <w:r>
        <w:rPr>
          <w:rFonts w:ascii="Arial" w:cs="Arial" w:eastAsia="Arial" w:hAnsi="Arial"/>
          <w:color w:val="52514E"/>
          <w:sz w:val="13"/>
          <w:szCs w:val="13"/>
        </w:rPr>
        <w:t xml:space="preserve">https://www.apra.gov.au/annual-fund-level-superannuation-statistics</w:t>
      </w:r>
    </w:p>
    <w:p>
      <w:pPr>
        <w:spacing w:after="30" w:line="230"/>
      </w:pPr>
      <w:r>
        <w:rPr>
          <w:rFonts w:ascii="Arial" w:cs="Arial" w:eastAsia="Arial" w:hAnsi="Arial"/>
          <w:color w:val="52514E"/>
          <w:sz w:val="13"/>
          <w:szCs w:val="13"/>
        </w:rPr>
        <w:t xml:space="preserve">https://www.apra.gov.au/news-and-publications/opening-statement-senate-economics-legislation-committee-june-2026</w:t>
      </w:r>
    </w:p>
    <w:p>
      <w:pPr>
        <w:spacing w:after="30" w:line="230"/>
      </w:pPr>
      <w:r>
        <w:rPr>
          <w:rFonts w:ascii="Arial" w:cs="Arial" w:eastAsia="Arial" w:hAnsi="Arial"/>
          <w:color w:val="52514E"/>
          <w:sz w:val="13"/>
          <w:szCs w:val="13"/>
        </w:rPr>
        <w:t xml:space="preserve">https://www.apra.gov.au/news-and-publications/apra-releases-letter-on-sps-530-valuation-governance-framework-self</w:t>
      </w:r>
    </w:p>
    <w:p>
      <w:pPr>
        <w:spacing w:after="30" w:line="230"/>
      </w:pPr>
      <w:r>
        <w:rPr>
          <w:rFonts w:ascii="Arial" w:cs="Arial" w:eastAsia="Arial" w:hAnsi="Arial"/>
          <w:color w:val="52514E"/>
          <w:sz w:val="13"/>
          <w:szCs w:val="13"/>
        </w:rPr>
        <w:t xml:space="preserve">https://www.apra.gov.au/apra-corporate-plan-2025-26</w:t>
      </w:r>
    </w:p>
    <w:p>
      <w:pPr>
        <w:spacing w:after="30" w:line="230"/>
      </w:pPr>
      <w:r>
        <w:rPr>
          <w:rFonts w:ascii="Arial" w:cs="Arial" w:eastAsia="Arial" w:hAnsi="Arial"/>
          <w:color w:val="52514E"/>
          <w:sz w:val="13"/>
          <w:szCs w:val="13"/>
        </w:rPr>
        <w:t xml:space="preserve">https://www.rba.gov.au/publications/fsr/2021/apr/box-c-what-did-2020-reveal-about-liquidity-challenges-facing-superannuation-funds.html</w:t>
      </w:r>
    </w:p>
    <w:p>
      <w:pPr>
        <w:spacing w:after="30" w:line="230"/>
      </w:pPr>
      <w:r>
        <w:rPr>
          <w:rFonts w:ascii="Arial" w:cs="Arial" w:eastAsia="Arial" w:hAnsi="Arial"/>
          <w:color w:val="52514E"/>
          <w:sz w:val="13"/>
          <w:szCs w:val="13"/>
        </w:rPr>
        <w:t xml:space="preserve">https://www.isda.org/a/RZtiE/Managing-Liquidity-Risk-Opportunities-and-Challenges-for-Australian-Superannuation-Funds.pdf</w:t>
      </w:r>
    </w:p>
    <w:p>
      <w:pPr>
        <w:spacing w:after="30" w:line="230"/>
      </w:pPr>
      <w:r>
        <w:rPr>
          <w:rFonts w:ascii="Arial" w:cs="Arial" w:eastAsia="Arial" w:hAnsi="Arial"/>
          <w:color w:val="52514E"/>
          <w:sz w:val="13"/>
          <w:szCs w:val="13"/>
        </w:rPr>
        <w:t xml:space="preserve">https://fsc.org.au/news/fsc-policy-updates/fsc-policy-update-issue-90-may-2026</w:t>
      </w:r>
    </w:p>
    <w:p>
      <w:pPr>
        <w:spacing w:after="30" w:line="230"/>
      </w:pPr>
      <w:r>
        <w:rPr>
          <w:rFonts w:ascii="Arial" w:cs="Arial" w:eastAsia="Arial" w:hAnsi="Arial"/>
          <w:color w:val="52514E"/>
          <w:sz w:val="13"/>
          <w:szCs w:val="13"/>
        </w:rPr>
        <w:t xml:space="preserve">https://treasury.gov.au/sites/default/files/2023-09/c2023-443986-em.pdf</w:t>
      </w:r>
    </w:p>
    <w:p>
      <w:pPr>
        <w:spacing w:after="30" w:line="230"/>
      </w:pPr>
      <w:r>
        <w:rPr>
          <w:rFonts w:ascii="Arial" w:cs="Arial" w:eastAsia="Arial" w:hAnsi="Arial"/>
          <w:color w:val="52514E"/>
          <w:sz w:val="13"/>
          <w:szCs w:val="13"/>
        </w:rPr>
        <w:t xml:space="preserve">https://oia.pmc.gov.au/sites/default/files/posts/2024/01/Impact%20Analysis%20-%20Better%20Targeted%20Superannuation%20Concessions.pdf</w:t>
      </w:r>
    </w:p>
    <w:p>
      <w:pPr>
        <w:spacing w:after="30" w:line="230"/>
      </w:pPr>
      <w:r>
        <w:rPr>
          <w:rFonts w:ascii="Arial" w:cs="Arial" w:eastAsia="Arial" w:hAnsi="Arial"/>
          <w:color w:val="52514E"/>
          <w:sz w:val="13"/>
          <w:szCs w:val="13"/>
        </w:rPr>
        <w:t xml:space="preserve">https://budget.gov.au/content/myefo/download/03_Part_3.pdf</w:t>
      </w:r>
    </w:p>
    <w:p>
      <w:pPr>
        <w:spacing w:after="30" w:line="230"/>
      </w:pPr>
      <w:r>
        <w:rPr>
          <w:rFonts w:ascii="Arial" w:cs="Arial" w:eastAsia="Arial" w:hAnsi="Arial"/>
          <w:color w:val="52514E"/>
          <w:sz w:val="13"/>
          <w:szCs w:val="13"/>
        </w:rPr>
        <w:t xml:space="preserve">https://storage.googleapis.com/files-au-treasury/treasury/p/prj39c475e7a7ab4c5f04c1b/page/c2025_726362_em.pdf</w:t>
      </w:r>
    </w:p>
    <w:p>
      <w:pPr>
        <w:spacing w:after="30" w:line="230"/>
      </w:pPr>
      <w:r>
        <w:rPr>
          <w:rFonts w:ascii="Arial" w:cs="Arial" w:eastAsia="Arial" w:hAnsi="Arial"/>
          <w:color w:val="52514E"/>
          <w:sz w:val="13"/>
          <w:szCs w:val="13"/>
        </w:rPr>
        <w:t xml:space="preserve">https://www.apra.gov.au/quarterly-fund-level-statistics</w:t>
      </w:r>
    </w:p>
    <w:p>
      <w:pPr>
        <w:spacing w:after="30" w:line="230"/>
      </w:pPr>
      <w:r>
        <w:rPr>
          <w:rFonts w:ascii="Arial" w:cs="Arial" w:eastAsia="Arial" w:hAnsi="Arial"/>
          <w:color w:val="52514E"/>
          <w:sz w:val="13"/>
          <w:szCs w:val="13"/>
        </w:rPr>
        <w:t xml:space="preserve">https://www.apra.gov.au/annual-superannuation-bulletin</w:t>
      </w:r>
    </w:p>
    <w:p>
      <w:pPr>
        <w:spacing w:after="30" w:line="230"/>
      </w:pPr>
      <w:r>
        <w:rPr>
          <w:rFonts w:ascii="Arial" w:cs="Arial" w:eastAsia="Arial" w:hAnsi="Arial"/>
          <w:color w:val="52514E"/>
          <w:sz w:val="13"/>
          <w:szCs w:val="13"/>
        </w:rPr>
        <w:t xml:space="preserve">https://www.apra.gov.au/quarterly-superannuation-performance-statistics-highlights-march-2026</w:t>
      </w:r>
    </w:p>
    <w:p>
      <w:pPr>
        <w:spacing w:after="30" w:line="230"/>
      </w:pPr>
      <w:r>
        <w:rPr>
          <w:rFonts w:ascii="Arial" w:cs="Arial" w:eastAsia="Arial" w:hAnsi="Arial"/>
          <w:color w:val="52514E"/>
          <w:sz w:val="13"/>
          <w:szCs w:val="13"/>
        </w:rPr>
        <w:t xml:space="preserve">https://www.apra.gov.au/annual-superannuation-bulletin-2024-25-highlights</w:t>
      </w:r>
    </w:p>
    <w:p>
      <w:pPr>
        <w:spacing w:after="30" w:line="230"/>
      </w:pPr>
      <w:r>
        <w:rPr>
          <w:rFonts w:ascii="Arial" w:cs="Arial" w:eastAsia="Arial" w:hAnsi="Arial"/>
          <w:color w:val="52514E"/>
          <w:sz w:val="13"/>
          <w:szCs w:val="13"/>
        </w:rPr>
        <w:t xml:space="preserve">https://data.gov.au/data/dataset/2fd970ec-984e-4593-bbad-2e69a5fa7a89/resource/7a50c5c8-5c0e-4a4b-a11e-feaad39f2bd0/download/smsf-annual-overview-2023-24.xlsx</w:t>
      </w:r>
    </w:p>
    <w:p>
      <w:pPr>
        <w:spacing w:after="30" w:line="230"/>
      </w:pPr>
      <w:r>
        <w:rPr>
          <w:rFonts w:ascii="Arial" w:cs="Arial" w:eastAsia="Arial" w:hAnsi="Arial"/>
          <w:color w:val="52514E"/>
          <w:sz w:val="13"/>
          <w:szCs w:val="13"/>
        </w:rPr>
        <w:t xml:space="preserve">https://www.superannuation.asn.au/wp-content/uploads/2024/09/ASFA-Research-Account-balances-August-2024.pdf</w:t>
      </w:r>
    </w:p>
    <w:p>
      <w:pPr>
        <w:spacing w:after="30" w:line="230"/>
      </w:pPr>
      <w:r>
        <w:rPr>
          <w:rFonts w:ascii="Arial" w:cs="Arial" w:eastAsia="Arial" w:hAnsi="Arial"/>
          <w:color w:val="52514E"/>
          <w:sz w:val="13"/>
          <w:szCs w:val="13"/>
        </w:rPr>
        <w:t xml:space="preserve">https://fsc.org.au/news/media-release/media-release-fsc-new-analysis-of-the-impact-of-proposed-superannuation-tax</w:t>
      </w:r>
    </w:p>
    <w:p>
      <w:pPr>
        <w:spacing w:after="30" w:line="230"/>
      </w:pPr>
      <w:r>
        <w:rPr>
          <w:rFonts w:ascii="Arial" w:cs="Arial" w:eastAsia="Arial" w:hAnsi="Arial"/>
          <w:color w:val="52514E"/>
          <w:sz w:val="13"/>
          <w:szCs w:val="13"/>
        </w:rPr>
        <w:t xml:space="preserve">https://ministers.treasury.gov.au/sites/ministers.treasury.gov.au/files/2023-03/better-targeted-superannuation-concessions-factsheet_0.pdf</w:t>
      </w:r>
    </w:p>
    <w:p>
      <w:pPr>
        <w:spacing w:after="30" w:line="230"/>
      </w:pPr>
      <w:r>
        <w:rPr>
          <w:rFonts w:ascii="Arial" w:cs="Arial" w:eastAsia="Arial" w:hAnsi="Arial"/>
          <w:color w:val="52514E"/>
          <w:sz w:val="13"/>
          <w:szCs w:val="13"/>
        </w:rPr>
        <w:t xml:space="preserve">https://www.smsfassociation.com/wp-content/uploads/2026/04/20260407-SMSF-Association-Submission_Building-a-stronger-fairer-super-system-Draft-regulations-WEB-COPY.pdf</w:t>
      </w:r>
    </w:p>
    <w:p>
      <w:pPr>
        <w:spacing w:after="30" w:line="230"/>
      </w:pPr>
      <w:r>
        <w:rPr>
          <w:rFonts w:ascii="Arial" w:cs="Arial" w:eastAsia="Arial" w:hAnsi="Arial"/>
          <w:color w:val="52514E"/>
          <w:sz w:val="13"/>
          <w:szCs w:val="13"/>
        </w:rPr>
        <w:t xml:space="preserve">https://www.taxinstitute.com.au/content/dam/thetaxinstitute/resources/submissions/2026/26%2004%2016%20TTI%20Submission%20-%20Building%20a%20stronger%20and%20fairer%20super%20system%20Act%202026%20-%20Draft%20regulations%20-%20For%20publication.pdf</w:t>
      </w:r>
    </w:p>
    <w:p>
      <w:pPr>
        <w:spacing w:after="30" w:line="230"/>
      </w:pPr>
      <w:r>
        <w:rPr>
          <w:rFonts w:ascii="Arial" w:cs="Arial" w:eastAsia="Arial" w:hAnsi="Arial"/>
          <w:color w:val="52514E"/>
          <w:sz w:val="13"/>
          <w:szCs w:val="13"/>
        </w:rPr>
        <w:t xml:space="preserve">https://content.actuaries.asn.au/resources/resource-ce6yyqn64sx3-2093352434-60788</w:t>
      </w:r>
    </w:p>
    <w:p>
      <w:pPr>
        <w:spacing w:after="30" w:line="230"/>
      </w:pPr>
      <w:r>
        <w:rPr>
          <w:rFonts w:ascii="Arial" w:cs="Arial" w:eastAsia="Arial" w:hAnsi="Arial"/>
          <w:color w:val="52514E"/>
          <w:sz w:val="13"/>
          <w:szCs w:val="13"/>
        </w:rPr>
        <w:t xml:space="preserve">https://ifpa.com.au/wp-content/uploads/2026/01/IFPA-better-targeted-super-concessions-Jan-2026.pdf</w:t>
      </w:r>
    </w:p>
    <w:p>
      <w:pPr>
        <w:spacing w:after="30" w:line="230"/>
      </w:pPr>
      <w:r>
        <w:rPr>
          <w:rFonts w:ascii="Arial" w:cs="Arial" w:eastAsia="Arial" w:hAnsi="Arial"/>
          <w:color w:val="52514E"/>
          <w:sz w:val="13"/>
          <w:szCs w:val="13"/>
        </w:rPr>
        <w:t xml:space="preserve">https://www.smsfassociation.com/media-release/smsf-association-presses-treasury-on-division-296-tax-concerns</w:t>
      </w:r>
    </w:p>
    <w:p>
      <w:pPr>
        <w:spacing w:after="30" w:line="230"/>
      </w:pPr>
      <w:r>
        <w:rPr>
          <w:rFonts w:ascii="Arial" w:cs="Arial" w:eastAsia="Arial" w:hAnsi="Arial"/>
          <w:color w:val="52514E"/>
          <w:sz w:val="13"/>
          <w:szCs w:val="13"/>
        </w:rPr>
        <w:t xml:space="preserve">https://www.smsfassociation.com/media-release/draft-division-296-bills-raise-serious-practical-concerns</w:t>
      </w:r>
    </w:p>
    <w:p>
      <w:pPr>
        <w:spacing w:after="30" w:line="230"/>
      </w:pPr>
      <w:r>
        <w:rPr>
          <w:rFonts w:ascii="Arial" w:cs="Arial" w:eastAsia="Arial" w:hAnsi="Arial"/>
          <w:color w:val="52514E"/>
          <w:sz w:val="13"/>
          <w:szCs w:val="13"/>
        </w:rPr>
        <w:t xml:space="preserve">https://beta.treasury.gov.au/key-activities/consultations/c2026-750935</w:t>
      </w:r>
    </w:p>
    <w:p>
      <w:pPr>
        <w:spacing w:after="30" w:line="230"/>
      </w:pPr>
      <w:r>
        <w:rPr>
          <w:rFonts w:ascii="Arial" w:cs="Arial" w:eastAsia="Arial" w:hAnsi="Arial"/>
          <w:color w:val="52514E"/>
          <w:sz w:val="13"/>
          <w:szCs w:val="13"/>
        </w:rPr>
        <w:t xml:space="preserve">https://fsc.org.au/news/fsc-policy-updates/fsc-policy-update-issue-89-3-march</w:t>
      </w:r>
    </w:p>
    <w:p>
      <w:pPr>
        <w:spacing w:after="30" w:line="230"/>
      </w:pPr>
      <w:r>
        <w:rPr>
          <w:rFonts w:ascii="Arial" w:cs="Arial" w:eastAsia="Arial" w:hAnsi="Arial"/>
          <w:color w:val="52514E"/>
          <w:sz w:val="13"/>
          <w:szCs w:val="13"/>
        </w:rPr>
        <w:t xml:space="preserve">https://www.accurium.com.au/blog/2026/03/division-296-draft-regulations-what-they-mean-for-smsf-trustees-and-actuaries/</w:t>
      </w:r>
    </w:p>
    <w:p>
      <w:pPr>
        <w:spacing w:after="30" w:line="230"/>
      </w:pPr>
      <w:r>
        <w:rPr>
          <w:rFonts w:ascii="Arial" w:cs="Arial" w:eastAsia="Arial" w:hAnsi="Arial"/>
          <w:color w:val="52514E"/>
          <w:sz w:val="13"/>
          <w:szCs w:val="13"/>
        </w:rPr>
        <w:t xml:space="preserve">https://www.smsfalliance.com.au/draft-div-296-regulations-have-been-released/</w:t>
      </w:r>
    </w:p>
    <w:p>
      <w:pPr>
        <w:spacing w:after="30" w:line="230"/>
      </w:pPr>
      <w:r>
        <w:rPr>
          <w:rFonts w:ascii="Arial" w:cs="Arial" w:eastAsia="Arial" w:hAnsi="Arial"/>
          <w:color w:val="52514E"/>
          <w:sz w:val="13"/>
          <w:szCs w:val="13"/>
        </w:rPr>
        <w:t xml:space="preserve">https://wealthdata.com.au/blog-1/smsf-data-statistics-analysis-march-2026</w:t>
      </w:r>
    </w:p>
    <w:p>
      <w:pPr>
        <w:spacing w:after="30" w:line="230"/>
      </w:pPr>
      <w:r>
        <w:rPr>
          <w:rFonts w:ascii="Arial" w:cs="Arial" w:eastAsia="Arial" w:hAnsi="Arial"/>
          <w:color w:val="52514E"/>
          <w:sz w:val="13"/>
          <w:szCs w:val="13"/>
        </w:rPr>
        <w:t xml:space="preserve">https://www.taxinstitute.com.au/insights/articles/2025/div-296-poor-design</w:t>
      </w:r>
    </w:p>
    <w:p>
      <w:pPr>
        <w:spacing w:after="30" w:line="230"/>
      </w:pPr>
      <w:r>
        <w:rPr>
          <w:rFonts w:ascii="Arial" w:cs="Arial" w:eastAsia="Arial" w:hAnsi="Arial"/>
          <w:color w:val="52514E"/>
          <w:sz w:val="13"/>
          <w:szCs w:val="13"/>
        </w:rPr>
        <w:t xml:space="preserve">https://hearsay.org.au/better-targeted-superannuation-concessions-or-targeting-judicial-independence/</w:t>
      </w:r>
    </w:p>
    <w:p>
      <w:pPr>
        <w:spacing w:after="30" w:line="230"/>
      </w:pPr>
      <w:r>
        <w:rPr>
          <w:rFonts w:ascii="Arial" w:cs="Arial" w:eastAsia="Arial" w:hAnsi="Arial"/>
          <w:color w:val="52514E"/>
          <w:sz w:val="13"/>
          <w:szCs w:val="13"/>
        </w:rPr>
        <w:t xml:space="preserve">https://blog.stockspot.com.au/why-your-super-fund-might-be-hiding-a-capital-gains-time-bomb/</w:t>
      </w:r>
    </w:p>
    <w:sectPr>
      <w:footerReference w:type="default" r:id="rId7"/>
      <w:pgSz w:w="11906" w:h="16838" w:orient="portrait"/>
      <w:pgMar w:top="1080" w:right="1000" w:bottom="1080" w:left="1000"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8D2" w:sz="4" w:space="6"/>
      </w:pBdr>
      <w:tabs>
        <w:tab w:val="right" w:pos="9906"/>
      </w:tabs>
      <w:spacing w:before="0"/>
    </w:pPr>
    <w:r>
      <w:rPr>
        <w:rFonts w:ascii="Arial" w:cs="Arial" w:eastAsia="Arial" w:hAnsi="Arial"/>
        <w:color w:val="898781"/>
        <w:sz w:val="13"/>
        <w:szCs w:val="13"/>
      </w:rPr>
      <w:t xml:space="preserve">OFFICIAL — SENSITIVE  ·  Division 296 — prudential implications</w:t>
    </w:r>
    <w:r>
      <w:rPr>
        <w:rFonts w:ascii="Arial" w:cs="Arial" w:eastAsia="Arial" w:hAnsi="Arial"/>
      </w:rPr>
      <w:t xml:space="preserve">	</w:t>
    </w:r>
    <w:r>
      <w:rPr>
        <w:rFonts w:ascii="Arial" w:cs="Arial" w:eastAsia="Arial" w:hAnsi="Arial"/>
        <w:color w:val="898781"/>
        <w:sz w:val="13"/>
        <w:szCs w:val="13"/>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70"/>
      </w:pPr>
      <w:rPr>
        <w:color w:val="0072CE"/>
        <w:sz w:val="19"/>
        <w:szCs w:val="19"/>
      </w:rPr>
    </w:lvl>
    <w:lvl w:ilvl="1" w15:tentative="1">
      <w:start w:val="1"/>
      <w:numFmt w:val="bullet"/>
      <w:lvlText w:val="–"/>
      <w:lvlJc w:val="left"/>
      <w:pPr>
        <w:ind w:left="520" w:hanging="170"/>
      </w:pPr>
      <w:rPr>
        <w:color w:val="00B398"/>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c9a1056f2f7d431cb0927c6ee4494cc1d3f6aa.png"/><Relationship Id="rId9" Type="http://schemas.openxmlformats.org/officeDocument/2006/relationships/image" Target="media/d79633d6d7a6910806bda30337917cf3bf85b072.png"/><Relationship Id="rId10" Type="http://schemas.openxmlformats.org/officeDocument/2006/relationships/image" Target="media/8ce859075f31fb1421db2bd13ace4b6066b645ed.png"/><Relationship Id="rId11" Type="http://schemas.openxmlformats.org/officeDocument/2006/relationships/image" Target="media/07cd2ff09f4df88a7dfaa35e884bafee4f3e0977.png"/><Relationship Id="rId12" Type="http://schemas.openxmlformats.org/officeDocument/2006/relationships/image" Target="media/2147e80b2aa6d0fc2e030cccb063b9e496932e8e.png"/><Relationship Id="rId13" Type="http://schemas.openxmlformats.org/officeDocument/2006/relationships/image" Target="media/af9f81b58ecf41f4055ba5318e713bbcd9552888.png"/><Relationship Id="rId14" Type="http://schemas.openxmlformats.org/officeDocument/2006/relationships/image" Target="media/b419be869ae276599bd2cbdbc918284610781d8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Division 296 and the prudential framework</dc:title>
  <dc:creator>APRA</dc:creator>
  <dc:description>What the new tax on large superannuation balances asks of us — and what it does not</dc:description>
  <cp:lastModifiedBy>Un-named</cp:lastModifiedBy>
  <cp:revision>1</cp:revision>
  <dcterms:created xsi:type="dcterms:W3CDTF">2026-07-26T04:34:35.974Z</dcterms:created>
  <dcterms:modified xsi:type="dcterms:W3CDTF">2026-07-26T04:34:35.974Z</dcterms:modified>
</cp:coreProperties>
</file>

<file path=docProps/custom.xml><?xml version="1.0" encoding="utf-8"?>
<Properties xmlns="http://schemas.openxmlformats.org/officeDocument/2006/custom-properties" xmlns:vt="http://schemas.openxmlformats.org/officeDocument/2006/docPropsVTypes"/>
</file>