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M31</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such as an approve or decline recommendation, is producing a quantitative estimate expressed categorically.</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M14, M15</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Controlled exceptions</w:t>
      </w:r>
    </w:p>
    <w:p>
      <w:pPr>
        <w:pStyle w:val="GuideBody"/>
      </w:pPr>
      <w:r>
        <w:rPr>
          <w:b/>
        </w:rPr>
        <w:t xml:space="preserve">22. </w:t>
      </w:r>
      <w:r>
        <w:t>Reduced controls should be a decision rather than an omission. An exception should identify the requirement not being met, the reason, the compensating control, the approver, the expiry date and the review point.</w:t>
      </w:r>
    </w:p>
    <w:p>
      <w:pPr>
        <w:pStyle w:val="GuideBody"/>
      </w:pPr>
      <w:r>
        <w:rPr>
          <w:b/>
        </w:rPr>
        <w:t xml:space="preserve">23.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24.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25.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M05, M06, M07, M08, M12</w:t>
            </w:r>
          </w:p>
        </w:tc>
      </w:tr>
    </w:tbl>
    <w:p>
      <w:pPr>
        <w:pStyle w:val="DocMeta"/>
      </w:pPr>
    </w:p>
    <w:p>
      <w:pPr>
        <w:pStyle w:val="GuideBody"/>
      </w:pPr>
      <w:r>
        <w:rPr>
          <w:b/>
        </w:rPr>
        <w:t xml:space="preserve">26.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27.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28.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29.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30.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31.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32.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33.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34. </w:t>
      </w:r>
      <w:r>
        <w:t>Validation should be performed by people who did not build the model and who do not report to those who did or to the business sponsoring its use. Where full organisational separation is impractical, the entity should be explicit about the residual conflict and how it is managed.</w:t>
      </w:r>
    </w:p>
    <w:p>
      <w:pPr>
        <w:pStyle w:val="GuideBody"/>
      </w:pPr>
      <w:r>
        <w:rPr>
          <w:b/>
        </w:rPr>
        <w:t xml:space="preserve">35.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36.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M09, M10, M11, M40</w:t>
            </w:r>
          </w:p>
        </w:tc>
      </w:tr>
    </w:tbl>
    <w:p>
      <w:pPr>
        <w:pStyle w:val="DocMeta"/>
      </w:pPr>
    </w:p>
    <w:p>
      <w:pPr>
        <w:pStyle w:val="GuideBody"/>
      </w:pPr>
      <w:r>
        <w:rPr>
          <w:b/>
        </w:rPr>
        <w:t xml:space="preserve">37.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38.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39. </w:t>
      </w:r>
      <w:r>
        <w:t>A model risk appetite should be capable of being breached. An appetite expressed only as a statement of intent cannot be monitored and therefore cannot constrain behaviour.</w:t>
      </w:r>
    </w:p>
    <w:p>
      <w:pPr>
        <w:pStyle w:val="GuideBody"/>
      </w:pPr>
      <w:r>
        <w:rPr>
          <w:b/>
        </w:rPr>
        <w:t xml:space="preserve">40.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41.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42.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43.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w:t>
            </w:r>
          </w:p>
        </w:tc>
      </w:tr>
    </w:tbl>
    <w:p>
      <w:pPr>
        <w:pStyle w:val="DocMeta"/>
      </w:pPr>
    </w:p>
    <w:p>
      <w:pPr>
        <w:pStyle w:val="GuideBody"/>
      </w:pPr>
      <w:r>
        <w:rPr>
          <w:b/>
        </w:rPr>
        <w:t xml:space="preserve">44.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45.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46.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47.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48.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M16, M17, M18, M33</w:t>
            </w:r>
          </w:p>
        </w:tc>
      </w:tr>
    </w:tbl>
    <w:p>
      <w:pPr>
        <w:pStyle w:val="DocMeta"/>
      </w:pPr>
    </w:p>
    <w:p>
      <w:pPr>
        <w:pStyle w:val="GuideBody"/>
      </w:pPr>
      <w:r>
        <w:rPr>
          <w:b/>
        </w:rPr>
        <w:t xml:space="preserve">49.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50.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51.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52.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53.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[B where implemented].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54.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55.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56.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57.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58.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M19, M20, M21, M22, M23, M24, M29, M31, M42</w:t>
            </w:r>
          </w:p>
        </w:tc>
      </w:tr>
    </w:tbl>
    <w:p>
      <w:pPr>
        <w:pStyle w:val="DocMeta"/>
      </w:pPr>
    </w:p>
    <w:p>
      <w:pPr>
        <w:pStyle w:val="GuideBody"/>
      </w:pPr>
      <w:r>
        <w:rPr>
          <w:b/>
        </w:rPr>
        <w:t xml:space="preserve">59.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60.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61.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62.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63.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64.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65.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At least annually</w:t>
            </w:r>
          </w:p>
        </w:tc>
        <w:tc>
          <w:tcPr>
            <w:tcW w:type="dxa" w:w="2268"/>
            <w:shd w:val="clear" w:color="auto" w:fill="F4F6FA"/>
          </w:tcPr>
          <w:p>
            <w:pPr>
              <w:pStyle w:val="TableText"/>
            </w:pPr>
            <w:r>
              <w:rPr>
                <w:rFonts w:ascii="Arial" w:hAnsi="Arial"/>
                <w:sz w:val="16"/>
              </w:rPr>
              <w:t>Every two to three years</w:t>
            </w:r>
          </w:p>
        </w:tc>
        <w:tc>
          <w:tcPr>
            <w:tcW w:type="dxa" w:w="2268"/>
            <w:shd w:val="clear" w:color="auto" w:fill="F4F6FA"/>
          </w:tcPr>
          <w:p>
            <w:pPr>
              <w:pStyle w:val="TableText"/>
            </w:pPr>
            <w:r>
              <w:rPr>
                <w:rFonts w:ascii="Arial" w:hAnsi="Arial"/>
                <w:sz w:val="16"/>
              </w:rPr>
              <w:t>Cyclical, risk-based</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Continuous or quarterly, with formal backtesting</w:t>
            </w:r>
          </w:p>
        </w:tc>
        <w:tc>
          <w:tcPr>
            <w:tcW w:type="dxa" w:w="2268"/>
          </w:tcPr>
          <w:p>
            <w:pPr>
              <w:pStyle w:val="TableText"/>
            </w:pPr>
            <w:r>
              <w:rPr>
                <w:rFonts w:ascii="Arial" w:hAnsi="Arial"/>
                <w:sz w:val="16"/>
              </w:rPr>
              <w:t>Semi-annual or annual</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Frequencies are illustrative; entities should calibrate them and define the events that trigger validation outside the cycle.</w:t>
      </w:r>
    </w:p>
    <w:p>
      <w:pPr>
        <w:pStyle w:val="Verification"/>
      </w:pPr>
      <w:r>
        <w:t>⚠ Verification: the three core elements of validation are extracted from the US interagency guidance, which remains supervisory guidance rather than a regulation. Validation frequencies in the table above are illustrative drafting and are not taken from any comparator instrument; they are identified as a policy design choice in the assessment workbook.</w:t>
      </w:r>
    </w:p>
    <w:p>
      <w:pPr>
        <w:pStyle w:val="Heading2"/>
      </w:pPr>
      <w:r>
        <w:t>Effective challenge</w:t>
      </w:r>
    </w:p>
    <w:p>
      <w:pPr>
        <w:pStyle w:val="GuideBody"/>
      </w:pPr>
      <w:r>
        <w:rPr>
          <w:b/>
        </w:rPr>
        <w:t xml:space="preserve">66.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67.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68.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69.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70.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71.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72.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M12, M24, M25, M26, M27</w:t>
            </w:r>
          </w:p>
        </w:tc>
      </w:tr>
    </w:tbl>
    <w:p>
      <w:pPr>
        <w:pStyle w:val="DocMeta"/>
      </w:pPr>
    </w:p>
    <w:p>
      <w:pPr>
        <w:pStyle w:val="GuideBody"/>
      </w:pPr>
      <w:r>
        <w:rPr>
          <w:b/>
        </w:rPr>
        <w:t xml:space="preserve">73.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74.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75.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76.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77.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78.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79.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80.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81.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M28, M29, M30</w:t>
            </w:r>
          </w:p>
        </w:tc>
      </w:tr>
    </w:tbl>
    <w:p>
      <w:pPr>
        <w:pStyle w:val="DocMeta"/>
      </w:pPr>
    </w:p>
    <w:p>
      <w:pPr>
        <w:pStyle w:val="GuideBody"/>
      </w:pPr>
      <w:r>
        <w:rPr>
          <w:b/>
        </w:rPr>
        <w:t xml:space="preserve">82.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83.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84.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85.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86.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87.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88.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M31, M32</w:t>
            </w:r>
          </w:p>
        </w:tc>
      </w:tr>
    </w:tbl>
    <w:p>
      <w:pPr>
        <w:pStyle w:val="DocMeta"/>
      </w:pPr>
    </w:p>
    <w:p>
      <w:pPr>
        <w:pStyle w:val="GuideBody"/>
      </w:pPr>
      <w:r>
        <w:rPr>
          <w:b/>
        </w:rPr>
        <w:t xml:space="preserve">89.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90.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91.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92.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[B where implemented].</w:t>
      </w:r>
    </w:p>
    <w:p>
      <w:pPr>
        <w:pStyle w:val="GuideBody"/>
      </w:pPr>
      <w:r>
        <w:rPr>
          <w:b/>
        </w:rPr>
        <w:t xml:space="preserve">93.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94.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[B where implemented].</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M25, M33, M34</w:t>
            </w:r>
          </w:p>
        </w:tc>
      </w:tr>
    </w:tbl>
    <w:p>
      <w:pPr>
        <w:pStyle w:val="DocMeta"/>
      </w:pPr>
    </w:p>
    <w:p>
      <w:pPr>
        <w:pStyle w:val="GuideBody"/>
      </w:pPr>
      <w:r>
        <w:rPr>
          <w:b/>
        </w:rPr>
        <w:t xml:space="preserve">95.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96. </w:t>
      </w:r>
      <w:r>
        <w:t>The characteristic difficulties are limited explainability, sensitivity to data drift, instability across retraining cycles, susceptibility to feature leakage, the potential for outcomes that differ systematically across groups, and dependence on externally supplied models whose construction cannot be inspected.</w:t>
      </w:r>
    </w:p>
    <w:p>
      <w:pPr>
        <w:pStyle w:val="Heading2"/>
      </w:pPr>
      <w:r>
        <w:t>Explainability</w:t>
      </w:r>
    </w:p>
    <w:p>
      <w:pPr>
        <w:pStyle w:val="GuideBody"/>
      </w:pPr>
      <w:r>
        <w:rPr>
          <w:b/>
        </w:rPr>
        <w:t xml:space="preserve">97.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98.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99.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100.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101.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102.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103.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M35, M36, M37, M38, M39</w:t>
            </w:r>
          </w:p>
        </w:tc>
      </w:tr>
    </w:tbl>
    <w:p>
      <w:pPr>
        <w:pStyle w:val="DocMeta"/>
      </w:pPr>
    </w:p>
    <w:p>
      <w:pPr>
        <w:pStyle w:val="GuideBody"/>
      </w:pPr>
      <w:r>
        <w:rPr>
          <w:b/>
        </w:rPr>
        <w:t xml:space="preserve">104.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105.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106.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[B where implemented].</w:t>
      </w:r>
    </w:p>
    <w:p>
      <w:pPr>
        <w:pStyle w:val="GuideBody"/>
      </w:pPr>
      <w:r>
        <w:rPr>
          <w:b/>
        </w:rPr>
        <w:t xml:space="preserve">107.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108.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109.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110.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111.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112.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[B where implemented]. CPS 220 Risk Management [B].</w:t>
      </w:r>
    </w:p>
    <w:p>
      <w:pPr>
        <w:pStyle w:val="GuideBody"/>
      </w:pPr>
      <w:r>
        <w:rPr>
          <w:b/>
        </w:rPr>
        <w:t xml:space="preserve">113.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M40, M41, M42, M43</w:t>
            </w:r>
          </w:p>
        </w:tc>
      </w:tr>
    </w:tbl>
    <w:p>
      <w:pPr>
        <w:pStyle w:val="DocMeta"/>
      </w:pPr>
    </w:p>
    <w:p>
      <w:pPr>
        <w:pStyle w:val="GuideBody"/>
      </w:pPr>
      <w:r>
        <w:rPr>
          <w:b/>
        </w:rPr>
        <w:t xml:space="preserve">114.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5 [SE]. ECB supervisory review of model risk [SE].</w:t>
      </w:r>
    </w:p>
    <w:p>
      <w:pPr>
        <w:pStyle w:val="GuideBody"/>
      </w:pPr>
      <w:r>
        <w:rPr>
          <w:b/>
        </w:rPr>
        <w:t xml:space="preserve">115. </w:t>
      </w:r>
      <w:r>
        <w:t>Where an entity concludes that no capital is warranted in respect of model risk, that conclusion should be reasoned and recorded. Reaching it by omission is not a conclusion.</w:t>
      </w:r>
    </w:p>
    <w:p>
      <w:pPr>
        <w:pStyle w:val="GuideBody"/>
      </w:pPr>
      <w:r>
        <w:rPr>
          <w:b/>
        </w:rPr>
        <w:t xml:space="preserve">116.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117.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118.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119.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120.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121.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122.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123.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124.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125.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22–23</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Board oversight of model risk</w:t>
            </w:r>
          </w:p>
        </w:tc>
        <w:tc>
          <w:tcPr>
            <w:tcW w:type="dxa" w:w="1928"/>
          </w:tcPr>
          <w:p>
            <w:pPr>
              <w:pStyle w:val="TableText"/>
            </w:pPr>
            <w:r>
              <w:rPr>
                <w:rFonts w:ascii="Arial" w:hAnsi="Arial"/>
                <w:sz w:val="16"/>
              </w:rPr>
              <w:t>26–27, 29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Senior accountability for the framework</w:t>
            </w:r>
          </w:p>
        </w:tc>
        <w:tc>
          <w:tcPr>
            <w:tcW w:type="dxa" w:w="1928"/>
            <w:shd w:val="clear" w:color="auto" w:fill="F4F6FA"/>
          </w:tcPr>
          <w:p>
            <w:pPr>
              <w:pStyle w:val="TableText"/>
            </w:pPr>
            <w:r>
              <w:rPr>
                <w:rFonts w:ascii="Arial" w:hAnsi="Arial"/>
                <w:sz w:val="16"/>
              </w:rPr>
              <w:t>30–31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Model ownership and defined lifecycle roles</w:t>
            </w:r>
          </w:p>
        </w:tc>
        <w:tc>
          <w:tcPr>
            <w:tcW w:type="dxa" w:w="1928"/>
          </w:tcPr>
          <w:p>
            <w:pPr>
              <w:pStyle w:val="TableText"/>
            </w:pPr>
            <w:r>
              <w:rPr>
                <w:rFonts w:ascii="Arial" w:hAnsi="Arial"/>
                <w:sz w:val="16"/>
              </w:rPr>
              <w:t>32–33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Capability, resourcing and independence</w:t>
            </w:r>
          </w:p>
        </w:tc>
        <w:tc>
          <w:tcPr>
            <w:tcW w:type="dxa" w:w="1928"/>
            <w:shd w:val="clear" w:color="auto" w:fill="F4F6FA"/>
          </w:tcPr>
          <w:p>
            <w:pPr>
              <w:pStyle w:val="TableText"/>
            </w:pPr>
            <w:r>
              <w:rPr>
                <w:rFonts w:ascii="Arial" w:hAnsi="Arial"/>
                <w:sz w:val="16"/>
              </w:rPr>
              <w:t>34–36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Integrated model risk management framework</w:t>
            </w:r>
          </w:p>
        </w:tc>
        <w:tc>
          <w:tcPr>
            <w:tcW w:type="dxa" w:w="1928"/>
          </w:tcPr>
          <w:p>
            <w:pPr>
              <w:pStyle w:val="TableText"/>
            </w:pPr>
            <w:r>
              <w:rPr>
                <w:rFonts w:ascii="Arial" w:hAnsi="Arial"/>
                <w:sz w:val="16"/>
              </w:rPr>
              <w:t>37–38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Model risk appetite and limits</w:t>
            </w:r>
          </w:p>
        </w:tc>
        <w:tc>
          <w:tcPr>
            <w:tcW w:type="dxa" w:w="1928"/>
            <w:shd w:val="clear" w:color="auto" w:fill="F4F6FA"/>
          </w:tcPr>
          <w:p>
            <w:pPr>
              <w:pStyle w:val="TableText"/>
            </w:pPr>
            <w:r>
              <w:rPr>
                <w:rFonts w:ascii="Arial" w:hAnsi="Arial"/>
                <w:sz w:val="16"/>
              </w:rPr>
              <w:t>39–41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Policy, standards and consistency of application</w:t>
            </w:r>
          </w:p>
        </w:tc>
        <w:tc>
          <w:tcPr>
            <w:tcW w:type="dxa" w:w="1928"/>
          </w:tcPr>
          <w:p>
            <w:pPr>
              <w:pStyle w:val="TableText"/>
            </w:pPr>
            <w:r>
              <w:rPr>
                <w:rFonts w:ascii="Arial" w:hAnsi="Arial"/>
                <w:sz w:val="16"/>
              </w:rPr>
              <w:t>42–43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Management information and escalation</w:t>
            </w:r>
          </w:p>
        </w:tc>
        <w:tc>
          <w:tcPr>
            <w:tcW w:type="dxa" w:w="1928"/>
            <w:shd w:val="clear" w:color="auto" w:fill="F4F6FA"/>
          </w:tcPr>
          <w:p>
            <w:pPr>
              <w:pStyle w:val="TableText"/>
            </w:pPr>
            <w:r>
              <w:rPr>
                <w:rFonts w:ascii="Arial" w:hAnsi="Arial"/>
                <w:sz w:val="16"/>
              </w:rPr>
              <w:t>27–28, 81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Model identification and enterprise inventory</w:t>
            </w:r>
          </w:p>
        </w:tc>
        <w:tc>
          <w:tcPr>
            <w:tcW w:type="dxa" w:w="1928"/>
          </w:tcPr>
          <w:p>
            <w:pPr>
              <w:pStyle w:val="TableText"/>
            </w:pPr>
            <w:r>
              <w:rPr>
                <w:rFonts w:ascii="Arial" w:hAnsi="Arial"/>
                <w:sz w:val="16"/>
              </w:rPr>
              <w:t>44–48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risk tiering</w:t>
            </w:r>
          </w:p>
        </w:tc>
        <w:tc>
          <w:tcPr>
            <w:tcW w:type="dxa" w:w="1928"/>
            <w:shd w:val="clear" w:color="auto" w:fill="F4F6FA"/>
          </w:tcPr>
          <w:p>
            <w:pPr>
              <w:pStyle w:val="TableText"/>
            </w:pPr>
            <w:r>
              <w:rPr>
                <w:rFonts w:ascii="Arial" w:hAnsi="Arial"/>
                <w:sz w:val="16"/>
              </w:rPr>
              <w:t>17–21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Reassessment and trigger events</w:t>
            </w:r>
          </w:p>
        </w:tc>
        <w:tc>
          <w:tcPr>
            <w:tcW w:type="dxa" w:w="1928"/>
          </w:tcPr>
          <w:p>
            <w:pPr>
              <w:pStyle w:val="TableText"/>
            </w:pPr>
            <w:r>
              <w:rPr>
                <w:rFonts w:ascii="Arial" w:hAnsi="Arial"/>
                <w:sz w:val="16"/>
              </w:rPr>
              <w:t>24–25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Conceptual soundness and development standards</w:t>
            </w:r>
          </w:p>
        </w:tc>
        <w:tc>
          <w:tcPr>
            <w:tcW w:type="dxa" w:w="1928"/>
            <w:shd w:val="clear" w:color="auto" w:fill="F4F6FA"/>
          </w:tcPr>
          <w:p>
            <w:pPr>
              <w:pStyle w:val="TableText"/>
            </w:pPr>
            <w:r>
              <w:rPr>
                <w:rFonts w:ascii="Arial" w:hAnsi="Arial"/>
                <w:sz w:val="16"/>
              </w:rPr>
              <w:t>49–52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Data quality, provenance and appropriateness</w:t>
            </w:r>
          </w:p>
        </w:tc>
        <w:tc>
          <w:tcPr>
            <w:tcW w:type="dxa" w:w="1928"/>
          </w:tcPr>
          <w:p>
            <w:pPr>
              <w:pStyle w:val="TableText"/>
            </w:pPr>
            <w:r>
              <w:rPr>
                <w:rFonts w:ascii="Arial" w:hAnsi="Arial"/>
                <w:sz w:val="16"/>
              </w:rPr>
              <w:t>53–56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Documentation sufficient for independent reconstruction</w:t>
            </w:r>
          </w:p>
        </w:tc>
        <w:tc>
          <w:tcPr>
            <w:tcW w:type="dxa" w:w="1928"/>
            <w:shd w:val="clear" w:color="auto" w:fill="F4F6FA"/>
          </w:tcPr>
          <w:p>
            <w:pPr>
              <w:pStyle w:val="TableText"/>
            </w:pPr>
            <w:r>
              <w:rPr>
                <w:rFonts w:ascii="Arial" w:hAnsi="Arial"/>
                <w:sz w:val="16"/>
              </w:rPr>
              <w:t>57–58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Pre-implementation testing</w:t>
            </w:r>
          </w:p>
        </w:tc>
        <w:tc>
          <w:tcPr>
            <w:tcW w:type="dxa" w:w="1928"/>
          </w:tcPr>
          <w:p>
            <w:pPr>
              <w:pStyle w:val="TableText"/>
            </w:pPr>
            <w:r>
              <w:rPr>
                <w:rFonts w:ascii="Arial" w:hAnsi="Arial"/>
                <w:sz w:val="16"/>
              </w:rPr>
              <w:t>59–61</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Independent validation</w:t>
            </w:r>
          </w:p>
        </w:tc>
        <w:tc>
          <w:tcPr>
            <w:tcW w:type="dxa" w:w="1928"/>
            <w:shd w:val="clear" w:color="auto" w:fill="F4F6FA"/>
          </w:tcPr>
          <w:p>
            <w:pPr>
              <w:pStyle w:val="TableText"/>
            </w:pPr>
            <w:r>
              <w:rPr>
                <w:rFonts w:ascii="Arial" w:hAnsi="Arial"/>
                <w:sz w:val="16"/>
              </w:rPr>
              <w:t>69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Scope of validation</w:t>
            </w:r>
          </w:p>
        </w:tc>
        <w:tc>
          <w:tcPr>
            <w:tcW w:type="dxa" w:w="1928"/>
          </w:tcPr>
          <w:p>
            <w:pPr>
              <w:pStyle w:val="TableText"/>
            </w:pPr>
            <w:r>
              <w:rPr>
                <w:rFonts w:ascii="Arial" w:hAnsi="Arial"/>
                <w:sz w:val="16"/>
              </w:rPr>
              <w:t>62–65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Effective challenge</w:t>
            </w:r>
          </w:p>
        </w:tc>
        <w:tc>
          <w:tcPr>
            <w:tcW w:type="dxa" w:w="1928"/>
            <w:shd w:val="clear" w:color="auto" w:fill="F4F6FA"/>
          </w:tcPr>
          <w:p>
            <w:pPr>
              <w:pStyle w:val="TableText"/>
            </w:pPr>
            <w:r>
              <w:rPr>
                <w:rFonts w:ascii="Arial" w:hAnsi="Arial"/>
                <w:sz w:val="16"/>
              </w:rPr>
              <w:t>66–68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Approval and conditions of use</w:t>
            </w:r>
          </w:p>
        </w:tc>
        <w:tc>
          <w:tcPr>
            <w:tcW w:type="dxa" w:w="1928"/>
          </w:tcPr>
          <w:p>
            <w:pPr>
              <w:pStyle w:val="TableText"/>
            </w:pPr>
            <w:r>
              <w:rPr>
                <w:rFonts w:ascii="Arial" w:hAnsi="Arial"/>
                <w:sz w:val="16"/>
              </w:rPr>
              <w:t>70–72</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Implementation controls</w:t>
            </w:r>
          </w:p>
        </w:tc>
        <w:tc>
          <w:tcPr>
            <w:tcW w:type="dxa" w:w="1928"/>
            <w:shd w:val="clear" w:color="auto" w:fill="F4F6FA"/>
          </w:tcPr>
          <w:p>
            <w:pPr>
              <w:pStyle w:val="TableText"/>
            </w:pPr>
            <w:r>
              <w:rPr>
                <w:rFonts w:ascii="Arial" w:hAnsi="Arial"/>
                <w:sz w:val="16"/>
              </w:rPr>
              <w:t>64, 73–74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Change management and re-approval</w:t>
            </w:r>
          </w:p>
        </w:tc>
        <w:tc>
          <w:tcPr>
            <w:tcW w:type="dxa" w:w="1928"/>
          </w:tcPr>
          <w:p>
            <w:pPr>
              <w:pStyle w:val="TableText"/>
            </w:pPr>
            <w:r>
              <w:rPr>
                <w:rFonts w:ascii="Arial" w:hAnsi="Arial"/>
                <w:sz w:val="16"/>
              </w:rPr>
              <w:t>75–76, 99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Use consistent with approved purpose</w:t>
            </w:r>
          </w:p>
        </w:tc>
        <w:tc>
          <w:tcPr>
            <w:tcW w:type="dxa" w:w="1928"/>
            <w:shd w:val="clear" w:color="auto" w:fill="F4F6FA"/>
          </w:tcPr>
          <w:p>
            <w:pPr>
              <w:pStyle w:val="TableText"/>
            </w:pPr>
            <w:r>
              <w:rPr>
                <w:rFonts w:ascii="Arial" w:hAnsi="Arial"/>
                <w:sz w:val="16"/>
              </w:rPr>
              <w:t>77–78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Overlays, adjustments and expert judgement</w:t>
            </w:r>
          </w:p>
        </w:tc>
        <w:tc>
          <w:tcPr>
            <w:tcW w:type="dxa" w:w="1928"/>
          </w:tcPr>
          <w:p>
            <w:pPr>
              <w:pStyle w:val="TableText"/>
            </w:pPr>
            <w:r>
              <w:rPr>
                <w:rFonts w:ascii="Arial" w:hAnsi="Arial"/>
                <w:sz w:val="16"/>
              </w:rPr>
              <w:t>79–81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Ongoing performance monitoring</w:t>
            </w:r>
          </w:p>
        </w:tc>
        <w:tc>
          <w:tcPr>
            <w:tcW w:type="dxa" w:w="1928"/>
            <w:shd w:val="clear" w:color="auto" w:fill="F4F6FA"/>
          </w:tcPr>
          <w:p>
            <w:pPr>
              <w:pStyle w:val="TableText"/>
            </w:pPr>
            <w:r>
              <w:rPr>
                <w:rFonts w:ascii="Arial" w:hAnsi="Arial"/>
                <w:sz w:val="16"/>
              </w:rPr>
              <w:t>82–84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Limitations, compensating controls and remediation</w:t>
            </w:r>
          </w:p>
        </w:tc>
        <w:tc>
          <w:tcPr>
            <w:tcW w:type="dxa" w:w="1928"/>
          </w:tcPr>
          <w:p>
            <w:pPr>
              <w:pStyle w:val="TableText"/>
            </w:pPr>
            <w:r>
              <w:rPr>
                <w:rFonts w:ascii="Arial" w:hAnsi="Arial"/>
                <w:sz w:val="16"/>
              </w:rPr>
              <w:t>72, 85–86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Restriction, suspension and decommissioning</w:t>
            </w:r>
          </w:p>
        </w:tc>
        <w:tc>
          <w:tcPr>
            <w:tcW w:type="dxa" w:w="1928"/>
            <w:shd w:val="clear" w:color="auto" w:fill="F4F6FA"/>
          </w:tcPr>
          <w:p>
            <w:pPr>
              <w:pStyle w:val="TableText"/>
            </w:pPr>
            <w:r>
              <w:rPr>
                <w:rFonts w:ascii="Arial" w:hAnsi="Arial"/>
                <w:sz w:val="16"/>
              </w:rPr>
              <w:t>87–88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Vendor and externally developed models</w:t>
            </w:r>
          </w:p>
        </w:tc>
        <w:tc>
          <w:tcPr>
            <w:tcW w:type="dxa" w:w="1928"/>
          </w:tcPr>
          <w:p>
            <w:pPr>
              <w:pStyle w:val="TableText"/>
            </w:pPr>
            <w:r>
              <w:rPr>
                <w:rFonts w:ascii="Arial" w:hAnsi="Arial"/>
                <w:sz w:val="16"/>
              </w:rPr>
              <w:t>15, 69, 89–91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Information rights, concentration and substitutability</w:t>
            </w:r>
          </w:p>
        </w:tc>
        <w:tc>
          <w:tcPr>
            <w:tcW w:type="dxa" w:w="1928"/>
            <w:shd w:val="clear" w:color="auto" w:fill="F4F6FA"/>
          </w:tcPr>
          <w:p>
            <w:pPr>
              <w:pStyle w:val="TableText"/>
            </w:pPr>
            <w:r>
              <w:rPr>
                <w:rFonts w:ascii="Arial" w:hAnsi="Arial"/>
                <w:sz w:val="16"/>
              </w:rPr>
              <w:t>92–94</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Additional controls for AI and machine learning models</w:t>
            </w:r>
          </w:p>
        </w:tc>
        <w:tc>
          <w:tcPr>
            <w:tcW w:type="dxa" w:w="1928"/>
          </w:tcPr>
          <w:p>
            <w:pPr>
              <w:pStyle w:val="TableText"/>
            </w:pPr>
            <w:r>
              <w:rPr>
                <w:rFonts w:ascii="Arial" w:hAnsi="Arial"/>
                <w:sz w:val="16"/>
              </w:rPr>
              <w:t>56, 95–100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Boundary with the AI risk management framework</w:t>
            </w:r>
          </w:p>
        </w:tc>
        <w:tc>
          <w:tcPr>
            <w:tcW w:type="dxa" w:w="1928"/>
            <w:shd w:val="clear" w:color="auto" w:fill="F4F6FA"/>
          </w:tcPr>
          <w:p>
            <w:pPr>
              <w:pStyle w:val="TableText"/>
            </w:pPr>
            <w:r>
              <w:rPr>
                <w:rFonts w:ascii="Arial" w:hAnsi="Arial"/>
                <w:sz w:val="16"/>
              </w:rPr>
              <w:t>101–103</w:t>
            </w:r>
          </w:p>
        </w:tc>
        <w:tc>
          <w:tcPr>
            <w:tcW w:type="dxa" w:w="1871"/>
            <w:shd w:val="clear" w:color="auto" w:fill="F4F6FA"/>
          </w:tcPr>
          <w:p>
            <w:pPr>
              <w:pStyle w:val="TableText"/>
            </w:pPr>
            <w:r>
              <w:rPr>
                <w:rFonts w:ascii="Arial" w:hAnsi="Arial"/>
                <w:sz w:val="16"/>
              </w:rPr>
              <w:t>Policy choice</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Models used to determine regulatory capital</w:t>
            </w:r>
          </w:p>
        </w:tc>
        <w:tc>
          <w:tcPr>
            <w:tcW w:type="dxa" w:w="1928"/>
          </w:tcPr>
          <w:p>
            <w:pPr>
              <w:pStyle w:val="TableText"/>
            </w:pPr>
            <w:r>
              <w:rPr>
                <w:rFonts w:ascii="Arial" w:hAnsi="Arial"/>
                <w:sz w:val="16"/>
              </w:rPr>
              <w:t>104–105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Valuation and financial reporting models</w:t>
            </w:r>
          </w:p>
        </w:tc>
        <w:tc>
          <w:tcPr>
            <w:tcW w:type="dxa" w:w="1928"/>
            <w:shd w:val="clear" w:color="auto" w:fill="F4F6FA"/>
          </w:tcPr>
          <w:p>
            <w:pPr>
              <w:pStyle w:val="TableText"/>
            </w:pPr>
            <w:r>
              <w:rPr>
                <w:rFonts w:ascii="Arial" w:hAnsi="Arial"/>
                <w:sz w:val="16"/>
              </w:rPr>
              <w:t>106–107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108–109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41, 114–116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117–118</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68, 119–120</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121–122</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Board oversight of model risk</w:t>
            </w:r>
          </w:p>
        </w:tc>
        <w:tc>
          <w:tcPr>
            <w:tcW w:type="dxa" w:w="9184"/>
          </w:tcPr>
          <w:p>
            <w:pPr>
              <w:pStyle w:val="TableText"/>
            </w:pPr>
            <w:r>
              <w:rPr>
                <w:rFonts w:ascii="Arial" w:hAnsi="Arial"/>
                <w:sz w:val="15"/>
              </w:rPr>
              <w:t>PRA SS1/23 Principle 2 (governance); US interagency guidance 2026 §VI; OSFI E-23 governance</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Senior accountability for the framework</w:t>
            </w:r>
          </w:p>
        </w:tc>
        <w:tc>
          <w:tcPr>
            <w:tcW w:type="dxa" w:w="9184"/>
            <w:shd w:val="clear" w:color="auto" w:fill="F4F6FA"/>
          </w:tcPr>
          <w:p>
            <w:pPr>
              <w:pStyle w:val="TableText"/>
            </w:pPr>
            <w:r>
              <w:rPr>
                <w:rFonts w:ascii="Arial" w:hAnsi="Arial"/>
                <w:sz w:val="15"/>
              </w:rPr>
              <w:t>PRA SS1/23 Principle 2 (senior management function accountability); OSFI E-23 accountability</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Model ownership and defined lifecycle roles</w:t>
            </w:r>
          </w:p>
        </w:tc>
        <w:tc>
          <w:tcPr>
            <w:tcW w:type="dxa" w:w="9184"/>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Capability, resourcing and independence</w:t>
            </w:r>
          </w:p>
        </w:tc>
        <w:tc>
          <w:tcPr>
            <w:tcW w:type="dxa" w:w="9184"/>
            <w:shd w:val="clear" w:color="auto" w:fill="F4F6FA"/>
          </w:tcPr>
          <w:p>
            <w:pPr>
              <w:pStyle w:val="TableText"/>
            </w:pPr>
            <w:r>
              <w:rPr>
                <w:rFonts w:ascii="Arial" w:hAnsi="Arial"/>
                <w:sz w:val="15"/>
              </w:rPr>
              <w:t>US interagency guidance 2026 §V; PRA SS1/23 Principle 4.1; PRA SS1/23 Principle 4; ECB internal validation</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Integrated model risk management framework</w:t>
            </w:r>
          </w:p>
        </w:tc>
        <w:tc>
          <w:tcPr>
            <w:tcW w:type="dxa" w:w="9184"/>
          </w:tcPr>
          <w:p>
            <w:pPr>
              <w:pStyle w:val="TableText"/>
            </w:pPr>
            <w:r>
              <w:rPr>
                <w:rFonts w:ascii="Arial" w:hAnsi="Arial"/>
                <w:sz w:val="15"/>
              </w:rPr>
              <w:t>PRA SS1/23 Principle 2; OSFI E-23 enterprise framework; US interagency guidance 2026 §VI</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Model risk appetite and limits</w:t>
            </w:r>
          </w:p>
        </w:tc>
        <w:tc>
          <w:tcPr>
            <w:tcW w:type="dxa" w:w="9184"/>
            <w:shd w:val="clear" w:color="auto" w:fill="F4F6FA"/>
          </w:tcPr>
          <w:p>
            <w:pPr>
              <w:pStyle w:val="TableText"/>
            </w:pPr>
            <w:r>
              <w:rPr>
                <w:rFonts w:ascii="Arial" w:hAnsi="Arial"/>
                <w:sz w:val="15"/>
              </w:rPr>
              <w:t>PRA SS1/23 Principle 2 (risk appetite); OSFI E-23 framework aligned to risk appetite</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Policy, standards and consistency of application</w:t>
            </w:r>
          </w:p>
        </w:tc>
        <w:tc>
          <w:tcPr>
            <w:tcW w:type="dxa" w:w="9184"/>
          </w:tcPr>
          <w:p>
            <w:pPr>
              <w:pStyle w:val="TableText"/>
            </w:pPr>
            <w:r>
              <w:rPr>
                <w:rFonts w:ascii="Arial" w:hAnsi="Arial"/>
                <w:sz w:val="15"/>
              </w:rPr>
              <w:t>US interagency guidance 2026 §VI policies; OSFI E-23 policies and procedures</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Management information and escalation</w:t>
            </w:r>
          </w:p>
        </w:tc>
        <w:tc>
          <w:tcPr>
            <w:tcW w:type="dxa" w:w="9184"/>
            <w:shd w:val="clear" w:color="auto" w:fill="F4F6FA"/>
          </w:tcPr>
          <w:p>
            <w:pPr>
              <w:pStyle w:val="TableText"/>
            </w:pPr>
            <w:r>
              <w:rPr>
                <w:rFonts w:ascii="Arial" w:hAnsi="Arial"/>
                <w:sz w:val="15"/>
              </w:rPr>
              <w:t>PRA SS1/23 Principle 5; OSFI E-23 reporting; BCBS 239 risk reporting practices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Model identification and enterprise inventory</w:t>
            </w:r>
          </w:p>
        </w:tc>
        <w:tc>
          <w:tcPr>
            <w:tcW w:type="dxa" w:w="9184"/>
          </w:tcPr>
          <w:p>
            <w:pPr>
              <w:pStyle w:val="TableText"/>
            </w:pPr>
            <w:r>
              <w:rPr>
                <w:rFonts w:ascii="Arial" w:hAnsi="Arial"/>
                <w:sz w:val="15"/>
              </w:rPr>
              <w:t>PRA SS1/23 Principle 1; US interagency guidance 2026 §VI inventory; OSFI E-23 model inventory</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risk tiering</w:t>
            </w:r>
          </w:p>
        </w:tc>
        <w:tc>
          <w:tcPr>
            <w:tcW w:type="dxa" w:w="9184"/>
            <w:shd w:val="clear" w:color="auto" w:fill="F4F6FA"/>
          </w:tcPr>
          <w:p>
            <w:pPr>
              <w:pStyle w:val="TableText"/>
            </w:pPr>
            <w:r>
              <w:rPr>
                <w:rFonts w:ascii="Arial" w:hAnsi="Arial"/>
                <w:sz w:val="15"/>
              </w:rPr>
              <w:t>PRA SS1/23 Principle 1 (model risk classification); OSFI E-23 model risk rating</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Reassessment and trigger events</w:t>
            </w:r>
          </w:p>
        </w:tc>
        <w:tc>
          <w:tcPr>
            <w:tcW w:type="dxa" w:w="9184"/>
          </w:tcPr>
          <w:p>
            <w:pPr>
              <w:pStyle w:val="TableText"/>
            </w:pPr>
            <w:r>
              <w:rPr>
                <w:rFonts w:ascii="Arial" w:hAnsi="Arial"/>
                <w:sz w:val="15"/>
              </w:rPr>
              <w:t>OSFI E-23 review triggers; ECB model change management</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Conceptual soundness and development standards</w:t>
            </w:r>
          </w:p>
        </w:tc>
        <w:tc>
          <w:tcPr>
            <w:tcW w:type="dxa" w:w="9184"/>
            <w:shd w:val="clear" w:color="auto" w:fill="F4F6FA"/>
          </w:tcPr>
          <w:p>
            <w:pPr>
              <w:pStyle w:val="TableText"/>
            </w:pPr>
            <w:r>
              <w:rPr>
                <w:rFonts w:ascii="Arial" w:hAnsi="Arial"/>
                <w:sz w:val="15"/>
              </w:rPr>
              <w:t>US interagency guidance 2026 §IV; PRA SS1/23 Principle 3; ECB internal models general topics</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Data quality, provenance and appropriateness</w:t>
            </w:r>
          </w:p>
        </w:tc>
        <w:tc>
          <w:tcPr>
            <w:tcW w:type="dxa" w:w="9184"/>
          </w:tcPr>
          <w:p>
            <w:pPr>
              <w:pStyle w:val="TableText"/>
            </w:pPr>
            <w:r>
              <w:rPr>
                <w:rFonts w:ascii="Arial" w:hAnsi="Arial"/>
                <w:sz w:val="15"/>
              </w:rPr>
              <w:t>BCBS 239 risk data aggregation capabilities; US interagency guidance 2026 §IV data; ECB data quality</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Documentation sufficient for independent reconstruction</w:t>
            </w:r>
          </w:p>
        </w:tc>
        <w:tc>
          <w:tcPr>
            <w:tcW w:type="dxa" w:w="9184"/>
            <w:shd w:val="clear" w:color="auto" w:fill="F4F6FA"/>
          </w:tcPr>
          <w:p>
            <w:pPr>
              <w:pStyle w:val="TableText"/>
            </w:pPr>
            <w:r>
              <w:rPr>
                <w:rFonts w:ascii="Arial" w:hAnsi="Arial"/>
                <w:sz w:val="15"/>
              </w:rPr>
              <w:t>US interagency guidance 2026 §VI documentation; PRA SS1/23 Principle 3; ECB documentation requirements</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Pre-implementation testing</w:t>
            </w:r>
          </w:p>
        </w:tc>
        <w:tc>
          <w:tcPr>
            <w:tcW w:type="dxa" w:w="9184"/>
          </w:tcPr>
          <w:p>
            <w:pPr>
              <w:pStyle w:val="TableText"/>
            </w:pPr>
            <w:r>
              <w:rPr>
                <w:rFonts w:ascii="Arial" w:hAnsi="Arial"/>
                <w:sz w:val="15"/>
              </w:rPr>
              <w:t>US interagency guidance 2026 §IV (model testing); PRA SS1/23 Principle 3; ECB pre-approval testing</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Independent validation</w:t>
            </w:r>
          </w:p>
        </w:tc>
        <w:tc>
          <w:tcPr>
            <w:tcW w:type="dxa" w:w="9184"/>
            <w:shd w:val="clear" w:color="auto" w:fill="F4F6FA"/>
          </w:tcPr>
          <w:p>
            <w:pPr>
              <w:pStyle w:val="TableText"/>
            </w:pPr>
            <w:r>
              <w:rPr>
                <w:rFonts w:ascii="Arial" w:hAnsi="Arial"/>
                <w:sz w:val="15"/>
              </w:rPr>
              <w:t>US interagency guidance 2026 §V; PRA SS1/23 Principle 4; OSFI E-23 independent review; ECB internal validation</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Scope of validation</w:t>
            </w:r>
          </w:p>
        </w:tc>
        <w:tc>
          <w:tcPr>
            <w:tcW w:type="dxa" w:w="9184"/>
          </w:tcPr>
          <w:p>
            <w:pPr>
              <w:pStyle w:val="TableText"/>
            </w:pPr>
            <w:r>
              <w:rPr>
                <w:rFonts w:ascii="Arial" w:hAnsi="Arial"/>
                <w:sz w:val="15"/>
              </w:rPr>
              <w:t>US interagency guidance 2026 §V (components of model validation); PRA SS1/23 Principle 4</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Effective challenge</w:t>
            </w:r>
          </w:p>
        </w:tc>
        <w:tc>
          <w:tcPr>
            <w:tcW w:type="dxa" w:w="9184"/>
            <w:shd w:val="clear" w:color="auto" w:fill="F4F6FA"/>
          </w:tcPr>
          <w:p>
            <w:pPr>
              <w:pStyle w:val="TableText"/>
            </w:pPr>
            <w:r>
              <w:rPr>
                <w:rFonts w:ascii="Arial" w:hAnsi="Arial"/>
                <w:sz w:val="15"/>
              </w:rPr>
              <w:t>US interagency guidance 2026 §III (effective challenge);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Approval and conditions of use</w:t>
            </w:r>
          </w:p>
        </w:tc>
        <w:tc>
          <w:tcPr>
            <w:tcW w:type="dxa" w:w="9184"/>
          </w:tcPr>
          <w:p>
            <w:pPr>
              <w:pStyle w:val="TableText"/>
            </w:pPr>
            <w:r>
              <w:rPr>
                <w:rFonts w:ascii="Arial" w:hAnsi="Arial"/>
                <w:sz w:val="15"/>
              </w:rPr>
              <w:t>OSFI E-23 approval; ECB model approval and use; US interagency guidance 2026 §VI</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Implementation controls</w:t>
            </w:r>
          </w:p>
        </w:tc>
        <w:tc>
          <w:tcPr>
            <w:tcW w:type="dxa" w:w="9184"/>
            <w:shd w:val="clear" w:color="auto" w:fill="F4F6FA"/>
          </w:tcPr>
          <w:p>
            <w:pPr>
              <w:pStyle w:val="TableText"/>
            </w:pPr>
            <w:r>
              <w:rPr>
                <w:rFonts w:ascii="Arial" w:hAnsi="Arial"/>
                <w:sz w:val="15"/>
              </w:rPr>
              <w:t>Former SR 11-7 §IV (implementation); not carried forward in 2026; ECB internal models implementation</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Change management and re-approval</w:t>
            </w:r>
          </w:p>
        </w:tc>
        <w:tc>
          <w:tcPr>
            <w:tcW w:type="dxa" w:w="9184"/>
          </w:tcPr>
          <w:p>
            <w:pPr>
              <w:pStyle w:val="TableText"/>
            </w:pPr>
            <w:r>
              <w:rPr>
                <w:rFonts w:ascii="Arial" w:hAnsi="Arial"/>
                <w:sz w:val="15"/>
              </w:rPr>
              <w:t>ECB management of model changes; OSFI E-23 model changes; PRA SS1/23 Principle 3</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Use consistent with approved purpose</w:t>
            </w:r>
          </w:p>
        </w:tc>
        <w:tc>
          <w:tcPr>
            <w:tcW w:type="dxa" w:w="9184"/>
            <w:shd w:val="clear" w:color="auto" w:fill="F4F6FA"/>
          </w:tcPr>
          <w:p>
            <w:pPr>
              <w:pStyle w:val="TableText"/>
            </w:pPr>
            <w:r>
              <w:rPr>
                <w:rFonts w:ascii="Arial" w:hAnsi="Arial"/>
                <w:sz w:val="15"/>
              </w:rPr>
              <w:t>US interagency guidance 2026 §IV (model use); PRA SS1/23 Principle 3; ECB use test</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Overlays, adjustments and expert judgement</w:t>
            </w:r>
          </w:p>
        </w:tc>
        <w:tc>
          <w:tcPr>
            <w:tcW w:type="dxa" w:w="9184"/>
          </w:tcPr>
          <w:p>
            <w:pPr>
              <w:pStyle w:val="TableText"/>
            </w:pPr>
            <w:r>
              <w:rPr>
                <w:rFonts w:ascii="Arial" w:hAnsi="Arial"/>
                <w:sz w:val="15"/>
              </w:rPr>
              <w:t>PRA SS1/23 Principle 5 (post-model adjustments); ECB margin of conservatism</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Ongoing performance monitoring</w:t>
            </w:r>
          </w:p>
        </w:tc>
        <w:tc>
          <w:tcPr>
            <w:tcW w:type="dxa" w:w="9184"/>
            <w:shd w:val="clear" w:color="auto" w:fill="F4F6FA"/>
          </w:tcPr>
          <w:p>
            <w:pPr>
              <w:pStyle w:val="TableText"/>
            </w:pPr>
            <w:r>
              <w:rPr>
                <w:rFonts w:ascii="Arial" w:hAnsi="Arial"/>
                <w:sz w:val="15"/>
              </w:rPr>
              <w:t>US interagency guidance 2026 §V (ongoing model monitoring); PRA SS1/23 Principle 3; OSFI E-23 monitoring</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Limitations, compensating controls and remediation</w:t>
            </w:r>
          </w:p>
        </w:tc>
        <w:tc>
          <w:tcPr>
            <w:tcW w:type="dxa" w:w="9184"/>
          </w:tcPr>
          <w:p>
            <w:pPr>
              <w:pStyle w:val="TableText"/>
            </w:pPr>
            <w:r>
              <w:rPr>
                <w:rFonts w:ascii="Arial" w:hAnsi="Arial"/>
                <w:sz w:val="15"/>
              </w:rPr>
              <w:t>PRA SS1/23 Principle 5 (model risk mitigants); OSFI E-23 issue management</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Restriction, suspension and decommissioning</w:t>
            </w:r>
          </w:p>
        </w:tc>
        <w:tc>
          <w:tcPr>
            <w:tcW w:type="dxa" w:w="9184"/>
            <w:shd w:val="clear" w:color="auto" w:fill="F4F6FA"/>
          </w:tcPr>
          <w:p>
            <w:pPr>
              <w:pStyle w:val="TableText"/>
            </w:pPr>
            <w:r>
              <w:rPr>
                <w:rFonts w:ascii="Arial" w:hAnsi="Arial"/>
                <w:sz w:val="15"/>
              </w:rPr>
              <w:t>OSFI E-23 decommissioning; CPS 230 critical operations and tolerance levels</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Vendor and externally developed models</w:t>
            </w:r>
          </w:p>
        </w:tc>
        <w:tc>
          <w:tcPr>
            <w:tcW w:type="dxa" w:w="9184"/>
          </w:tcPr>
          <w:p>
            <w:pPr>
              <w:pStyle w:val="TableText"/>
            </w:pPr>
            <w:r>
              <w:rPr>
                <w:rFonts w:ascii="Arial" w:hAnsi="Arial"/>
                <w:sz w:val="15"/>
              </w:rPr>
              <w:t>US interagency guidance 2026 §VII (vendor and other third-party products); OSFI E-23 third-party models; BCBS third-party principles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Information rights, concentration and substitutability</w:t>
            </w:r>
          </w:p>
        </w:tc>
        <w:tc>
          <w:tcPr>
            <w:tcW w:type="dxa" w:w="9184"/>
            <w:shd w:val="clear" w:color="auto" w:fill="F4F6FA"/>
          </w:tcPr>
          <w:p>
            <w:pPr>
              <w:pStyle w:val="TableText"/>
            </w:pPr>
            <w:r>
              <w:rPr>
                <w:rFonts w:ascii="Arial" w:hAnsi="Arial"/>
                <w:sz w:val="15"/>
              </w:rPr>
              <w:t>CPS 230 service provider management; BCBS third-party principles; FSB concentration analysis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Additional controls for AI and machine learning models</w:t>
            </w:r>
          </w:p>
        </w:tc>
        <w:tc>
          <w:tcPr>
            <w:tcW w:type="dxa" w:w="9184"/>
          </w:tcPr>
          <w:p>
            <w:pPr>
              <w:pStyle w:val="TableText"/>
            </w:pPr>
            <w:r>
              <w:rPr>
                <w:rFonts w:ascii="Arial" w:hAnsi="Arial"/>
                <w:sz w:val="15"/>
              </w:rPr>
              <w:t>OSFI E-23 AI/ML considerations; MAS AI model risk management observations; BCBS digitalisation report</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Boundary with the AI risk management framework</w:t>
            </w:r>
          </w:p>
        </w:tc>
        <w:tc>
          <w:tcPr>
            <w:tcW w:type="dxa" w:w="9184"/>
            <w:shd w:val="clear" w:color="auto" w:fill="F4F6FA"/>
          </w:tcPr>
          <w:p>
            <w:pPr>
              <w:pStyle w:val="TableText"/>
            </w:pPr>
            <w:r>
              <w:rPr>
                <w:rFonts w:ascii="Arial" w:hAnsi="Arial"/>
                <w:sz w:val="15"/>
              </w:rPr>
              <w:t>OSFI E-23 single framework for models including AI</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Models used to determine regulatory capital</w:t>
            </w:r>
          </w:p>
        </w:tc>
        <w:tc>
          <w:tcPr>
            <w:tcW w:type="dxa" w:w="9184"/>
          </w:tcPr>
          <w:p>
            <w:pPr>
              <w:pStyle w:val="TableText"/>
            </w:pPr>
            <w:r>
              <w:rPr>
                <w:rFonts w:ascii="Arial" w:hAnsi="Arial"/>
                <w:sz w:val="15"/>
              </w:rPr>
              <w:t>ECB Guide to internal models; CRR internal model requirements; APS 113 model requirements</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Valuation and financial reporting models</w:t>
            </w:r>
          </w:p>
        </w:tc>
        <w:tc>
          <w:tcPr>
            <w:tcW w:type="dxa" w:w="9184"/>
            <w:shd w:val="clear" w:color="auto" w:fill="F4F6FA"/>
          </w:tcPr>
          <w:p>
            <w:pPr>
              <w:pStyle w:val="TableText"/>
            </w:pPr>
            <w:r>
              <w:rPr>
                <w:rFonts w:ascii="Arial" w:hAnsi="Arial"/>
                <w:sz w:val="15"/>
              </w:rPr>
              <w:t>BCBS supervisory guidance on fair value practices; ECB internal models market risk</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5 (aggregate model risk); ECB model risk in the SREP</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FSB-AI-2024</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The Financial Stability Implications of Artificial Intelligence</w:t>
            </w:r>
          </w:p>
        </w:tc>
        <w:tc>
          <w:tcPr>
            <w:tcW w:type="dxa" w:w="2494"/>
            <w:shd w:val="clear" w:color="auto" w:fill="F4F6FA"/>
          </w:tcPr>
          <w:p>
            <w:pPr>
              <w:pStyle w:val="TableText"/>
            </w:pPr>
            <w:r>
              <w:rPr>
                <w:rFonts w:ascii="Arial" w:hAnsi="Arial"/>
                <w:sz w:val="14"/>
              </w:rPr>
              <w:t>Analytical report. Expressly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FSB-AI-2017</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Artificial intelligence and machine learning in financial services</w:t>
            </w:r>
          </w:p>
        </w:tc>
        <w:tc>
          <w:tcPr>
            <w:tcW w:type="dxa" w:w="2494"/>
          </w:tcPr>
          <w:p>
            <w:pPr>
              <w:pStyle w:val="TableText"/>
            </w:pPr>
            <w:r>
              <w:rPr>
                <w:rFonts w:ascii="Arial" w:hAnsi="Arial"/>
                <w:sz w:val="14"/>
              </w:rPr>
              <w:t>Analytical report.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APRA-CPS220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220 Risk Management</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220. SPS 220 is the RSE licensee counterpart.</w:t>
            </w:r>
          </w:p>
        </w:tc>
      </w:tr>
      <w:tr>
        <w:tc>
          <w:tcPr>
            <w:tcW w:type="dxa" w:w="964"/>
          </w:tcPr>
          <w:p>
            <w:pPr>
              <w:pStyle w:val="TableText"/>
            </w:pPr>
            <w:r>
              <w:rPr>
                <w:rFonts w:ascii="Arial" w:hAnsi="Arial"/>
                <w:sz w:val="14"/>
              </w:rPr>
              <w:t>APRA-SPS220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220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APRA-CPS230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230 Operational Risk Management</w:t>
            </w:r>
          </w:p>
        </w:tc>
        <w:tc>
          <w:tcPr>
            <w:tcW w:type="dxa" w:w="2494"/>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shd w:val="clear" w:color="auto" w:fill="F4F6FA"/>
          </w:tcPr>
          <w:p>
            <w:pPr>
              <w:pStyle w:val="TableText"/>
            </w:pPr>
            <w:r>
              <w:rPr>
                <w:rFonts w:ascii="Arial" w:hAnsi="Arial"/>
                <w:sz w:val="14"/>
              </w:rPr>
              <w:t>APRA-regulated entities as defined in CPS 230.</w:t>
            </w:r>
          </w:p>
        </w:tc>
      </w:tr>
      <w:tr>
        <w:tc>
          <w:tcPr>
            <w:tcW w:type="dxa" w:w="964"/>
          </w:tcPr>
          <w:p>
            <w:pPr>
              <w:pStyle w:val="TableText"/>
            </w:pPr>
            <w:r>
              <w:rPr>
                <w:rFonts w:ascii="Arial" w:hAnsi="Arial"/>
                <w:sz w:val="14"/>
              </w:rPr>
              <w:t>APRA-CPS234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234 Information Security</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234.</w:t>
            </w:r>
          </w:p>
        </w:tc>
      </w:tr>
      <w:tr>
        <w:tc>
          <w:tcPr>
            <w:tcW w:type="dxa" w:w="964"/>
            <w:shd w:val="clear" w:color="auto" w:fill="F4F6FA"/>
          </w:tcPr>
          <w:p>
            <w:pPr>
              <w:pStyle w:val="TableText"/>
            </w:pPr>
            <w:r>
              <w:rPr>
                <w:rFonts w:ascii="Arial" w:hAnsi="Arial"/>
                <w:sz w:val="14"/>
              </w:rPr>
              <w:t>APRA-CPG235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CPG 235 Managing Data Risk</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APRA-regulated entities.</w:t>
            </w:r>
          </w:p>
        </w:tc>
      </w:tr>
      <w:tr>
        <w:tc>
          <w:tcPr>
            <w:tcW w:type="dxa" w:w="964"/>
          </w:tcPr>
          <w:p>
            <w:pPr>
              <w:pStyle w:val="TableText"/>
            </w:pPr>
            <w:r>
              <w:rPr>
                <w:rFonts w:ascii="Arial" w:hAnsi="Arial"/>
                <w:sz w:val="14"/>
              </w:rPr>
              <w:t>APRA-APS113</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113 Capital Adequacy: Internal Ratings-based Approach to Credit Risk</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ADIs approved by APRA to use the internal ratings-based approach.</w:t>
            </w:r>
          </w:p>
        </w:tc>
      </w:tr>
      <w:tr>
        <w:tc>
          <w:tcPr>
            <w:tcW w:type="dxa" w:w="964"/>
            <w:shd w:val="clear" w:color="auto" w:fill="F4F6FA"/>
          </w:tcPr>
          <w:p>
            <w:pPr>
              <w:pStyle w:val="TableText"/>
            </w:pPr>
            <w:r>
              <w:rPr>
                <w:rFonts w:ascii="Arial" w:hAnsi="Arial"/>
                <w:sz w:val="14"/>
              </w:rPr>
              <w:t>APRA-CPS320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320 Actuarial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Insurers as defined in the standard.</w:t>
            </w:r>
          </w:p>
        </w:tc>
      </w:tr>
      <w:tr>
        <w:tc>
          <w:tcPr>
            <w:tcW w:type="dxa" w:w="964"/>
          </w:tcPr>
          <w:p>
            <w:pPr>
              <w:pStyle w:val="TableText"/>
            </w:pPr>
            <w:r>
              <w:rPr>
                <w:rFonts w:ascii="Arial" w:hAnsi="Arial"/>
                <w:sz w:val="14"/>
              </w:rPr>
              <w:t>APRA-SPS530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530 Investment Governance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APRA-SPS515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515 Strategic Planning and Member Outcomes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