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tbl>
      <w:tblPr>
        <w:tblW w:type="dxa" w:w="9906"/>
        <w:tblBorders>
          <w:top w:val="none" w:color="FFFFFF" w:sz="0"/>
          <w:left w:val="none" w:color="FFFFFF" w:sz="0"/>
          <w:bottom w:val="single" w:color="00B398" w:sz="8"/>
          <w:right w:val="none" w:color="FFFFFF" w:sz="0"/>
          <w:insideH w:val="none" w:color="FFFFFF" w:sz="0"/>
          <w:insideV w:val="none" w:color="FFFFFF" w:sz="0"/>
        </w:tblBorders>
        <w:tblLayout w:type="fixed"/>
      </w:tblPr>
      <w:tblGrid>
        <w:gridCol w:w="5944"/>
        <w:gridCol w:w="3962"/>
      </w:tblGrid>
      <w:tr>
        <w:tc>
          <w:tcPr>
            <w:tcW w:type="dxa" w:w="5944"/>
            <w:tcBorders>
              <w:top w:val="none" w:color="FFFFFF" w:sz="0"/>
              <w:left w:val="none" w:color="FFFFFF" w:sz="0"/>
              <w:bottom w:val="none" w:color="FFFFFF" w:sz="0"/>
              <w:right w:val="none" w:color="FFFFFF" w:sz="0"/>
            </w:tcBorders>
            <w:tcMar>
              <w:top w:type="dxa" w:w="0"/>
              <w:left w:type="dxa" w:w="0"/>
              <w:bottom w:type="dxa" w:w="0"/>
              <w:right w:type="dxa" w:w="0"/>
            </w:tcMar>
          </w:tcPr>
          <w:p>
            <w:pPr>
              <w:spacing w:after="0"/>
            </w:pPr>
            <w:r>
              <w:rPr>
                <w:rFonts w:ascii="Arial" w:cs="Arial" w:eastAsia="Arial" w:hAnsi="Arial"/>
                <w:b/>
                <w:bCs/>
                <w:caps/>
                <w:color w:val="00B398"/>
                <w:sz w:val="17"/>
                <w:szCs w:val="17"/>
              </w:rPr>
              <w:t xml:space="preserve">Prudential research note</w:t>
            </w:r>
          </w:p>
        </w:tc>
        <w:tc>
          <w:tcPr>
            <w:tcW w:type="dxa" w:w="3962"/>
            <w:tcBorders>
              <w:top w:val="none" w:color="FFFFFF" w:sz="0"/>
              <w:left w:val="none" w:color="FFFFFF" w:sz="0"/>
              <w:bottom w:val="none" w:color="FFFFFF" w:sz="0"/>
              <w:right w:val="none" w:color="FFFFFF" w:sz="0"/>
            </w:tcBorders>
            <w:tcMar>
              <w:top w:type="dxa" w:w="0"/>
              <w:left w:type="dxa" w:w="0"/>
              <w:bottom w:type="dxa" w:w="0"/>
              <w:right w:type="dxa" w:w="0"/>
            </w:tcMar>
          </w:tcPr>
          <w:p>
            <w:pPr>
              <w:spacing w:after="0"/>
              <w:jc w:val="right"/>
            </w:pPr>
            <w:r>
              <w:rPr>
                <w:rFonts w:ascii="Arial" w:cs="Arial" w:eastAsia="Arial" w:hAnsi="Arial"/>
                <w:color w:val="898781"/>
                <w:sz w:val="15"/>
                <w:szCs w:val="15"/>
              </w:rPr>
              <w:t xml:space="preserve">26 July 2026</w:t>
            </w:r>
          </w:p>
        </w:tc>
      </w:tr>
    </w:tbl>
    <w:p>
      <w:pPr>
        <w:spacing w:after="50" w:before="200" w:line="340"/>
      </w:pPr>
      <w:r>
        <w:rPr>
          <w:rFonts w:ascii="Arial" w:cs="Arial" w:eastAsia="Arial" w:hAnsi="Arial"/>
          <w:b/>
          <w:bCs/>
          <w:color w:val="012169"/>
          <w:sz w:val="34"/>
          <w:szCs w:val="34"/>
        </w:rPr>
        <w:t xml:space="preserve">Division 296 and the prudential framework</w:t>
      </w:r>
    </w:p>
    <w:p>
      <w:pPr>
        <w:spacing w:after="50" w:line="265"/>
      </w:pPr>
      <w:r>
        <w:rPr>
          <w:rFonts w:ascii="Arial" w:cs="Arial" w:eastAsia="Arial" w:hAnsi="Arial"/>
          <w:color w:val="52514E"/>
          <w:sz w:val="19"/>
          <w:szCs w:val="19"/>
        </w:rPr>
        <w:t xml:space="preserve">What Australia's new tax on large superannuation balances asks of prudential regulation — and what it does not</w:t>
      </w:r>
    </w:p>
    <w:p>
      <w:pPr>
        <w:pBdr>
          <w:bottom w:val="single" w:color="D9D8D2" w:sz="8" w:space="7"/>
        </w:pBdr>
        <w:spacing w:after="30" w:line="235"/>
      </w:pPr>
      <w:r>
        <w:rPr>
          <w:rFonts w:ascii="Arial" w:cs="Arial" w:eastAsia="Arial" w:hAnsi="Arial"/>
          <w:i/>
          <w:iCs/>
          <w:color w:val="898781"/>
          <w:sz w:val="14"/>
          <w:szCs w:val="14"/>
        </w:rPr>
        <w:t xml:space="preserve">Prepared from publicly available sources. Not an official publication of any regulator, and not affiliated with or endorsed by APRA, the ATO or Treasury.</w:t>
      </w:r>
    </w:p>
    <w:p>
      <w:pPr>
        <w:spacing w:after="95" w:before="0" w:line="264"/>
      </w:pPr>
      <w:r>
        <w:rPr>
          <w:rFonts w:ascii="Arial" w:cs="Arial" w:eastAsia="Arial" w:hAnsi="Arial"/>
          <w:color w:val="1A1A1A"/>
          <w:sz w:val="19"/>
          <w:szCs w:val="19"/>
        </w:rPr>
        <w:t xml:space="preserve"/>
      </w:r>
    </w:p>
    <w:tbl>
      <w:tblPr>
        <w:tblW w:type="dxa" w:w="990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906"/>
      </w:tblGrid>
      <w:tr>
        <w:tc>
          <w:tcPr>
            <w:tcW w:type="dxa" w:w="9906"/>
            <w:tcBorders>
              <w:top w:val="none" w:color="FFFFFF" w:sz="0"/>
              <w:left w:val="single" w:color="012169" w:sz="24"/>
              <w:bottom w:val="none" w:color="FFFFFF" w:sz="0"/>
              <w:right w:val="none" w:color="FFFFFF" w:sz="0"/>
            </w:tcBorders>
            <w:shd w:fill="F4F9FC" w:color="auto" w:val="clear"/>
            <w:tcMar>
              <w:top w:type="dxa" w:w="150"/>
              <w:left w:type="dxa" w:w="180"/>
              <w:bottom w:type="dxa" w:w="150"/>
              <w:right w:type="dxa" w:w="180"/>
            </w:tcMar>
          </w:tcPr>
          <w:p>
            <w:pPr>
              <w:spacing w:after="80" w:line="240"/>
            </w:pPr>
            <w:r>
              <w:rPr>
                <w:rFonts w:ascii="Arial" w:cs="Arial" w:eastAsia="Arial" w:hAnsi="Arial"/>
                <w:b/>
                <w:bCs/>
                <w:caps/>
                <w:color w:val="012169"/>
                <w:sz w:val="19"/>
                <w:szCs w:val="19"/>
              </w:rPr>
              <w:t xml:space="preserve">The bottom line</w:t>
            </w:r>
          </w:p>
          <w:p>
            <w:pPr>
              <w:pStyle w:val="ListParagraph"/>
              <w:numPr>
                <w:ilvl w:val="0"/>
                <w:numId w:val="2"/>
              </w:numPr>
              <w:spacing w:after="60" w:line="258"/>
            </w:pPr>
            <w:r>
              <w:rPr>
                <w:rFonts w:ascii="Arial" w:cs="Arial" w:eastAsia="Arial" w:hAnsi="Arial"/>
                <w:color w:val="1A1A1A"/>
                <w:sz w:val="18"/>
                <w:szCs w:val="18"/>
              </w:rPr>
              <w:t xml:space="preserve">This is not a proposal. Division 296 received Royal Assent on 13 March 2026 and commenced on 1 April 2026. It applies from the 2026-27 income year, so the first measurement year has been running since 1 July 2026. The final regulations were registered on 18 June 2026, less than a fortnight before that year began, and the ATO's law companion ruling explaining how to perform the calculation has not yet been published.</w:t>
            </w:r>
          </w:p>
          <w:p>
            <w:pPr>
              <w:pStyle w:val="ListParagraph"/>
              <w:numPr>
                <w:ilvl w:val="0"/>
                <w:numId w:val="2"/>
              </w:numPr>
              <w:spacing w:after="60" w:line="258"/>
            </w:pPr>
            <w:r>
              <w:rPr>
                <w:rFonts w:ascii="Arial" w:cs="Arial" w:eastAsia="Arial" w:hAnsi="Arial"/>
                <w:color w:val="1A1A1A"/>
                <w:sz w:val="18"/>
                <w:szCs w:val="18"/>
              </w:rPr>
              <w:t xml:space="preserve">It is not a liquidity event, and the evidence says so. In APRA's own System Risk Stress Test, six large funds absorbed $174 billion of cumulative liquidity demand — just under 16 per cent of net assets — while largely avoiding sales of unlisted assets, primarily selling listed equities instead. Division 296 outflows are a small fraction of that. A framing built on forced asset sales would not survive scrutiny.</w:t>
            </w:r>
          </w:p>
          <w:p>
            <w:pPr>
              <w:pStyle w:val="ListParagraph"/>
              <w:numPr>
                <w:ilvl w:val="0"/>
                <w:numId w:val="2"/>
              </w:numPr>
              <w:spacing w:after="60" w:line="258"/>
            </w:pPr>
            <w:r>
              <w:rPr>
                <w:rFonts w:ascii="Arial" w:cs="Arial" w:eastAsia="Arial" w:hAnsi="Arial"/>
                <w:color w:val="1A1A1A"/>
                <w:sz w:val="18"/>
                <w:szCs w:val="18"/>
              </w:rPr>
              <w:t xml:space="preserve">The material change is that a trustee judgement now feeds an individual member's personal tax bill. Every large APRA-regulated fund must split fund earnings between members on a 'fair and reasonable' basis it designs itself, and report that figure to the ATO. Two funds holding identical assets for identical members can lawfully report different numbers. No prudential instrument governs how that judgement is made, signed off or independently checked.</w:t>
            </w:r>
          </w:p>
          <w:p>
            <w:pPr>
              <w:pStyle w:val="ListParagraph"/>
              <w:numPr>
                <w:ilvl w:val="0"/>
                <w:numId w:val="2"/>
              </w:numPr>
              <w:spacing w:after="60" w:line="258"/>
            </w:pPr>
            <w:r>
              <w:rPr>
                <w:rFonts w:ascii="Arial" w:cs="Arial" w:eastAsia="Arial" w:hAnsi="Arial"/>
                <w:color w:val="1A1A1A"/>
                <w:sz w:val="18"/>
                <w:szCs w:val="18"/>
              </w:rPr>
              <w:t xml:space="preserve">The prudential framework mostly already covers this. Of 27 instruments examined, 11 need no change at all and only one needs amending — SRS 611.0, APRA's own member accounts collection, which cannot see above $1 million. The gaps are guidance, supervisory attention, and data — not authority.</w:t>
            </w:r>
          </w:p>
        </w:tc>
      </w:tr>
    </w:tbl>
    <w:p>
      <w:pPr>
        <w:spacing w:after="115" w:before="0" w:line="264"/>
      </w:pPr>
      <w:r>
        <w:rPr>
          <w:rFonts w:ascii="Arial" w:cs="Arial" w:eastAsia="Arial" w:hAnsi="Arial"/>
          <w:color w:val="1A1A1A"/>
          <w:sz w:val="19"/>
          <w:szCs w:val="19"/>
        </w:rPr>
        <w:t xml:space="preserve"/>
      </w:r>
    </w:p>
    <w:p>
      <w:pPr>
        <w:spacing w:after="60" w:before="0"/>
      </w:pPr>
      <w:r>
        <w:rPr>
          <w:rFonts w:ascii="Arial" w:cs="Arial" w:eastAsia="Arial" w:hAnsi="Arial"/>
          <w:b/>
          <w:bCs/>
          <w:color w:val="0072CE"/>
          <w:sz w:val="19"/>
          <w:szCs w:val="19"/>
        </w:rPr>
        <w:t xml:space="preserve">What Division 296 now does</w:t>
      </w:r>
    </w:p>
    <w:p>
      <w:pPr>
        <w:spacing w:after="40" w:before="90"/>
        <w:jc w:val="center"/>
      </w:pPr>
      <w:r>
        <w:drawing>
          <wp:inline distT="0" distB="0" distL="0" distR="0">
            <wp:extent cx="6143625" cy="3190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6143625" cy="3190875"/>
                    </a:xfrm>
                    <a:prstGeom prst="rect">
                      <a:avLst/>
                    </a:prstGeom>
                  </pic:spPr>
                </pic:pic>
              </a:graphicData>
            </a:graphic>
          </wp:inline>
        </w:drawing>
      </w:r>
    </w:p>
    <w:p>
      <w:pPr>
        <w:spacing w:after="120"/>
        <w:jc w:val="center"/>
      </w:pPr>
      <w:r>
        <w:rPr>
          <w:rFonts w:ascii="Arial" w:cs="Arial" w:eastAsia="Arial" w:hAnsi="Arial"/>
          <w:i/>
          <w:iCs/>
          <w:color w:val="898781"/>
          <w:sz w:val="13"/>
          <w:szCs w:val="13"/>
        </w:rPr>
        <w:t xml:space="preserve">Figure 1 — What Division 296 charges, and on which slice of a member's balance.</w:t>
      </w:r>
    </w:p>
    <w:tbl>
      <w:tblPr>
        <w:tblW w:type="dxa" w:w="990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302"/>
        <w:gridCol w:w="3302"/>
        <w:gridCol w:w="3302"/>
      </w:tblGrid>
      <w:tr>
        <w:tc>
          <w:tcPr>
            <w:tcW w:type="dxa" w:w="3302"/>
            <w:tcBorders>
              <w:top w:val="single" w:color="0072CE" w:sz="14"/>
              <w:left w:val="single" w:color="FFFFFF" w:sz="8"/>
              <w:bottom w:val="none" w:color="FFFFFF" w:sz="0"/>
              <w:right w:val="single" w:color="FFFFFF" w:sz="8"/>
            </w:tcBorders>
            <w:shd w:fill="F4F9FC" w:color="auto" w:val="clear"/>
            <w:tcMar>
              <w:top w:type="dxa" w:w="130"/>
              <w:left w:type="dxa" w:w="150"/>
              <w:bottom w:type="dxa" w:w="130"/>
              <w:right w:type="dxa" w:w="150"/>
            </w:tcMar>
          </w:tcPr>
          <w:p>
            <w:pPr>
              <w:spacing w:after="30" w:line="300"/>
            </w:pPr>
            <w:r>
              <w:rPr>
                <w:rFonts w:ascii="Arial" w:cs="Arial" w:eastAsia="Arial" w:hAnsi="Arial"/>
                <w:b/>
                <w:bCs/>
                <w:color w:val="012169"/>
                <w:sz w:val="34"/>
                <w:szCs w:val="34"/>
              </w:rPr>
              <w:t xml:space="preserve">$3m / $10m</w:t>
            </w:r>
          </w:p>
          <w:p>
            <w:pPr>
              <w:spacing w:after="0" w:line="230"/>
            </w:pPr>
            <w:r>
              <w:rPr>
                <w:rFonts w:ascii="Arial" w:cs="Arial" w:eastAsia="Arial" w:hAnsi="Arial"/>
                <w:color w:val="52514E"/>
                <w:sz w:val="14"/>
                <w:szCs w:val="14"/>
              </w:rPr>
              <w:t xml:space="preserve">The two thresholds, both now indexed. Extra tax applies only to the share of earnings above them — so someone just over $3m pays very little.</w:t>
            </w:r>
            <w:r>
              <w:rPr>
                <w:rFonts w:ascii="Arial" w:cs="Arial" w:eastAsia="Arial" w:hAnsi="Arial"/>
                <w:b/>
                <w:bCs/>
                <w:color w:val="00806D"/>
                <w:sz w:val="13"/>
                <w:szCs w:val="13"/>
                <w:vertAlign w:val="superscript"/>
              </w:rPr>
              <w:t xml:space="preserve"> [S]</w:t>
            </w:r>
          </w:p>
        </w:tc>
        <w:tc>
          <w:tcPr>
            <w:tcW w:type="dxa" w:w="3302"/>
            <w:tcBorders>
              <w:top w:val="single" w:color="0072CE" w:sz="14"/>
              <w:left w:val="single" w:color="FFFFFF" w:sz="8"/>
              <w:bottom w:val="none" w:color="FFFFFF" w:sz="0"/>
              <w:right w:val="single" w:color="FFFFFF" w:sz="8"/>
            </w:tcBorders>
            <w:shd w:fill="F4F9FC" w:color="auto" w:val="clear"/>
            <w:tcMar>
              <w:top w:type="dxa" w:w="130"/>
              <w:left w:type="dxa" w:w="150"/>
              <w:bottom w:type="dxa" w:w="130"/>
              <w:right w:type="dxa" w:w="150"/>
            </w:tcMar>
          </w:tcPr>
          <w:p>
            <w:pPr>
              <w:spacing w:after="30" w:line="300"/>
            </w:pPr>
            <w:r>
              <w:rPr>
                <w:rFonts w:ascii="Arial" w:cs="Arial" w:eastAsia="Arial" w:hAnsi="Arial"/>
                <w:b/>
                <w:bCs/>
                <w:color w:val="012169"/>
                <w:sz w:val="34"/>
                <w:szCs w:val="34"/>
              </w:rPr>
              <w:t xml:space="preserve">$1m+</w:t>
            </w:r>
          </w:p>
          <w:p>
            <w:pPr>
              <w:spacing w:after="0" w:line="230"/>
            </w:pPr>
            <w:r>
              <w:rPr>
                <w:rFonts w:ascii="Arial" w:cs="Arial" w:eastAsia="Arial" w:hAnsi="Arial"/>
                <w:color w:val="52514E"/>
                <w:sz w:val="14"/>
                <w:szCs w:val="14"/>
              </w:rPr>
              <w:t xml:space="preserve">APRA's highest member balance bracket — one third of the lower threshold. The affected population cannot be counted or located from APRA's own collections.</w:t>
            </w:r>
            <w:r>
              <w:rPr>
                <w:rFonts w:ascii="Arial" w:cs="Arial" w:eastAsia="Arial" w:hAnsi="Arial"/>
                <w:b/>
                <w:bCs/>
                <w:color w:val="00806D"/>
                <w:sz w:val="13"/>
                <w:szCs w:val="13"/>
                <w:vertAlign w:val="superscript"/>
              </w:rPr>
              <w:t xml:space="preserve"> [S]</w:t>
            </w:r>
          </w:p>
        </w:tc>
        <w:tc>
          <w:tcPr>
            <w:tcW w:type="dxa" w:w="3302"/>
            <w:tcBorders>
              <w:top w:val="single" w:color="0072CE" w:sz="14"/>
              <w:left w:val="single" w:color="FFFFFF" w:sz="8"/>
              <w:bottom w:val="none" w:color="FFFFFF" w:sz="0"/>
              <w:right w:val="single" w:color="FFFFFF" w:sz="8"/>
            </w:tcBorders>
            <w:shd w:fill="F4F9FC" w:color="auto" w:val="clear"/>
            <w:tcMar>
              <w:top w:type="dxa" w:w="130"/>
              <w:left w:type="dxa" w:w="150"/>
              <w:bottom w:type="dxa" w:w="130"/>
              <w:right w:type="dxa" w:w="150"/>
            </w:tcMar>
          </w:tcPr>
          <w:p>
            <w:pPr>
              <w:spacing w:after="30" w:line="300"/>
            </w:pPr>
            <w:r>
              <w:rPr>
                <w:rFonts w:ascii="Arial" w:cs="Arial" w:eastAsia="Arial" w:hAnsi="Arial"/>
                <w:b/>
                <w:bCs/>
                <w:color w:val="012169"/>
                <w:sz w:val="34"/>
                <w:szCs w:val="34"/>
              </w:rPr>
              <w:t xml:space="preserve">30 Jun 2027</w:t>
            </w:r>
          </w:p>
          <w:p>
            <w:pPr>
              <w:spacing w:after="0" w:line="230"/>
            </w:pPr>
            <w:r>
              <w:rPr>
                <w:rFonts w:ascii="Arial" w:cs="Arial" w:eastAsia="Arial" w:hAnsi="Arial"/>
                <w:color w:val="52514E"/>
                <w:sz w:val="14"/>
                <w:szCs w:val="14"/>
              </w:rPr>
              <w:t xml:space="preserve">First measurement of balances. The attribution method needs to be settled, documented and reproducible well before it.</w:t>
            </w:r>
            <w:r>
              <w:rPr>
                <w:rFonts w:ascii="Arial" w:cs="Arial" w:eastAsia="Arial" w:hAnsi="Arial"/>
                <w:b/>
                <w:bCs/>
                <w:color w:val="00806D"/>
                <w:sz w:val="13"/>
                <w:szCs w:val="13"/>
                <w:vertAlign w:val="superscript"/>
              </w:rPr>
              <w:t xml:space="preserve"> [S]</w:t>
            </w:r>
          </w:p>
        </w:tc>
      </w:tr>
    </w:tbl>
    <w:p>
      <w:r>
        <w:br w:type="page"/>
      </w:r>
    </w:p>
    <w:p>
      <w:pPr>
        <w:spacing w:after="60" w:before="0"/>
      </w:pPr>
      <w:r>
        <w:rPr>
          <w:rFonts w:ascii="Arial" w:cs="Arial" w:eastAsia="Arial" w:hAnsi="Arial"/>
          <w:b/>
          <w:bCs/>
          <w:color w:val="0072CE"/>
          <w:sz w:val="19"/>
          <w:szCs w:val="19"/>
        </w:rPr>
        <w:t xml:space="preserve">Why this is a prudential matter, not just a tax matter</w:t>
      </w:r>
    </w:p>
    <w:p>
      <w:pPr>
        <w:pStyle w:val="ListParagraph"/>
        <w:numPr>
          <w:ilvl w:val="0"/>
          <w:numId w:val="2"/>
        </w:numPr>
        <w:spacing w:after="50" w:before="0" w:line="258"/>
      </w:pPr>
      <w:r>
        <w:rPr>
          <w:rFonts w:ascii="Arial" w:cs="Arial" w:eastAsia="Arial" w:hAnsi="Arial"/>
          <w:color w:val="1A1A1A"/>
          <w:sz w:val="17"/>
          <w:szCs w:val="17"/>
        </w:rPr>
        <w:t xml:space="preserve">The tax is assessed on the member, but the work lands on the trustee — a calculation and attribution function that did not exist before, and that no prudential standard was written for.</w:t>
      </w:r>
      <w:r>
        <w:rPr>
          <w:rFonts w:ascii="Arial" w:cs="Arial" w:eastAsia="Arial" w:hAnsi="Arial"/>
          <w:b/>
          <w:bCs/>
          <w:color w:val="0072CE"/>
          <w:sz w:val="13"/>
          <w:szCs w:val="13"/>
          <w:vertAlign w:val="superscript"/>
        </w:rPr>
        <w:t xml:space="preserve"> [I]</w:t>
      </w:r>
    </w:p>
    <w:p>
      <w:pPr>
        <w:pStyle w:val="ListParagraph"/>
        <w:numPr>
          <w:ilvl w:val="0"/>
          <w:numId w:val="2"/>
        </w:numPr>
        <w:spacing w:after="50" w:before="0" w:line="258"/>
      </w:pPr>
      <w:r>
        <w:rPr>
          <w:rFonts w:ascii="Arial" w:cs="Arial" w:eastAsia="Arial" w:hAnsi="Arial"/>
          <w:color w:val="1A1A1A"/>
          <w:sz w:val="17"/>
          <w:szCs w:val="17"/>
        </w:rPr>
        <w:t xml:space="preserve">The attribution standard is a discretion, not a formula. The dividing line is fund size, not which regulator applies, so the loose 'fair and reasonable' test falls on the large funds holding almost all the money.</w:t>
      </w:r>
      <w:r>
        <w:rPr>
          <w:rFonts w:ascii="Arial" w:cs="Arial" w:eastAsia="Arial" w:hAnsi="Arial"/>
          <w:b/>
          <w:bCs/>
          <w:color w:val="00806D"/>
          <w:sz w:val="13"/>
          <w:szCs w:val="13"/>
          <w:vertAlign w:val="superscript"/>
        </w:rPr>
        <w:t xml:space="preserve"> [S]</w:t>
      </w:r>
    </w:p>
    <w:p>
      <w:pPr>
        <w:pStyle w:val="ListParagraph"/>
        <w:numPr>
          <w:ilvl w:val="0"/>
          <w:numId w:val="2"/>
        </w:numPr>
        <w:spacing w:after="50" w:before="0" w:line="258"/>
      </w:pPr>
      <w:r>
        <w:rPr>
          <w:rFonts w:ascii="Arial" w:cs="Arial" w:eastAsia="Arial" w:hAnsi="Arial"/>
          <w:color w:val="1A1A1A"/>
          <w:sz w:val="17"/>
          <w:szCs w:val="17"/>
        </w:rPr>
        <w:t xml:space="preserve">It is a member-equity problem wearing a tax label. A whole-of-fund tax figure and a daily unit price cannot be reconciled exactly, so any method advantages some members over others — and industry has asked that the judgement sit outside AFCA's reach.</w:t>
      </w:r>
      <w:r>
        <w:rPr>
          <w:rFonts w:ascii="Arial" w:cs="Arial" w:eastAsia="Arial" w:hAnsi="Arial"/>
          <w:b/>
          <w:bCs/>
          <w:color w:val="E87722"/>
          <w:sz w:val="13"/>
          <w:szCs w:val="13"/>
          <w:vertAlign w:val="superscript"/>
        </w:rPr>
        <w:t xml:space="preserve"> [C]</w:t>
      </w:r>
    </w:p>
    <w:p>
      <w:pPr>
        <w:pStyle w:val="ListParagraph"/>
        <w:numPr>
          <w:ilvl w:val="0"/>
          <w:numId w:val="2"/>
        </w:numPr>
        <w:spacing w:after="50" w:before="0" w:line="258"/>
      </w:pPr>
      <w:r>
        <w:rPr>
          <w:rFonts w:ascii="Arial" w:cs="Arial" w:eastAsia="Arial" w:hAnsi="Arial"/>
          <w:color w:val="1A1A1A"/>
          <w:sz w:val="17"/>
          <w:szCs w:val="17"/>
        </w:rPr>
        <w:t xml:space="preserve">There is a hard new duty on a short clock: 14 days for a fund to tell the ATO when an end benefit will be paid, and 7 to correct an error — attached to debt accounts that must survive mergers, transfers and changes of administrator.</w:t>
      </w:r>
      <w:r>
        <w:rPr>
          <w:rFonts w:ascii="Arial" w:cs="Arial" w:eastAsia="Arial" w:hAnsi="Arial"/>
          <w:b/>
          <w:bCs/>
          <w:color w:val="00806D"/>
          <w:sz w:val="13"/>
          <w:szCs w:val="13"/>
          <w:vertAlign w:val="superscript"/>
        </w:rPr>
        <w:t xml:space="preserve"> [S]</w:t>
      </w:r>
    </w:p>
    <w:p>
      <w:pPr>
        <w:pStyle w:val="ListParagraph"/>
        <w:numPr>
          <w:ilvl w:val="0"/>
          <w:numId w:val="2"/>
        </w:numPr>
        <w:spacing w:after="50" w:before="0" w:line="258"/>
      </w:pPr>
      <w:r>
        <w:rPr>
          <w:rFonts w:ascii="Arial" w:cs="Arial" w:eastAsia="Arial" w:hAnsi="Arial"/>
          <w:color w:val="1A1A1A"/>
          <w:sz w:val="17"/>
          <w:szCs w:val="17"/>
        </w:rPr>
        <w:t xml:space="preserve">The affected population is largely invisible to the prudential regulator. APRA's highest published balance bracket is $1 million, and because the threshold spans everything a person holds, no per-fund collection could ever produce that view.</w:t>
      </w:r>
      <w:r>
        <w:rPr>
          <w:rFonts w:ascii="Arial" w:cs="Arial" w:eastAsia="Arial" w:hAnsi="Arial"/>
          <w:b/>
          <w:bCs/>
          <w:color w:val="00806D"/>
          <w:sz w:val="13"/>
          <w:szCs w:val="13"/>
          <w:vertAlign w:val="superscript"/>
        </w:rPr>
        <w:t xml:space="preserve"> [S]</w:t>
      </w:r>
    </w:p>
    <w:p>
      <w:pPr>
        <w:pBdr>
          <w:bottom w:val="single" w:color="0072CE" w:sz="6" w:space="4"/>
        </w:pBdr>
        <w:spacing w:after="100" w:before="240"/>
      </w:pPr>
      <w:r>
        <w:rPr>
          <w:rFonts w:ascii="Arial" w:cs="Arial" w:eastAsia="Arial" w:hAnsi="Arial"/>
          <w:b/>
          <w:bCs/>
          <w:color w:val="012169"/>
          <w:sz w:val="22"/>
          <w:szCs w:val="22"/>
        </w:rPr>
        <w:t xml:space="preserve">Where the prudential risk actually sits</w:t>
      </w:r>
    </w:p>
    <w:p>
      <w:pPr>
        <w:spacing w:after="90" w:before="0" w:line="264"/>
      </w:pPr>
      <w:r>
        <w:rPr>
          <w:rFonts w:ascii="Arial" w:cs="Arial" w:eastAsia="Arial" w:hAnsi="Arial"/>
          <w:color w:val="1A1A1A"/>
          <w:sz w:val="17"/>
          <w:szCs w:val="17"/>
        </w:rPr>
        <w:t xml:space="preserve">Each issue is graded on three things: how material it is prudentially, how likely the adverse consequence is to crystallise, and how directly APRA can act on it. </w:t>
      </w:r>
      <w:r>
        <w:rPr>
          <w:rFonts w:ascii="Arial" w:cs="Arial" w:eastAsia="Arial" w:hAnsi="Arial"/>
          <w:b/>
          <w:bCs/>
          <w:color w:val="1A1A1A"/>
          <w:sz w:val="17"/>
          <w:szCs w:val="17"/>
        </w:rPr>
        <w:t xml:space="preserve">A serious problem that belongs to Treasury is not automatically a priority for the prudential regulator — the map separates the two.</w:t>
      </w:r>
    </w:p>
    <w:p>
      <w:pPr>
        <w:spacing w:after="40" w:before="90"/>
        <w:jc w:val="center"/>
      </w:pPr>
      <w:r>
        <w:drawing>
          <wp:inline distT="0" distB="0" distL="0" distR="0">
            <wp:extent cx="6143625" cy="2286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6143625" cy="2286000"/>
                    </a:xfrm>
                    <a:prstGeom prst="rect">
                      <a:avLst/>
                    </a:prstGeom>
                  </pic:spPr>
                </pic:pic>
              </a:graphicData>
            </a:graphic>
          </wp:inline>
        </w:drawing>
      </w:r>
    </w:p>
    <w:p>
      <w:pPr>
        <w:spacing w:after="120"/>
        <w:jc w:val="center"/>
      </w:pPr>
      <w:r>
        <w:rPr>
          <w:rFonts w:ascii="Arial" w:cs="Arial" w:eastAsia="Arial" w:hAnsi="Arial"/>
          <w:i/>
          <w:iCs/>
          <w:color w:val="898781"/>
          <w:sz w:val="13"/>
          <w:szCs w:val="13"/>
        </w:rPr>
        <w:t xml:space="preserve">Figure 2 — The graded issues. Position shows materiality against how directly APRA can act; bubble size shows likelihood.</w:t>
      </w:r>
    </w:p>
    <w:p>
      <w:pPr>
        <w:spacing w:after="60" w:before="160"/>
      </w:pPr>
      <w:r>
        <w:rPr>
          <w:rFonts w:ascii="Arial" w:cs="Arial" w:eastAsia="Arial" w:hAnsi="Arial"/>
          <w:b/>
          <w:bCs/>
          <w:color w:val="0072CE"/>
          <w:sz w:val="19"/>
          <w:szCs w:val="19"/>
        </w:rPr>
        <w:t xml:space="preserve">The graded issues</w:t>
      </w:r>
    </w:p>
    <w:tbl>
      <w:tblPr>
        <w:tblW w:type="dxa" w:w="990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560"/>
        <w:gridCol w:w="4400"/>
        <w:gridCol w:w="860"/>
        <w:gridCol w:w="1150"/>
        <w:gridCol w:w="2936"/>
      </w:tblGrid>
      <w:tr>
        <w:trPr>
          <w:tblHeader/>
        </w:trPr>
        <w:tc>
          <w:tcPr>
            <w:tcW w:type="dxa" w:w="560"/>
            <w:tcBorders>
              <w:top w:val="single" w:color="0072CE" w:sz="8"/>
              <w:left w:val="none" w:color="FFFFFF" w:sz="0"/>
              <w:bottom w:val="single" w:color="D9D8D2" w:sz="3"/>
              <w:right w:val="none" w:color="FFFFFF" w:sz="0"/>
            </w:tcBorders>
            <w:shd w:fill="F4F9FC" w:color="auto" w:val="clear"/>
            <w:tcMar>
              <w:top w:type="dxa" w:w="70"/>
              <w:left w:type="dxa" w:w="100"/>
              <w:bottom w:type="dxa" w:w="70"/>
              <w:right w:type="dxa" w:w="100"/>
            </w:tcMar>
            <w:vAlign w:val="top"/>
          </w:tcPr>
          <w:p>
            <w:pPr>
              <w:spacing w:after="0" w:line="240"/>
            </w:pPr>
            <w:r>
              <w:rPr>
                <w:rFonts w:ascii="Arial" w:cs="Arial" w:eastAsia="Arial" w:hAnsi="Arial"/>
                <w:b/>
                <w:bCs/>
                <w:caps/>
                <w:color w:val="012169"/>
                <w:sz w:val="15"/>
                <w:szCs w:val="15"/>
              </w:rPr>
              <w:t xml:space="preserve">ID</w:t>
            </w:r>
          </w:p>
        </w:tc>
        <w:tc>
          <w:tcPr>
            <w:tcW w:type="dxa" w:w="4400"/>
            <w:tcBorders>
              <w:top w:val="single" w:color="0072CE" w:sz="8"/>
              <w:left w:val="none" w:color="FFFFFF" w:sz="0"/>
              <w:bottom w:val="single" w:color="D9D8D2" w:sz="3"/>
              <w:right w:val="none" w:color="FFFFFF" w:sz="0"/>
            </w:tcBorders>
            <w:shd w:fill="F4F9FC" w:color="auto" w:val="clear"/>
            <w:tcMar>
              <w:top w:type="dxa" w:w="70"/>
              <w:left w:type="dxa" w:w="100"/>
              <w:bottom w:type="dxa" w:w="70"/>
              <w:right w:type="dxa" w:w="100"/>
            </w:tcMar>
            <w:vAlign w:val="top"/>
          </w:tcPr>
          <w:p>
            <w:pPr>
              <w:spacing w:after="0" w:line="240"/>
            </w:pPr>
            <w:r>
              <w:rPr>
                <w:rFonts w:ascii="Arial" w:cs="Arial" w:eastAsia="Arial" w:hAnsi="Arial"/>
                <w:b/>
                <w:bCs/>
                <w:caps/>
                <w:color w:val="012169"/>
                <w:sz w:val="15"/>
                <w:szCs w:val="15"/>
              </w:rPr>
              <w:t xml:space="preserve">Issue</w:t>
            </w:r>
          </w:p>
        </w:tc>
        <w:tc>
          <w:tcPr>
            <w:tcW w:type="dxa" w:w="860"/>
            <w:tcBorders>
              <w:top w:val="single" w:color="0072CE" w:sz="8"/>
              <w:left w:val="none" w:color="FFFFFF" w:sz="0"/>
              <w:bottom w:val="single" w:color="D9D8D2" w:sz="3"/>
              <w:right w:val="none" w:color="FFFFFF" w:sz="0"/>
            </w:tcBorders>
            <w:shd w:fill="F4F9FC" w:color="auto" w:val="clear"/>
            <w:tcMar>
              <w:top w:type="dxa" w:w="70"/>
              <w:left w:type="dxa" w:w="100"/>
              <w:bottom w:type="dxa" w:w="70"/>
              <w:right w:type="dxa" w:w="100"/>
            </w:tcMar>
            <w:vAlign w:val="top"/>
          </w:tcPr>
          <w:p>
            <w:pPr>
              <w:spacing w:after="0" w:line="240"/>
              <w:jc w:val="center"/>
            </w:pPr>
            <w:r>
              <w:rPr>
                <w:rFonts w:ascii="Arial" w:cs="Arial" w:eastAsia="Arial" w:hAnsi="Arial"/>
                <w:b/>
                <w:bCs/>
                <w:caps/>
                <w:color w:val="012169"/>
                <w:sz w:val="15"/>
                <w:szCs w:val="15"/>
              </w:rPr>
              <w:t xml:space="preserve">Grade</w:t>
            </w:r>
          </w:p>
        </w:tc>
        <w:tc>
          <w:tcPr>
            <w:tcW w:type="dxa" w:w="1150"/>
            <w:tcBorders>
              <w:top w:val="single" w:color="0072CE" w:sz="8"/>
              <w:left w:val="none" w:color="FFFFFF" w:sz="0"/>
              <w:bottom w:val="single" w:color="D9D8D2" w:sz="3"/>
              <w:right w:val="none" w:color="FFFFFF" w:sz="0"/>
            </w:tcBorders>
            <w:shd w:fill="F4F9FC" w:color="auto" w:val="clear"/>
            <w:tcMar>
              <w:top w:type="dxa" w:w="70"/>
              <w:left w:type="dxa" w:w="100"/>
              <w:bottom w:type="dxa" w:w="70"/>
              <w:right w:type="dxa" w:w="100"/>
            </w:tcMar>
            <w:vAlign w:val="top"/>
          </w:tcPr>
          <w:p>
            <w:pPr>
              <w:spacing w:after="0" w:line="240"/>
              <w:jc w:val="center"/>
            </w:pPr>
            <w:r>
              <w:rPr>
                <w:rFonts w:ascii="Arial" w:cs="Arial" w:eastAsia="Arial" w:hAnsi="Arial"/>
                <w:b/>
                <w:bCs/>
                <w:caps/>
                <w:color w:val="012169"/>
                <w:sz w:val="15"/>
                <w:szCs w:val="15"/>
              </w:rPr>
              <w:t xml:space="preserve">M · L · P</w:t>
            </w:r>
          </w:p>
        </w:tc>
        <w:tc>
          <w:tcPr>
            <w:tcW w:type="dxa" w:w="2936"/>
            <w:tcBorders>
              <w:top w:val="single" w:color="0072CE" w:sz="8"/>
              <w:left w:val="none" w:color="FFFFFF" w:sz="0"/>
              <w:bottom w:val="single" w:color="D9D8D2" w:sz="3"/>
              <w:right w:val="none" w:color="FFFFFF" w:sz="0"/>
            </w:tcBorders>
            <w:shd w:fill="F4F9FC" w:color="auto" w:val="clear"/>
            <w:tcMar>
              <w:top w:type="dxa" w:w="70"/>
              <w:left w:type="dxa" w:w="100"/>
              <w:bottom w:type="dxa" w:w="70"/>
              <w:right w:type="dxa" w:w="100"/>
            </w:tcMar>
            <w:vAlign w:val="top"/>
          </w:tcPr>
          <w:p>
            <w:pPr>
              <w:spacing w:after="0" w:line="240"/>
            </w:pPr>
            <w:r>
              <w:rPr>
                <w:rFonts w:ascii="Arial" w:cs="Arial" w:eastAsia="Arial" w:hAnsi="Arial"/>
                <w:b/>
                <w:bCs/>
                <w:caps/>
                <w:color w:val="012169"/>
                <w:sz w:val="15"/>
                <w:szCs w:val="15"/>
              </w:rPr>
              <w:t xml:space="preserve">What it needs</w:t>
            </w:r>
          </w:p>
        </w:tc>
      </w:tr>
      <w:tr>
        <w:tc>
          <w:tcPr>
            <w:tcW w:type="dxa" w:w="560"/>
            <w:tcBorders>
              <w:top w:val="single" w:color="D9D8D2" w:sz="3"/>
              <w:left w:val="none" w:color="FFFFFF" w:sz="0"/>
              <w:bottom w:val="single" w:color="D9D8D2" w:sz="3"/>
              <w:right w:val="none" w:color="FFFFFF" w:sz="0"/>
            </w:tcBorders>
            <w:tcMar>
              <w:top w:type="dxa" w:w="70"/>
              <w:left w:type="dxa" w:w="100"/>
              <w:bottom w:type="dxa" w:w="70"/>
              <w:right w:type="dxa" w:w="100"/>
            </w:tcMar>
            <w:vAlign w:val="top"/>
          </w:tcPr>
          <w:p>
            <w:pPr>
              <w:spacing w:after="0" w:line="250"/>
            </w:pPr>
            <w:r>
              <w:rPr>
                <w:rFonts w:ascii="Arial" w:cs="Arial" w:eastAsia="Arial" w:hAnsi="Arial"/>
                <w:b/>
                <w:bCs/>
                <w:color w:val="012169"/>
                <w:sz w:val="15"/>
                <w:szCs w:val="15"/>
              </w:rPr>
              <w:t xml:space="preserve">P1</w:t>
            </w:r>
          </w:p>
        </w:tc>
        <w:tc>
          <w:tcPr>
            <w:tcW w:type="dxa" w:w="4400"/>
            <w:tcBorders>
              <w:top w:val="single" w:color="D9D8D2" w:sz="3"/>
              <w:left w:val="none" w:color="FFFFFF" w:sz="0"/>
              <w:bottom w:val="single" w:color="D9D8D2" w:sz="3"/>
              <w:right w:val="none" w:color="FFFFFF" w:sz="0"/>
            </w:tcBorders>
            <w:tcMar>
              <w:top w:type="dxa" w:w="70"/>
              <w:left w:type="dxa" w:w="100"/>
              <w:bottom w:type="dxa" w:w="70"/>
              <w:right w:type="dxa" w:w="100"/>
            </w:tcMar>
            <w:vAlign w:val="top"/>
          </w:tcPr>
          <w:p>
            <w:pPr>
              <w:spacing w:after="0" w:line="250"/>
            </w:pPr>
            <w:r>
              <w:rPr>
                <w:rFonts w:ascii="Arial" w:cs="Arial" w:eastAsia="Arial" w:hAnsi="Arial"/>
                <w:color w:val="1A1A1A"/>
                <w:sz w:val="15"/>
                <w:szCs w:val="15"/>
              </w:rPr>
              <w:t xml:space="preserve">One administrator's calculation engine will serve many funds at once</w:t>
            </w:r>
            <w:r>
              <w:rPr>
                <w:rFonts w:ascii="Arial" w:cs="Arial" w:eastAsia="Arial" w:hAnsi="Arial"/>
                <w:b/>
                <w:bCs/>
                <w:color w:val="0072CE"/>
                <w:sz w:val="13"/>
                <w:szCs w:val="13"/>
                <w:vertAlign w:val="superscript"/>
              </w:rPr>
              <w:t xml:space="preserve"> [I]</w:t>
            </w:r>
          </w:p>
        </w:tc>
        <w:tc>
          <w:tcPr>
            <w:tcW w:type="dxa" w:w="860"/>
            <w:tcBorders>
              <w:top w:val="single" w:color="D9D8D2" w:sz="3"/>
              <w:left w:val="none" w:color="FFFFFF" w:sz="0"/>
              <w:bottom w:val="single" w:color="D9D8D2" w:sz="3"/>
              <w:right w:val="none" w:color="FFFFFF" w:sz="0"/>
            </w:tcBorders>
            <w:tcMar>
              <w:top w:type="dxa" w:w="70"/>
              <w:left w:type="dxa" w:w="100"/>
              <w:bottom w:type="dxa" w:w="70"/>
              <w:right w:type="dxa" w:w="100"/>
            </w:tcMar>
            <w:vAlign w:val="top"/>
          </w:tcPr>
          <w:p>
            <w:pPr>
              <w:spacing w:after="0" w:line="250"/>
              <w:jc w:val="center"/>
            </w:pPr>
            <w:r>
              <w:rPr>
                <w:rFonts w:ascii="Arial" w:cs="Arial" w:eastAsia="Arial" w:hAnsi="Arial"/>
                <w:b/>
                <w:bCs/>
                <w:color w:val="890C58"/>
                <w:sz w:val="18"/>
                <w:szCs w:val="18"/>
              </w:rPr>
              <w:t xml:space="preserve">A</w:t>
            </w:r>
          </w:p>
        </w:tc>
        <w:tc>
          <w:tcPr>
            <w:tcW w:type="dxa" w:w="1150"/>
            <w:tcBorders>
              <w:top w:val="single" w:color="D9D8D2" w:sz="3"/>
              <w:left w:val="none" w:color="FFFFFF" w:sz="0"/>
              <w:bottom w:val="single" w:color="D9D8D2" w:sz="3"/>
              <w:right w:val="none" w:color="FFFFFF" w:sz="0"/>
            </w:tcBorders>
            <w:tcMar>
              <w:top w:type="dxa" w:w="70"/>
              <w:left w:type="dxa" w:w="100"/>
              <w:bottom w:type="dxa" w:w="70"/>
              <w:right w:type="dxa" w:w="100"/>
            </w:tcMar>
            <w:vAlign w:val="top"/>
          </w:tcPr>
          <w:p>
            <w:pPr>
              <w:spacing w:after="0" w:line="250"/>
              <w:jc w:val="center"/>
            </w:pPr>
            <w:r>
              <w:rPr>
                <w:rFonts w:ascii="Arial" w:cs="Arial" w:eastAsia="Arial" w:hAnsi="Arial"/>
                <w:color w:val="898781"/>
                <w:sz w:val="14"/>
                <w:szCs w:val="14"/>
              </w:rPr>
              <w:t xml:space="preserve">4 · 3 · 5</w:t>
            </w:r>
          </w:p>
        </w:tc>
        <w:tc>
          <w:tcPr>
            <w:tcW w:type="dxa" w:w="2936"/>
            <w:tcBorders>
              <w:top w:val="single" w:color="D9D8D2" w:sz="3"/>
              <w:left w:val="none" w:color="FFFFFF" w:sz="0"/>
              <w:bottom w:val="single" w:color="D9D8D2" w:sz="3"/>
              <w:right w:val="none" w:color="FFFFFF" w:sz="0"/>
            </w:tcBorders>
            <w:tcMar>
              <w:top w:type="dxa" w:w="70"/>
              <w:left w:type="dxa" w:w="100"/>
              <w:bottom w:type="dxa" w:w="70"/>
              <w:right w:type="dxa" w:w="100"/>
            </w:tcMar>
            <w:vAlign w:val="top"/>
          </w:tcPr>
          <w:p>
            <w:pPr>
              <w:spacing w:after="0" w:line="250"/>
            </w:pPr>
            <w:r>
              <w:rPr>
                <w:rFonts w:ascii="Arial" w:cs="Arial" w:eastAsia="Arial" w:hAnsi="Arial"/>
                <w:color w:val="52514E"/>
                <w:sz w:val="14"/>
                <w:szCs w:val="14"/>
              </w:rPr>
              <w:t xml:space="preserve">Supervision</w:t>
            </w:r>
          </w:p>
        </w:tc>
      </w:tr>
      <w:tr>
        <w:tc>
          <w:tcPr>
            <w:tcW w:type="dxa" w:w="560"/>
            <w:tcBorders>
              <w:top w:val="single" w:color="D9D8D2" w:sz="3"/>
              <w:left w:val="none" w:color="FFFFFF" w:sz="0"/>
              <w:bottom w:val="single" w:color="D9D8D2" w:sz="3"/>
              <w:right w:val="none" w:color="FFFFFF" w:sz="0"/>
            </w:tcBorders>
            <w:shd w:fill="EFEEE9" w:color="auto" w:val="clear"/>
            <w:tcMar>
              <w:top w:type="dxa" w:w="70"/>
              <w:left w:type="dxa" w:w="100"/>
              <w:bottom w:type="dxa" w:w="70"/>
              <w:right w:type="dxa" w:w="100"/>
            </w:tcMar>
            <w:vAlign w:val="top"/>
          </w:tcPr>
          <w:p>
            <w:pPr>
              <w:spacing w:after="0" w:line="250"/>
            </w:pPr>
            <w:r>
              <w:rPr>
                <w:rFonts w:ascii="Arial" w:cs="Arial" w:eastAsia="Arial" w:hAnsi="Arial"/>
                <w:b/>
                <w:bCs/>
                <w:color w:val="012169"/>
                <w:sz w:val="15"/>
                <w:szCs w:val="15"/>
              </w:rPr>
              <w:t xml:space="preserve">P2</w:t>
            </w:r>
          </w:p>
        </w:tc>
        <w:tc>
          <w:tcPr>
            <w:tcW w:type="dxa" w:w="4400"/>
            <w:tcBorders>
              <w:top w:val="single" w:color="D9D8D2" w:sz="3"/>
              <w:left w:val="none" w:color="FFFFFF" w:sz="0"/>
              <w:bottom w:val="single" w:color="D9D8D2" w:sz="3"/>
              <w:right w:val="none" w:color="FFFFFF" w:sz="0"/>
            </w:tcBorders>
            <w:shd w:fill="EFEEE9" w:color="auto" w:val="clear"/>
            <w:tcMar>
              <w:top w:type="dxa" w:w="70"/>
              <w:left w:type="dxa" w:w="100"/>
              <w:bottom w:type="dxa" w:w="70"/>
              <w:right w:type="dxa" w:w="100"/>
            </w:tcMar>
            <w:vAlign w:val="top"/>
          </w:tcPr>
          <w:p>
            <w:pPr>
              <w:spacing w:after="0" w:line="250"/>
            </w:pPr>
            <w:r>
              <w:rPr>
                <w:rFonts w:ascii="Arial" w:cs="Arial" w:eastAsia="Arial" w:hAnsi="Arial"/>
                <w:color w:val="1A1A1A"/>
                <w:sz w:val="15"/>
                <w:szCs w:val="15"/>
              </w:rPr>
              <w:t xml:space="preserve">Fund administration must now perform a new statutory calculation</w:t>
            </w:r>
            <w:r>
              <w:rPr>
                <w:rFonts w:ascii="Arial" w:cs="Arial" w:eastAsia="Arial" w:hAnsi="Arial"/>
                <w:b/>
                <w:bCs/>
                <w:color w:val="0072CE"/>
                <w:sz w:val="13"/>
                <w:szCs w:val="13"/>
                <w:vertAlign w:val="superscript"/>
              </w:rPr>
              <w:t xml:space="preserve"> [I]</w:t>
            </w:r>
          </w:p>
        </w:tc>
        <w:tc>
          <w:tcPr>
            <w:tcW w:type="dxa" w:w="860"/>
            <w:tcBorders>
              <w:top w:val="single" w:color="D9D8D2" w:sz="3"/>
              <w:left w:val="none" w:color="FFFFFF" w:sz="0"/>
              <w:bottom w:val="single" w:color="D9D8D2" w:sz="3"/>
              <w:right w:val="none" w:color="FFFFFF" w:sz="0"/>
            </w:tcBorders>
            <w:shd w:fill="EFEEE9" w:color="auto" w:val="clear"/>
            <w:tcMar>
              <w:top w:type="dxa" w:w="70"/>
              <w:left w:type="dxa" w:w="100"/>
              <w:bottom w:type="dxa" w:w="70"/>
              <w:right w:type="dxa" w:w="100"/>
            </w:tcMar>
            <w:vAlign w:val="top"/>
          </w:tcPr>
          <w:p>
            <w:pPr>
              <w:spacing w:after="0" w:line="250"/>
              <w:jc w:val="center"/>
            </w:pPr>
            <w:r>
              <w:rPr>
                <w:rFonts w:ascii="Arial" w:cs="Arial" w:eastAsia="Arial" w:hAnsi="Arial"/>
                <w:b/>
                <w:bCs/>
                <w:color w:val="890C58"/>
                <w:sz w:val="18"/>
                <w:szCs w:val="18"/>
              </w:rPr>
              <w:t xml:space="preserve">A</w:t>
            </w:r>
          </w:p>
        </w:tc>
        <w:tc>
          <w:tcPr>
            <w:tcW w:type="dxa" w:w="1150"/>
            <w:tcBorders>
              <w:top w:val="single" w:color="D9D8D2" w:sz="3"/>
              <w:left w:val="none" w:color="FFFFFF" w:sz="0"/>
              <w:bottom w:val="single" w:color="D9D8D2" w:sz="3"/>
              <w:right w:val="none" w:color="FFFFFF" w:sz="0"/>
            </w:tcBorders>
            <w:shd w:fill="EFEEE9" w:color="auto" w:val="clear"/>
            <w:tcMar>
              <w:top w:type="dxa" w:w="70"/>
              <w:left w:type="dxa" w:w="100"/>
              <w:bottom w:type="dxa" w:w="70"/>
              <w:right w:type="dxa" w:w="100"/>
            </w:tcMar>
            <w:vAlign w:val="top"/>
          </w:tcPr>
          <w:p>
            <w:pPr>
              <w:spacing w:after="0" w:line="250"/>
              <w:jc w:val="center"/>
            </w:pPr>
            <w:r>
              <w:rPr>
                <w:rFonts w:ascii="Arial" w:cs="Arial" w:eastAsia="Arial" w:hAnsi="Arial"/>
                <w:color w:val="898781"/>
                <w:sz w:val="14"/>
                <w:szCs w:val="14"/>
              </w:rPr>
              <w:t xml:space="preserve">4 · 3 · 5</w:t>
            </w:r>
          </w:p>
        </w:tc>
        <w:tc>
          <w:tcPr>
            <w:tcW w:type="dxa" w:w="2936"/>
            <w:tcBorders>
              <w:top w:val="single" w:color="D9D8D2" w:sz="3"/>
              <w:left w:val="none" w:color="FFFFFF" w:sz="0"/>
              <w:bottom w:val="single" w:color="D9D8D2" w:sz="3"/>
              <w:right w:val="none" w:color="FFFFFF" w:sz="0"/>
            </w:tcBorders>
            <w:shd w:fill="EFEEE9" w:color="auto" w:val="clear"/>
            <w:tcMar>
              <w:top w:type="dxa" w:w="70"/>
              <w:left w:type="dxa" w:w="100"/>
              <w:bottom w:type="dxa" w:w="70"/>
              <w:right w:type="dxa" w:w="100"/>
            </w:tcMar>
            <w:vAlign w:val="top"/>
          </w:tcPr>
          <w:p>
            <w:pPr>
              <w:spacing w:after="0" w:line="250"/>
            </w:pPr>
            <w:r>
              <w:rPr>
                <w:rFonts w:ascii="Arial" w:cs="Arial" w:eastAsia="Arial" w:hAnsi="Arial"/>
                <w:color w:val="52514E"/>
                <w:sz w:val="14"/>
                <w:szCs w:val="14"/>
              </w:rPr>
              <w:t xml:space="preserve">Supervision</w:t>
            </w:r>
          </w:p>
        </w:tc>
      </w:tr>
      <w:tr>
        <w:tc>
          <w:tcPr>
            <w:tcW w:type="dxa" w:w="560"/>
            <w:tcBorders>
              <w:top w:val="single" w:color="D9D8D2" w:sz="3"/>
              <w:left w:val="none" w:color="FFFFFF" w:sz="0"/>
              <w:bottom w:val="single" w:color="D9D8D2" w:sz="3"/>
              <w:right w:val="none" w:color="FFFFFF" w:sz="0"/>
            </w:tcBorders>
            <w:tcMar>
              <w:top w:type="dxa" w:w="70"/>
              <w:left w:type="dxa" w:w="100"/>
              <w:bottom w:type="dxa" w:w="70"/>
              <w:right w:type="dxa" w:w="100"/>
            </w:tcMar>
            <w:vAlign w:val="top"/>
          </w:tcPr>
          <w:p>
            <w:pPr>
              <w:spacing w:after="0" w:line="250"/>
            </w:pPr>
            <w:r>
              <w:rPr>
                <w:rFonts w:ascii="Arial" w:cs="Arial" w:eastAsia="Arial" w:hAnsi="Arial"/>
                <w:b/>
                <w:bCs/>
                <w:color w:val="012169"/>
                <w:sz w:val="15"/>
                <w:szCs w:val="15"/>
              </w:rPr>
              <w:t xml:space="preserve">P3</w:t>
            </w:r>
          </w:p>
        </w:tc>
        <w:tc>
          <w:tcPr>
            <w:tcW w:type="dxa" w:w="4400"/>
            <w:tcBorders>
              <w:top w:val="single" w:color="D9D8D2" w:sz="3"/>
              <w:left w:val="none" w:color="FFFFFF" w:sz="0"/>
              <w:bottom w:val="single" w:color="D9D8D2" w:sz="3"/>
              <w:right w:val="none" w:color="FFFFFF" w:sz="0"/>
            </w:tcBorders>
            <w:tcMar>
              <w:top w:type="dxa" w:w="70"/>
              <w:left w:type="dxa" w:w="100"/>
              <w:bottom w:type="dxa" w:w="70"/>
              <w:right w:type="dxa" w:w="100"/>
            </w:tcMar>
            <w:vAlign w:val="top"/>
          </w:tcPr>
          <w:p>
            <w:pPr>
              <w:spacing w:after="0" w:line="250"/>
            </w:pPr>
            <w:r>
              <w:rPr>
                <w:rFonts w:ascii="Arial" w:cs="Arial" w:eastAsia="Arial" w:hAnsi="Arial"/>
                <w:color w:val="1A1A1A"/>
                <w:sz w:val="15"/>
                <w:szCs w:val="15"/>
              </w:rPr>
              <w:t xml:space="preserve">A trustee judgement now drives an identified member's personal tax bill</w:t>
            </w:r>
            <w:r>
              <w:rPr>
                <w:rFonts w:ascii="Arial" w:cs="Arial" w:eastAsia="Arial" w:hAnsi="Arial"/>
                <w:b/>
                <w:bCs/>
                <w:color w:val="0072CE"/>
                <w:sz w:val="13"/>
                <w:szCs w:val="13"/>
                <w:vertAlign w:val="superscript"/>
              </w:rPr>
              <w:t xml:space="preserve"> [I]</w:t>
            </w:r>
          </w:p>
        </w:tc>
        <w:tc>
          <w:tcPr>
            <w:tcW w:type="dxa" w:w="860"/>
            <w:tcBorders>
              <w:top w:val="single" w:color="D9D8D2" w:sz="3"/>
              <w:left w:val="none" w:color="FFFFFF" w:sz="0"/>
              <w:bottom w:val="single" w:color="D9D8D2" w:sz="3"/>
              <w:right w:val="none" w:color="FFFFFF" w:sz="0"/>
            </w:tcBorders>
            <w:tcMar>
              <w:top w:type="dxa" w:w="70"/>
              <w:left w:type="dxa" w:w="100"/>
              <w:bottom w:type="dxa" w:w="70"/>
              <w:right w:type="dxa" w:w="100"/>
            </w:tcMar>
            <w:vAlign w:val="top"/>
          </w:tcPr>
          <w:p>
            <w:pPr>
              <w:spacing w:after="0" w:line="250"/>
              <w:jc w:val="center"/>
            </w:pPr>
            <w:r>
              <w:rPr>
                <w:rFonts w:ascii="Arial" w:cs="Arial" w:eastAsia="Arial" w:hAnsi="Arial"/>
                <w:b/>
                <w:bCs/>
                <w:color w:val="890C58"/>
                <w:sz w:val="18"/>
                <w:szCs w:val="18"/>
              </w:rPr>
              <w:t xml:space="preserve">A</w:t>
            </w:r>
          </w:p>
        </w:tc>
        <w:tc>
          <w:tcPr>
            <w:tcW w:type="dxa" w:w="1150"/>
            <w:tcBorders>
              <w:top w:val="single" w:color="D9D8D2" w:sz="3"/>
              <w:left w:val="none" w:color="FFFFFF" w:sz="0"/>
              <w:bottom w:val="single" w:color="D9D8D2" w:sz="3"/>
              <w:right w:val="none" w:color="FFFFFF" w:sz="0"/>
            </w:tcBorders>
            <w:tcMar>
              <w:top w:type="dxa" w:w="70"/>
              <w:left w:type="dxa" w:w="100"/>
              <w:bottom w:type="dxa" w:w="70"/>
              <w:right w:type="dxa" w:w="100"/>
            </w:tcMar>
            <w:vAlign w:val="top"/>
          </w:tcPr>
          <w:p>
            <w:pPr>
              <w:spacing w:after="0" w:line="250"/>
              <w:jc w:val="center"/>
            </w:pPr>
            <w:r>
              <w:rPr>
                <w:rFonts w:ascii="Arial" w:cs="Arial" w:eastAsia="Arial" w:hAnsi="Arial"/>
                <w:color w:val="898781"/>
                <w:sz w:val="14"/>
                <w:szCs w:val="14"/>
              </w:rPr>
              <w:t xml:space="preserve">4 · 3 · 4</w:t>
            </w:r>
          </w:p>
        </w:tc>
        <w:tc>
          <w:tcPr>
            <w:tcW w:type="dxa" w:w="2936"/>
            <w:tcBorders>
              <w:top w:val="single" w:color="D9D8D2" w:sz="3"/>
              <w:left w:val="none" w:color="FFFFFF" w:sz="0"/>
              <w:bottom w:val="single" w:color="D9D8D2" w:sz="3"/>
              <w:right w:val="none" w:color="FFFFFF" w:sz="0"/>
            </w:tcBorders>
            <w:tcMar>
              <w:top w:type="dxa" w:w="70"/>
              <w:left w:type="dxa" w:w="100"/>
              <w:bottom w:type="dxa" w:w="70"/>
              <w:right w:type="dxa" w:w="100"/>
            </w:tcMar>
            <w:vAlign w:val="top"/>
          </w:tcPr>
          <w:p>
            <w:pPr>
              <w:spacing w:after="0" w:line="250"/>
            </w:pPr>
            <w:r>
              <w:rPr>
                <w:rFonts w:ascii="Arial" w:cs="Arial" w:eastAsia="Arial" w:hAnsi="Arial"/>
                <w:color w:val="52514E"/>
                <w:sz w:val="14"/>
                <w:szCs w:val="14"/>
              </w:rPr>
              <w:t xml:space="preserve">Guidance</w:t>
            </w:r>
          </w:p>
        </w:tc>
      </w:tr>
      <w:tr>
        <w:tc>
          <w:tcPr>
            <w:tcW w:type="dxa" w:w="560"/>
            <w:tcBorders>
              <w:top w:val="single" w:color="D9D8D2" w:sz="3"/>
              <w:left w:val="none" w:color="FFFFFF" w:sz="0"/>
              <w:bottom w:val="single" w:color="D9D8D2" w:sz="3"/>
              <w:right w:val="none" w:color="FFFFFF" w:sz="0"/>
            </w:tcBorders>
            <w:shd w:fill="EFEEE9" w:color="auto" w:val="clear"/>
            <w:tcMar>
              <w:top w:type="dxa" w:w="70"/>
              <w:left w:type="dxa" w:w="100"/>
              <w:bottom w:type="dxa" w:w="70"/>
              <w:right w:type="dxa" w:w="100"/>
            </w:tcMar>
            <w:vAlign w:val="top"/>
          </w:tcPr>
          <w:p>
            <w:pPr>
              <w:spacing w:after="0" w:line="250"/>
            </w:pPr>
            <w:r>
              <w:rPr>
                <w:rFonts w:ascii="Arial" w:cs="Arial" w:eastAsia="Arial" w:hAnsi="Arial"/>
                <w:b/>
                <w:bCs/>
                <w:color w:val="012169"/>
                <w:sz w:val="15"/>
                <w:szCs w:val="15"/>
              </w:rPr>
              <w:t xml:space="preserve">P4</w:t>
            </w:r>
          </w:p>
        </w:tc>
        <w:tc>
          <w:tcPr>
            <w:tcW w:type="dxa" w:w="4400"/>
            <w:tcBorders>
              <w:top w:val="single" w:color="D9D8D2" w:sz="3"/>
              <w:left w:val="none" w:color="FFFFFF" w:sz="0"/>
              <w:bottom w:val="single" w:color="D9D8D2" w:sz="3"/>
              <w:right w:val="none" w:color="FFFFFF" w:sz="0"/>
            </w:tcBorders>
            <w:shd w:fill="EFEEE9" w:color="auto" w:val="clear"/>
            <w:tcMar>
              <w:top w:type="dxa" w:w="70"/>
              <w:left w:type="dxa" w:w="100"/>
              <w:bottom w:type="dxa" w:w="70"/>
              <w:right w:type="dxa" w:w="100"/>
            </w:tcMar>
            <w:vAlign w:val="top"/>
          </w:tcPr>
          <w:p>
            <w:pPr>
              <w:spacing w:after="0" w:line="250"/>
            </w:pPr>
            <w:r>
              <w:rPr>
                <w:rFonts w:ascii="Arial" w:cs="Arial" w:eastAsia="Arial" w:hAnsi="Arial"/>
                <w:color w:val="1A1A1A"/>
                <w:sz w:val="15"/>
                <w:szCs w:val="15"/>
              </w:rPr>
              <w:t xml:space="preserve">Three separate blind spots on the same process</w:t>
            </w:r>
            <w:r>
              <w:rPr>
                <w:rFonts w:ascii="Arial" w:cs="Arial" w:eastAsia="Arial" w:hAnsi="Arial"/>
                <w:b/>
                <w:bCs/>
                <w:color w:val="0072CE"/>
                <w:sz w:val="13"/>
                <w:szCs w:val="13"/>
                <w:vertAlign w:val="superscript"/>
              </w:rPr>
              <w:t xml:space="preserve"> [I]</w:t>
            </w:r>
          </w:p>
        </w:tc>
        <w:tc>
          <w:tcPr>
            <w:tcW w:type="dxa" w:w="860"/>
            <w:tcBorders>
              <w:top w:val="single" w:color="D9D8D2" w:sz="3"/>
              <w:left w:val="none" w:color="FFFFFF" w:sz="0"/>
              <w:bottom w:val="single" w:color="D9D8D2" w:sz="3"/>
              <w:right w:val="none" w:color="FFFFFF" w:sz="0"/>
            </w:tcBorders>
            <w:shd w:fill="EFEEE9" w:color="auto" w:val="clear"/>
            <w:tcMar>
              <w:top w:type="dxa" w:w="70"/>
              <w:left w:type="dxa" w:w="100"/>
              <w:bottom w:type="dxa" w:w="70"/>
              <w:right w:type="dxa" w:w="100"/>
            </w:tcMar>
            <w:vAlign w:val="top"/>
          </w:tcPr>
          <w:p>
            <w:pPr>
              <w:spacing w:after="0" w:line="250"/>
              <w:jc w:val="center"/>
            </w:pPr>
            <w:r>
              <w:rPr>
                <w:rFonts w:ascii="Arial" w:cs="Arial" w:eastAsia="Arial" w:hAnsi="Arial"/>
                <w:b/>
                <w:bCs/>
                <w:color w:val="E87722"/>
                <w:sz w:val="18"/>
                <w:szCs w:val="18"/>
              </w:rPr>
              <w:t xml:space="preserve">B</w:t>
            </w:r>
          </w:p>
        </w:tc>
        <w:tc>
          <w:tcPr>
            <w:tcW w:type="dxa" w:w="1150"/>
            <w:tcBorders>
              <w:top w:val="single" w:color="D9D8D2" w:sz="3"/>
              <w:left w:val="none" w:color="FFFFFF" w:sz="0"/>
              <w:bottom w:val="single" w:color="D9D8D2" w:sz="3"/>
              <w:right w:val="none" w:color="FFFFFF" w:sz="0"/>
            </w:tcBorders>
            <w:shd w:fill="EFEEE9" w:color="auto" w:val="clear"/>
            <w:tcMar>
              <w:top w:type="dxa" w:w="70"/>
              <w:left w:type="dxa" w:w="100"/>
              <w:bottom w:type="dxa" w:w="70"/>
              <w:right w:type="dxa" w:w="100"/>
            </w:tcMar>
            <w:vAlign w:val="top"/>
          </w:tcPr>
          <w:p>
            <w:pPr>
              <w:spacing w:after="0" w:line="250"/>
              <w:jc w:val="center"/>
            </w:pPr>
            <w:r>
              <w:rPr>
                <w:rFonts w:ascii="Arial" w:cs="Arial" w:eastAsia="Arial" w:hAnsi="Arial"/>
                <w:color w:val="898781"/>
                <w:sz w:val="14"/>
                <w:szCs w:val="14"/>
              </w:rPr>
              <w:t xml:space="preserve">3 · 3 · 5</w:t>
            </w:r>
          </w:p>
        </w:tc>
        <w:tc>
          <w:tcPr>
            <w:tcW w:type="dxa" w:w="2936"/>
            <w:tcBorders>
              <w:top w:val="single" w:color="D9D8D2" w:sz="3"/>
              <w:left w:val="none" w:color="FFFFFF" w:sz="0"/>
              <w:bottom w:val="single" w:color="D9D8D2" w:sz="3"/>
              <w:right w:val="none" w:color="FFFFFF" w:sz="0"/>
            </w:tcBorders>
            <w:shd w:fill="EFEEE9" w:color="auto" w:val="clear"/>
            <w:tcMar>
              <w:top w:type="dxa" w:w="70"/>
              <w:left w:type="dxa" w:w="100"/>
              <w:bottom w:type="dxa" w:w="70"/>
              <w:right w:type="dxa" w:w="100"/>
            </w:tcMar>
            <w:vAlign w:val="top"/>
          </w:tcPr>
          <w:p>
            <w:pPr>
              <w:spacing w:after="0" w:line="250"/>
            </w:pPr>
            <w:r>
              <w:rPr>
                <w:rFonts w:ascii="Arial" w:cs="Arial" w:eastAsia="Arial" w:hAnsi="Arial"/>
                <w:color w:val="52514E"/>
                <w:sz w:val="14"/>
                <w:szCs w:val="14"/>
              </w:rPr>
              <w:t xml:space="preserve">Guidance</w:t>
            </w:r>
          </w:p>
        </w:tc>
      </w:tr>
      <w:tr>
        <w:tc>
          <w:tcPr>
            <w:tcW w:type="dxa" w:w="560"/>
            <w:tcBorders>
              <w:top w:val="single" w:color="D9D8D2" w:sz="3"/>
              <w:left w:val="none" w:color="FFFFFF" w:sz="0"/>
              <w:bottom w:val="single" w:color="D9D8D2" w:sz="3"/>
              <w:right w:val="none" w:color="FFFFFF" w:sz="0"/>
            </w:tcBorders>
            <w:tcMar>
              <w:top w:type="dxa" w:w="70"/>
              <w:left w:type="dxa" w:w="100"/>
              <w:bottom w:type="dxa" w:w="70"/>
              <w:right w:type="dxa" w:w="100"/>
            </w:tcMar>
            <w:vAlign w:val="top"/>
          </w:tcPr>
          <w:p>
            <w:pPr>
              <w:spacing w:after="0" w:line="250"/>
            </w:pPr>
            <w:r>
              <w:rPr>
                <w:rFonts w:ascii="Arial" w:cs="Arial" w:eastAsia="Arial" w:hAnsi="Arial"/>
                <w:b/>
                <w:bCs/>
                <w:color w:val="012169"/>
                <w:sz w:val="15"/>
                <w:szCs w:val="15"/>
              </w:rPr>
              <w:t xml:space="preserve">P5</w:t>
            </w:r>
          </w:p>
        </w:tc>
        <w:tc>
          <w:tcPr>
            <w:tcW w:type="dxa" w:w="4400"/>
            <w:tcBorders>
              <w:top w:val="single" w:color="D9D8D2" w:sz="3"/>
              <w:left w:val="none" w:color="FFFFFF" w:sz="0"/>
              <w:bottom w:val="single" w:color="D9D8D2" w:sz="3"/>
              <w:right w:val="none" w:color="FFFFFF" w:sz="0"/>
            </w:tcBorders>
            <w:tcMar>
              <w:top w:type="dxa" w:w="70"/>
              <w:left w:type="dxa" w:w="100"/>
              <w:bottom w:type="dxa" w:w="70"/>
              <w:right w:type="dxa" w:w="100"/>
            </w:tcMar>
            <w:vAlign w:val="top"/>
          </w:tcPr>
          <w:p>
            <w:pPr>
              <w:spacing w:after="0" w:line="250"/>
            </w:pPr>
            <w:r>
              <w:rPr>
                <w:rFonts w:ascii="Arial" w:cs="Arial" w:eastAsia="Arial" w:hAnsi="Arial"/>
                <w:color w:val="1A1A1A"/>
                <w:sz w:val="15"/>
                <w:szCs w:val="15"/>
              </w:rPr>
              <w:t xml:space="preserve">Removing the tax on paper gains did not close the valuation file</w:t>
            </w:r>
            <w:r>
              <w:rPr>
                <w:rFonts w:ascii="Arial" w:cs="Arial" w:eastAsia="Arial" w:hAnsi="Arial"/>
                <w:b/>
                <w:bCs/>
                <w:color w:val="0072CE"/>
                <w:sz w:val="13"/>
                <w:szCs w:val="13"/>
                <w:vertAlign w:val="superscript"/>
              </w:rPr>
              <w:t xml:space="preserve"> [I]</w:t>
            </w:r>
          </w:p>
        </w:tc>
        <w:tc>
          <w:tcPr>
            <w:tcW w:type="dxa" w:w="860"/>
            <w:tcBorders>
              <w:top w:val="single" w:color="D9D8D2" w:sz="3"/>
              <w:left w:val="none" w:color="FFFFFF" w:sz="0"/>
              <w:bottom w:val="single" w:color="D9D8D2" w:sz="3"/>
              <w:right w:val="none" w:color="FFFFFF" w:sz="0"/>
            </w:tcBorders>
            <w:tcMar>
              <w:top w:type="dxa" w:w="70"/>
              <w:left w:type="dxa" w:w="100"/>
              <w:bottom w:type="dxa" w:w="70"/>
              <w:right w:type="dxa" w:w="100"/>
            </w:tcMar>
            <w:vAlign w:val="top"/>
          </w:tcPr>
          <w:p>
            <w:pPr>
              <w:spacing w:after="0" w:line="250"/>
              <w:jc w:val="center"/>
            </w:pPr>
            <w:r>
              <w:rPr>
                <w:rFonts w:ascii="Arial" w:cs="Arial" w:eastAsia="Arial" w:hAnsi="Arial"/>
                <w:b/>
                <w:bCs/>
                <w:color w:val="E87722"/>
                <w:sz w:val="18"/>
                <w:szCs w:val="18"/>
              </w:rPr>
              <w:t xml:space="preserve">B</w:t>
            </w:r>
          </w:p>
        </w:tc>
        <w:tc>
          <w:tcPr>
            <w:tcW w:type="dxa" w:w="1150"/>
            <w:tcBorders>
              <w:top w:val="single" w:color="D9D8D2" w:sz="3"/>
              <w:left w:val="none" w:color="FFFFFF" w:sz="0"/>
              <w:bottom w:val="single" w:color="D9D8D2" w:sz="3"/>
              <w:right w:val="none" w:color="FFFFFF" w:sz="0"/>
            </w:tcBorders>
            <w:tcMar>
              <w:top w:type="dxa" w:w="70"/>
              <w:left w:type="dxa" w:w="100"/>
              <w:bottom w:type="dxa" w:w="70"/>
              <w:right w:type="dxa" w:w="100"/>
            </w:tcMar>
            <w:vAlign w:val="top"/>
          </w:tcPr>
          <w:p>
            <w:pPr>
              <w:spacing w:after="0" w:line="250"/>
              <w:jc w:val="center"/>
            </w:pPr>
            <w:r>
              <w:rPr>
                <w:rFonts w:ascii="Arial" w:cs="Arial" w:eastAsia="Arial" w:hAnsi="Arial"/>
                <w:color w:val="898781"/>
                <w:sz w:val="14"/>
                <w:szCs w:val="14"/>
              </w:rPr>
              <w:t xml:space="preserve">3 · 3 · 5</w:t>
            </w:r>
          </w:p>
        </w:tc>
        <w:tc>
          <w:tcPr>
            <w:tcW w:type="dxa" w:w="2936"/>
            <w:tcBorders>
              <w:top w:val="single" w:color="D9D8D2" w:sz="3"/>
              <w:left w:val="none" w:color="FFFFFF" w:sz="0"/>
              <w:bottom w:val="single" w:color="D9D8D2" w:sz="3"/>
              <w:right w:val="none" w:color="FFFFFF" w:sz="0"/>
            </w:tcBorders>
            <w:tcMar>
              <w:top w:type="dxa" w:w="70"/>
              <w:left w:type="dxa" w:w="100"/>
              <w:bottom w:type="dxa" w:w="70"/>
              <w:right w:type="dxa" w:w="100"/>
            </w:tcMar>
            <w:vAlign w:val="top"/>
          </w:tcPr>
          <w:p>
            <w:pPr>
              <w:spacing w:after="0" w:line="250"/>
            </w:pPr>
            <w:r>
              <w:rPr>
                <w:rFonts w:ascii="Arial" w:cs="Arial" w:eastAsia="Arial" w:hAnsi="Arial"/>
                <w:color w:val="52514E"/>
                <w:sz w:val="14"/>
                <w:szCs w:val="14"/>
              </w:rPr>
              <w:t xml:space="preserve">Supervision</w:t>
            </w:r>
          </w:p>
        </w:tc>
      </w:tr>
      <w:tr>
        <w:tc>
          <w:tcPr>
            <w:tcW w:type="dxa" w:w="560"/>
            <w:tcBorders>
              <w:top w:val="single" w:color="D9D8D2" w:sz="3"/>
              <w:left w:val="none" w:color="FFFFFF" w:sz="0"/>
              <w:bottom w:val="single" w:color="D9D8D2" w:sz="3"/>
              <w:right w:val="none" w:color="FFFFFF" w:sz="0"/>
            </w:tcBorders>
            <w:shd w:fill="EFEEE9" w:color="auto" w:val="clear"/>
            <w:tcMar>
              <w:top w:type="dxa" w:w="70"/>
              <w:left w:type="dxa" w:w="100"/>
              <w:bottom w:type="dxa" w:w="70"/>
              <w:right w:type="dxa" w:w="100"/>
            </w:tcMar>
            <w:vAlign w:val="top"/>
          </w:tcPr>
          <w:p>
            <w:pPr>
              <w:spacing w:after="0" w:line="250"/>
            </w:pPr>
            <w:r>
              <w:rPr>
                <w:rFonts w:ascii="Arial" w:cs="Arial" w:eastAsia="Arial" w:hAnsi="Arial"/>
                <w:b/>
                <w:bCs/>
                <w:color w:val="012169"/>
                <w:sz w:val="15"/>
                <w:szCs w:val="15"/>
              </w:rPr>
              <w:t xml:space="preserve">P6</w:t>
            </w:r>
          </w:p>
        </w:tc>
        <w:tc>
          <w:tcPr>
            <w:tcW w:type="dxa" w:w="4400"/>
            <w:tcBorders>
              <w:top w:val="single" w:color="D9D8D2" w:sz="3"/>
              <w:left w:val="none" w:color="FFFFFF" w:sz="0"/>
              <w:bottom w:val="single" w:color="D9D8D2" w:sz="3"/>
              <w:right w:val="none" w:color="FFFFFF" w:sz="0"/>
            </w:tcBorders>
            <w:shd w:fill="EFEEE9" w:color="auto" w:val="clear"/>
            <w:tcMar>
              <w:top w:type="dxa" w:w="70"/>
              <w:left w:type="dxa" w:w="100"/>
              <w:bottom w:type="dxa" w:w="70"/>
              <w:right w:type="dxa" w:w="100"/>
            </w:tcMar>
            <w:vAlign w:val="top"/>
          </w:tcPr>
          <w:p>
            <w:pPr>
              <w:spacing w:after="0" w:line="250"/>
            </w:pPr>
            <w:r>
              <w:rPr>
                <w:rFonts w:ascii="Arial" w:cs="Arial" w:eastAsia="Arial" w:hAnsi="Arial"/>
                <w:color w:val="1A1A1A"/>
                <w:sz w:val="15"/>
                <w:szCs w:val="15"/>
              </w:rPr>
              <w:t xml:space="preserve">APRA cannot see the affected population</w:t>
            </w:r>
            <w:r>
              <w:rPr>
                <w:rFonts w:ascii="Arial" w:cs="Arial" w:eastAsia="Arial" w:hAnsi="Arial"/>
                <w:b/>
                <w:bCs/>
                <w:color w:val="00806D"/>
                <w:sz w:val="13"/>
                <w:szCs w:val="13"/>
                <w:vertAlign w:val="superscript"/>
              </w:rPr>
              <w:t xml:space="preserve"> [S]</w:t>
            </w:r>
          </w:p>
        </w:tc>
        <w:tc>
          <w:tcPr>
            <w:tcW w:type="dxa" w:w="860"/>
            <w:tcBorders>
              <w:top w:val="single" w:color="D9D8D2" w:sz="3"/>
              <w:left w:val="none" w:color="FFFFFF" w:sz="0"/>
              <w:bottom w:val="single" w:color="D9D8D2" w:sz="3"/>
              <w:right w:val="none" w:color="FFFFFF" w:sz="0"/>
            </w:tcBorders>
            <w:shd w:fill="EFEEE9" w:color="auto" w:val="clear"/>
            <w:tcMar>
              <w:top w:type="dxa" w:w="70"/>
              <w:left w:type="dxa" w:w="100"/>
              <w:bottom w:type="dxa" w:w="70"/>
              <w:right w:type="dxa" w:w="100"/>
            </w:tcMar>
            <w:vAlign w:val="top"/>
          </w:tcPr>
          <w:p>
            <w:pPr>
              <w:spacing w:after="0" w:line="250"/>
              <w:jc w:val="center"/>
            </w:pPr>
            <w:r>
              <w:rPr>
                <w:rFonts w:ascii="Arial" w:cs="Arial" w:eastAsia="Arial" w:hAnsi="Arial"/>
                <w:b/>
                <w:bCs/>
                <w:color w:val="E87722"/>
                <w:sz w:val="18"/>
                <w:szCs w:val="18"/>
              </w:rPr>
              <w:t xml:space="preserve">B</w:t>
            </w:r>
          </w:p>
        </w:tc>
        <w:tc>
          <w:tcPr>
            <w:tcW w:type="dxa" w:w="1150"/>
            <w:tcBorders>
              <w:top w:val="single" w:color="D9D8D2" w:sz="3"/>
              <w:left w:val="none" w:color="FFFFFF" w:sz="0"/>
              <w:bottom w:val="single" w:color="D9D8D2" w:sz="3"/>
              <w:right w:val="none" w:color="FFFFFF" w:sz="0"/>
            </w:tcBorders>
            <w:shd w:fill="EFEEE9" w:color="auto" w:val="clear"/>
            <w:tcMar>
              <w:top w:type="dxa" w:w="70"/>
              <w:left w:type="dxa" w:w="100"/>
              <w:bottom w:type="dxa" w:w="70"/>
              <w:right w:type="dxa" w:w="100"/>
            </w:tcMar>
            <w:vAlign w:val="top"/>
          </w:tcPr>
          <w:p>
            <w:pPr>
              <w:spacing w:after="0" w:line="250"/>
              <w:jc w:val="center"/>
            </w:pPr>
            <w:r>
              <w:rPr>
                <w:rFonts w:ascii="Arial" w:cs="Arial" w:eastAsia="Arial" w:hAnsi="Arial"/>
                <w:color w:val="898781"/>
                <w:sz w:val="14"/>
                <w:szCs w:val="14"/>
              </w:rPr>
              <w:t xml:space="preserve">3 · 3 · 5</w:t>
            </w:r>
          </w:p>
        </w:tc>
        <w:tc>
          <w:tcPr>
            <w:tcW w:type="dxa" w:w="2936"/>
            <w:tcBorders>
              <w:top w:val="single" w:color="D9D8D2" w:sz="3"/>
              <w:left w:val="none" w:color="FFFFFF" w:sz="0"/>
              <w:bottom w:val="single" w:color="D9D8D2" w:sz="3"/>
              <w:right w:val="none" w:color="FFFFFF" w:sz="0"/>
            </w:tcBorders>
            <w:shd w:fill="EFEEE9" w:color="auto" w:val="clear"/>
            <w:tcMar>
              <w:top w:type="dxa" w:w="70"/>
              <w:left w:type="dxa" w:w="100"/>
              <w:bottom w:type="dxa" w:w="70"/>
              <w:right w:type="dxa" w:w="100"/>
            </w:tcMar>
            <w:vAlign w:val="top"/>
          </w:tcPr>
          <w:p>
            <w:pPr>
              <w:spacing w:after="0" w:line="250"/>
            </w:pPr>
            <w:r>
              <w:rPr>
                <w:rFonts w:ascii="Arial" w:cs="Arial" w:eastAsia="Arial" w:hAnsi="Arial"/>
                <w:color w:val="52514E"/>
                <w:sz w:val="14"/>
                <w:szCs w:val="14"/>
              </w:rPr>
              <w:t xml:space="preserve">Amend a standard</w:t>
            </w:r>
          </w:p>
        </w:tc>
      </w:tr>
      <w:tr>
        <w:tc>
          <w:tcPr>
            <w:tcW w:type="dxa" w:w="560"/>
            <w:tcBorders>
              <w:top w:val="single" w:color="D9D8D2" w:sz="3"/>
              <w:left w:val="none" w:color="FFFFFF" w:sz="0"/>
              <w:bottom w:val="single" w:color="D9D8D2" w:sz="3"/>
              <w:right w:val="none" w:color="FFFFFF" w:sz="0"/>
            </w:tcBorders>
            <w:tcMar>
              <w:top w:type="dxa" w:w="70"/>
              <w:left w:type="dxa" w:w="100"/>
              <w:bottom w:type="dxa" w:w="70"/>
              <w:right w:type="dxa" w:w="100"/>
            </w:tcMar>
            <w:vAlign w:val="top"/>
          </w:tcPr>
          <w:p>
            <w:pPr>
              <w:spacing w:after="0" w:line="250"/>
            </w:pPr>
            <w:r>
              <w:rPr>
                <w:rFonts w:ascii="Arial" w:cs="Arial" w:eastAsia="Arial" w:hAnsi="Arial"/>
                <w:b/>
                <w:bCs/>
                <w:color w:val="012169"/>
                <w:sz w:val="15"/>
                <w:szCs w:val="15"/>
              </w:rPr>
              <w:t xml:space="preserve">P7</w:t>
            </w:r>
          </w:p>
        </w:tc>
        <w:tc>
          <w:tcPr>
            <w:tcW w:type="dxa" w:w="4400"/>
            <w:tcBorders>
              <w:top w:val="single" w:color="D9D8D2" w:sz="3"/>
              <w:left w:val="none" w:color="FFFFFF" w:sz="0"/>
              <w:bottom w:val="single" w:color="D9D8D2" w:sz="3"/>
              <w:right w:val="none" w:color="FFFFFF" w:sz="0"/>
            </w:tcBorders>
            <w:tcMar>
              <w:top w:type="dxa" w:w="70"/>
              <w:left w:type="dxa" w:w="100"/>
              <w:bottom w:type="dxa" w:w="70"/>
              <w:right w:type="dxa" w:w="100"/>
            </w:tcMar>
            <w:vAlign w:val="top"/>
          </w:tcPr>
          <w:p>
            <w:pPr>
              <w:spacing w:after="0" w:line="250"/>
            </w:pPr>
            <w:r>
              <w:rPr>
                <w:rFonts w:ascii="Arial" w:cs="Arial" w:eastAsia="Arial" w:hAnsi="Arial"/>
                <w:color w:val="1A1A1A"/>
                <w:sz w:val="15"/>
                <w:szCs w:val="15"/>
              </w:rPr>
              <w:t xml:space="preserve">Two major changes commence on the same day</w:t>
            </w:r>
            <w:r>
              <w:rPr>
                <w:rFonts w:ascii="Arial" w:cs="Arial" w:eastAsia="Arial" w:hAnsi="Arial"/>
                <w:b/>
                <w:bCs/>
                <w:color w:val="00806D"/>
                <w:sz w:val="13"/>
                <w:szCs w:val="13"/>
                <w:vertAlign w:val="superscript"/>
              </w:rPr>
              <w:t xml:space="preserve"> [S]</w:t>
            </w:r>
          </w:p>
        </w:tc>
        <w:tc>
          <w:tcPr>
            <w:tcW w:type="dxa" w:w="860"/>
            <w:tcBorders>
              <w:top w:val="single" w:color="D9D8D2" w:sz="3"/>
              <w:left w:val="none" w:color="FFFFFF" w:sz="0"/>
              <w:bottom w:val="single" w:color="D9D8D2" w:sz="3"/>
              <w:right w:val="none" w:color="FFFFFF" w:sz="0"/>
            </w:tcBorders>
            <w:tcMar>
              <w:top w:type="dxa" w:w="70"/>
              <w:left w:type="dxa" w:w="100"/>
              <w:bottom w:type="dxa" w:w="70"/>
              <w:right w:type="dxa" w:w="100"/>
            </w:tcMar>
            <w:vAlign w:val="top"/>
          </w:tcPr>
          <w:p>
            <w:pPr>
              <w:spacing w:after="0" w:line="250"/>
              <w:jc w:val="center"/>
            </w:pPr>
            <w:r>
              <w:rPr>
                <w:rFonts w:ascii="Arial" w:cs="Arial" w:eastAsia="Arial" w:hAnsi="Arial"/>
                <w:b/>
                <w:bCs/>
                <w:color w:val="E87722"/>
                <w:sz w:val="18"/>
                <w:szCs w:val="18"/>
              </w:rPr>
              <w:t xml:space="preserve">B</w:t>
            </w:r>
          </w:p>
        </w:tc>
        <w:tc>
          <w:tcPr>
            <w:tcW w:type="dxa" w:w="1150"/>
            <w:tcBorders>
              <w:top w:val="single" w:color="D9D8D2" w:sz="3"/>
              <w:left w:val="none" w:color="FFFFFF" w:sz="0"/>
              <w:bottom w:val="single" w:color="D9D8D2" w:sz="3"/>
              <w:right w:val="none" w:color="FFFFFF" w:sz="0"/>
            </w:tcBorders>
            <w:tcMar>
              <w:top w:type="dxa" w:w="70"/>
              <w:left w:type="dxa" w:w="100"/>
              <w:bottom w:type="dxa" w:w="70"/>
              <w:right w:type="dxa" w:w="100"/>
            </w:tcMar>
            <w:vAlign w:val="top"/>
          </w:tcPr>
          <w:p>
            <w:pPr>
              <w:spacing w:after="0" w:line="250"/>
              <w:jc w:val="center"/>
            </w:pPr>
            <w:r>
              <w:rPr>
                <w:rFonts w:ascii="Arial" w:cs="Arial" w:eastAsia="Arial" w:hAnsi="Arial"/>
                <w:color w:val="898781"/>
                <w:sz w:val="14"/>
                <w:szCs w:val="14"/>
              </w:rPr>
              <w:t xml:space="preserve">3 · 3 · 5</w:t>
            </w:r>
          </w:p>
        </w:tc>
        <w:tc>
          <w:tcPr>
            <w:tcW w:type="dxa" w:w="2936"/>
            <w:tcBorders>
              <w:top w:val="single" w:color="D9D8D2" w:sz="3"/>
              <w:left w:val="none" w:color="FFFFFF" w:sz="0"/>
              <w:bottom w:val="single" w:color="D9D8D2" w:sz="3"/>
              <w:right w:val="none" w:color="FFFFFF" w:sz="0"/>
            </w:tcBorders>
            <w:tcMar>
              <w:top w:type="dxa" w:w="70"/>
              <w:left w:type="dxa" w:w="100"/>
              <w:bottom w:type="dxa" w:w="70"/>
              <w:right w:type="dxa" w:w="100"/>
            </w:tcMar>
            <w:vAlign w:val="top"/>
          </w:tcPr>
          <w:p>
            <w:pPr>
              <w:spacing w:after="0" w:line="250"/>
            </w:pPr>
            <w:r>
              <w:rPr>
                <w:rFonts w:ascii="Arial" w:cs="Arial" w:eastAsia="Arial" w:hAnsi="Arial"/>
                <w:color w:val="52514E"/>
                <w:sz w:val="14"/>
                <w:szCs w:val="14"/>
              </w:rPr>
              <w:t xml:space="preserve">Supervision</w:t>
            </w:r>
          </w:p>
        </w:tc>
      </w:tr>
    </w:tbl>
    <w:p>
      <w:pPr>
        <w:spacing w:after="0" w:before="70" w:line="264"/>
      </w:pPr>
      <w:r>
        <w:rPr>
          <w:rFonts w:ascii="Arial" w:cs="Arial" w:eastAsia="Arial" w:hAnsi="Arial"/>
          <w:color w:val="898781"/>
          <w:sz w:val="13"/>
          <w:szCs w:val="13"/>
        </w:rPr>
        <w:t xml:space="preserve">A = raise now · B = press and monitor · C = watch.  Scores out of 5.  All 18 issues are in Annex A.</w:t>
      </w:r>
    </w:p>
    <w:p>
      <w:r>
        <w:br w:type="page"/>
      </w:r>
    </w:p>
    <w:p>
      <w:pPr>
        <w:pBdr>
          <w:bottom w:val="single" w:color="0072CE" w:sz="6" w:space="4"/>
        </w:pBdr>
        <w:spacing w:after="100" w:before="0"/>
      </w:pPr>
      <w:r>
        <w:rPr>
          <w:rFonts w:ascii="Arial" w:cs="Arial" w:eastAsia="Arial" w:hAnsi="Arial"/>
          <w:b/>
          <w:bCs/>
          <w:color w:val="012169"/>
          <w:sz w:val="22"/>
          <w:szCs w:val="22"/>
        </w:rPr>
        <w:t xml:space="preserve">What the prudential framework actually needs</w:t>
      </w:r>
    </w:p>
    <w:p>
      <w:pPr>
        <w:spacing w:after="80" w:before="0" w:line="264"/>
      </w:pPr>
      <w:r>
        <w:rPr>
          <w:rFonts w:ascii="Arial" w:cs="Arial" w:eastAsia="Arial" w:hAnsi="Arial"/>
          <w:color w:val="1A1A1A"/>
          <w:sz w:val="17"/>
          <w:szCs w:val="17"/>
        </w:rPr>
        <w:t xml:space="preserve">The most useful finding here is a negative one. Division 296 does not require the prudential framework to be rewritten. Of 27 instruments examined: 11 need no change at all, 11 need only supervisory attention, 4 warrant updated guidance, and exactly one needs amending — SRS 611.0, APRA's own member accounts collection, whose highest balance bracket stops at a third of the lower threshold. The authority already exists. SPG 530 expressly names a change in government policy affecting access to member assets as a liquidity stress factor, and CPS 230 already requires fund administration to be treated as a critical operation. What is missing is guidance confirming these obligations apply to a tax event as much as a market one, supervisory attention on the cohort least able to absorb it, and data granular enough to observe how the measure lands.</w:t>
      </w:r>
    </w:p>
    <w:p>
      <w:pPr>
        <w:spacing w:after="40" w:before="90"/>
        <w:jc w:val="center"/>
      </w:pPr>
      <w:r>
        <w:drawing>
          <wp:inline distT="0" distB="0" distL="0" distR="0">
            <wp:extent cx="6143625" cy="13811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6143625" cy="1381125"/>
                    </a:xfrm>
                    <a:prstGeom prst="rect">
                      <a:avLst/>
                    </a:prstGeom>
                  </pic:spPr>
                </pic:pic>
              </a:graphicData>
            </a:graphic>
          </wp:inline>
        </w:drawing>
      </w:r>
    </w:p>
    <w:p>
      <w:pPr>
        <w:spacing w:after="120"/>
        <w:jc w:val="center"/>
      </w:pPr>
      <w:r>
        <w:rPr>
          <w:rFonts w:ascii="Arial" w:cs="Arial" w:eastAsia="Arial" w:hAnsi="Arial"/>
          <w:i/>
          <w:iCs/>
          <w:color w:val="898781"/>
          <w:sz w:val="13"/>
          <w:szCs w:val="13"/>
        </w:rPr>
        <w:t xml:space="preserve">Figure 3 — What each part of the framework needs. Most of the hooks already exist.</w:t>
      </w:r>
    </w:p>
    <w:p>
      <w:pPr>
        <w:pBdr>
          <w:bottom w:val="single" w:color="0072CE" w:sz="6" w:space="4"/>
        </w:pBdr>
        <w:spacing w:after="100" w:before="240"/>
      </w:pPr>
      <w:r>
        <w:rPr>
          <w:rFonts w:ascii="Arial" w:cs="Arial" w:eastAsia="Arial" w:hAnsi="Arial"/>
          <w:b/>
          <w:bCs/>
          <w:color w:val="012169"/>
          <w:sz w:val="22"/>
          <w:szCs w:val="22"/>
        </w:rPr>
        <w:t xml:space="preserve">The runway — and APRA's window to act</w:t>
      </w:r>
    </w:p>
    <w:p>
      <w:pPr>
        <w:spacing w:after="40" w:before="90"/>
        <w:jc w:val="center"/>
      </w:pPr>
      <w:r>
        <w:drawing>
          <wp:inline distT="0" distB="0" distL="0" distR="0">
            <wp:extent cx="6143625" cy="2095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6143625" cy="2095500"/>
                    </a:xfrm>
                    <a:prstGeom prst="rect">
                      <a:avLst/>
                    </a:prstGeom>
                  </pic:spPr>
                </pic:pic>
              </a:graphicData>
            </a:graphic>
          </wp:inline>
        </w:drawing>
      </w:r>
    </w:p>
    <w:p>
      <w:pPr>
        <w:spacing w:after="120"/>
        <w:jc w:val="center"/>
      </w:pPr>
      <w:r>
        <w:rPr>
          <w:rFonts w:ascii="Arial" w:cs="Arial" w:eastAsia="Arial" w:hAnsi="Arial"/>
          <w:i/>
          <w:iCs/>
          <w:color w:val="898781"/>
          <w:sz w:val="13"/>
          <w:szCs w:val="13"/>
        </w:rPr>
        <w:t xml:space="preserve">Figure 4 — The runway. Influence over the design is real only in the near term.</w:t>
      </w:r>
    </w:p>
    <w:p>
      <w:pPr>
        <w:pBdr>
          <w:bottom w:val="single" w:color="0072CE" w:sz="6" w:space="4"/>
        </w:pBdr>
        <w:spacing w:after="100" w:before="240"/>
      </w:pPr>
      <w:r>
        <w:rPr>
          <w:rFonts w:ascii="Arial" w:cs="Arial" w:eastAsia="Arial" w:hAnsi="Arial"/>
          <w:b/>
          <w:bCs/>
          <w:color w:val="012169"/>
          <w:sz w:val="22"/>
          <w:szCs w:val="22"/>
        </w:rPr>
        <w:t xml:space="preserve">Implications</w:t>
      </w:r>
    </w:p>
    <w:p>
      <w:pPr>
        <w:pStyle w:val="ListParagraph"/>
        <w:numPr>
          <w:ilvl w:val="0"/>
          <w:numId w:val="2"/>
        </w:numPr>
        <w:spacing w:after="48" w:line="246"/>
      </w:pPr>
      <w:r>
        <w:rPr>
          <w:rFonts w:ascii="Arial" w:cs="Arial" w:eastAsia="Arial" w:hAnsi="Arial"/>
          <w:b/>
          <w:bCs/>
          <w:caps/>
          <w:color w:val="00B398"/>
          <w:sz w:val="15"/>
          <w:szCs w:val="15"/>
        </w:rPr>
        <w:t xml:space="preserve">Now  </w:t>
      </w:r>
      <w:r>
        <w:rPr>
          <w:rFonts w:ascii="Arial" w:cs="Arial" w:eastAsia="Arial" w:hAnsi="Arial"/>
          <w:color w:val="1A1A1A"/>
          <w:sz w:val="18"/>
          <w:szCs w:val="18"/>
        </w:rPr>
        <w:t xml:space="preserve">Carry a prudential perspective into the attribution work still under way. APRA engages with Treasury and the ATO, and the remaining calculation and attribution design is progressing through an ATO co-design process. There would be value in the prudential and member-outcomes dimensions being reflected in it.</w:t>
      </w:r>
      <w:r>
        <w:rPr>
          <w:rFonts w:ascii="Arial" w:cs="Arial" w:eastAsia="Arial" w:hAnsi="Arial"/>
          <w:b/>
          <w:bCs/>
          <w:color w:val="E87722"/>
          <w:sz w:val="13"/>
          <w:szCs w:val="13"/>
          <w:vertAlign w:val="superscript"/>
        </w:rPr>
        <w:t xml:space="preserve"> [C]</w:t>
      </w:r>
    </w:p>
    <w:p>
      <w:pPr>
        <w:pStyle w:val="ListParagraph"/>
        <w:numPr>
          <w:ilvl w:val="0"/>
          <w:numId w:val="2"/>
        </w:numPr>
        <w:spacing w:after="48" w:line="246"/>
      </w:pPr>
      <w:r>
        <w:rPr>
          <w:rFonts w:ascii="Arial" w:cs="Arial" w:eastAsia="Arial" w:hAnsi="Arial"/>
          <w:b/>
          <w:bCs/>
          <w:caps/>
          <w:color w:val="00B398"/>
          <w:sz w:val="15"/>
          <w:szCs w:val="15"/>
        </w:rPr>
        <w:t xml:space="preserve">Now  </w:t>
      </w:r>
      <w:r>
        <w:rPr>
          <w:rFonts w:ascii="Arial" w:cs="Arial" w:eastAsia="Arial" w:hAnsi="Arial"/>
          <w:color w:val="1A1A1A"/>
          <w:sz w:val="18"/>
          <w:szCs w:val="18"/>
        </w:rPr>
        <w:t xml:space="preserve">A short letter to RSE licensees confirming that existing obligations already apply would need no new instrument — fund administration as a critical operation under CPS 230, policy-driven liquidity stress under SPG 530, and the annual board risk declaration under SPS 220.</w:t>
      </w:r>
      <w:r>
        <w:rPr>
          <w:rFonts w:ascii="Arial" w:cs="Arial" w:eastAsia="Arial" w:hAnsi="Arial"/>
          <w:b/>
          <w:bCs/>
          <w:color w:val="E87722"/>
          <w:sz w:val="13"/>
          <w:szCs w:val="13"/>
          <w:vertAlign w:val="superscript"/>
        </w:rPr>
        <w:t xml:space="preserve"> [C]</w:t>
      </w:r>
    </w:p>
    <w:p>
      <w:pPr>
        <w:pStyle w:val="ListParagraph"/>
        <w:numPr>
          <w:ilvl w:val="0"/>
          <w:numId w:val="2"/>
        </w:numPr>
        <w:spacing w:after="48" w:line="246"/>
      </w:pPr>
      <w:r>
        <w:rPr>
          <w:rFonts w:ascii="Arial" w:cs="Arial" w:eastAsia="Arial" w:hAnsi="Arial"/>
          <w:b/>
          <w:bCs/>
          <w:caps/>
          <w:color w:val="00B398"/>
          <w:sz w:val="15"/>
          <w:szCs w:val="15"/>
        </w:rPr>
        <w:t xml:space="preserve">Now  </w:t>
      </w:r>
      <w:r>
        <w:rPr>
          <w:rFonts w:ascii="Arial" w:cs="Arial" w:eastAsia="Arial" w:hAnsi="Arial"/>
          <w:color w:val="1A1A1A"/>
          <w:sz w:val="18"/>
          <w:szCs w:val="18"/>
        </w:rPr>
        <w:t xml:space="preserve">The material service provider registers APRA already holds can map which administrators will build this for how many funds, allowing engagement provider by provider rather than licensee by licensee.</w:t>
      </w:r>
      <w:r>
        <w:rPr>
          <w:rFonts w:ascii="Arial" w:cs="Arial" w:eastAsia="Arial" w:hAnsi="Arial"/>
          <w:b/>
          <w:bCs/>
          <w:color w:val="0072CE"/>
          <w:sz w:val="13"/>
          <w:szCs w:val="13"/>
          <w:vertAlign w:val="superscript"/>
        </w:rPr>
        <w:t xml:space="preserve"> [I]</w:t>
      </w:r>
    </w:p>
    <w:p>
      <w:pPr>
        <w:pStyle w:val="ListParagraph"/>
        <w:numPr>
          <w:ilvl w:val="0"/>
          <w:numId w:val="2"/>
        </w:numPr>
        <w:spacing w:after="48" w:line="246"/>
      </w:pPr>
      <w:r>
        <w:rPr>
          <w:rFonts w:ascii="Arial" w:cs="Arial" w:eastAsia="Arial" w:hAnsi="Arial"/>
          <w:b/>
          <w:bCs/>
          <w:caps/>
          <w:color w:val="00B398"/>
          <w:sz w:val="15"/>
          <w:szCs w:val="15"/>
        </w:rPr>
        <w:t xml:space="preserve">By Q4 2026  </w:t>
      </w:r>
      <w:r>
        <w:rPr>
          <w:rFonts w:ascii="Arial" w:cs="Arial" w:eastAsia="Arial" w:hAnsi="Arial"/>
          <w:color w:val="1A1A1A"/>
          <w:sz w:val="18"/>
          <w:szCs w:val="18"/>
        </w:rPr>
        <w:t xml:space="preserve">The supervisory cohort is already named: the platform and wrap trustees identified in APRA's December 2024 thematic review, who hold the highest share of very large accounts and face the hardest attribution problem.</w:t>
      </w:r>
      <w:r>
        <w:rPr>
          <w:rFonts w:ascii="Arial" w:cs="Arial" w:eastAsia="Arial" w:hAnsi="Arial"/>
          <w:b/>
          <w:bCs/>
          <w:color w:val="0072CE"/>
          <w:sz w:val="13"/>
          <w:szCs w:val="13"/>
          <w:vertAlign w:val="superscript"/>
        </w:rPr>
        <w:t xml:space="preserve"> [I]</w:t>
      </w:r>
    </w:p>
    <w:p>
      <w:pPr>
        <w:pStyle w:val="ListParagraph"/>
        <w:numPr>
          <w:ilvl w:val="0"/>
          <w:numId w:val="2"/>
        </w:numPr>
        <w:spacing w:after="48" w:line="246"/>
      </w:pPr>
      <w:r>
        <w:rPr>
          <w:rFonts w:ascii="Arial" w:cs="Arial" w:eastAsia="Arial" w:hAnsi="Arial"/>
          <w:b/>
          <w:bCs/>
          <w:caps/>
          <w:color w:val="00B398"/>
          <w:sz w:val="15"/>
          <w:szCs w:val="15"/>
        </w:rPr>
        <w:t xml:space="preserve">Before 30 Jun 2027  </w:t>
      </w:r>
      <w:r>
        <w:rPr>
          <w:rFonts w:ascii="Arial" w:cs="Arial" w:eastAsia="Arial" w:hAnsi="Arial"/>
          <w:color w:val="1A1A1A"/>
          <w:sz w:val="18"/>
          <w:szCs w:val="18"/>
        </w:rPr>
        <w:t xml:space="preserve">Funds could be asked to model the 30 June 2027 measurement date — a stress SPG 530 already contemplates.</w:t>
      </w:r>
      <w:r>
        <w:rPr>
          <w:rFonts w:ascii="Arial" w:cs="Arial" w:eastAsia="Arial" w:hAnsi="Arial"/>
          <w:b/>
          <w:bCs/>
          <w:color w:val="0072CE"/>
          <w:sz w:val="13"/>
          <w:szCs w:val="13"/>
          <w:vertAlign w:val="superscript"/>
        </w:rPr>
        <w:t xml:space="preserve"> [I]</w:t>
      </w:r>
    </w:p>
    <w:p>
      <w:pPr>
        <w:pStyle w:val="ListParagraph"/>
        <w:numPr>
          <w:ilvl w:val="0"/>
          <w:numId w:val="2"/>
        </w:numPr>
        <w:spacing w:after="48" w:line="246"/>
      </w:pPr>
      <w:r>
        <w:rPr>
          <w:rFonts w:ascii="Arial" w:cs="Arial" w:eastAsia="Arial" w:hAnsi="Arial"/>
          <w:b/>
          <w:bCs/>
          <w:caps/>
          <w:color w:val="00B398"/>
          <w:sz w:val="15"/>
          <w:szCs w:val="15"/>
        </w:rPr>
        <w:t xml:space="preserve">2027  </w:t>
      </w:r>
      <w:r>
        <w:rPr>
          <w:rFonts w:ascii="Arial" w:cs="Arial" w:eastAsia="Arial" w:hAnsi="Arial"/>
          <w:color w:val="1A1A1A"/>
          <w:sz w:val="18"/>
          <w:szCs w:val="18"/>
        </w:rPr>
        <w:t xml:space="preserve">The data gap is fixable: extend the SRS 611.0 balance brackets above the thresholds, decompose SRS 551.0 outflows by driver, and agree an information-sharing route with the ATO for total superannuation balance.</w:t>
      </w:r>
      <w:r>
        <w:rPr>
          <w:rFonts w:ascii="Arial" w:cs="Arial" w:eastAsia="Arial" w:hAnsi="Arial"/>
          <w:b/>
          <w:bCs/>
          <w:color w:val="0072CE"/>
          <w:sz w:val="13"/>
          <w:szCs w:val="13"/>
          <w:vertAlign w:val="superscript"/>
        </w:rPr>
        <w:t xml:space="preserve"> [I]</w:t>
      </w:r>
    </w:p>
    <w:p>
      <w:pPr>
        <w:spacing w:after="60" w:before="0" w:line="264"/>
      </w:pPr>
      <w:r>
        <w:rPr>
          <w:rFonts w:ascii="Arial" w:cs="Arial" w:eastAsia="Arial" w:hAnsi="Arial"/>
          <w:color w:val="1A1A1A"/>
          <w:sz w:val="19"/>
          <w:szCs w:val="19"/>
        </w:rPr>
        <w:t xml:space="preserve"/>
      </w:r>
    </w:p>
    <w:tbl>
      <w:tblPr>
        <w:tblW w:type="dxa" w:w="990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906"/>
      </w:tblGrid>
      <w:tr>
        <w:tc>
          <w:tcPr>
            <w:tcW w:type="dxa" w:w="9906"/>
            <w:tcBorders>
              <w:top w:val="none" w:color="FFFFFF" w:sz="0"/>
              <w:left w:val="single" w:color="00B398" w:sz="18"/>
              <w:bottom w:val="none" w:color="FFFFFF" w:sz="0"/>
              <w:right w:val="none" w:color="FFFFFF" w:sz="0"/>
            </w:tcBorders>
            <w:shd w:fill="F4F9FC" w:color="auto" w:val="clear"/>
            <w:tcMar>
              <w:top w:type="dxa" w:w="90"/>
              <w:left w:type="dxa" w:w="150"/>
              <w:bottom w:type="dxa" w:w="90"/>
              <w:right w:type="dxa" w:w="150"/>
            </w:tcMar>
          </w:tcPr>
          <w:p>
            <w:pPr>
              <w:spacing w:after="0" w:line="240"/>
            </w:pPr>
            <w:r>
              <w:rPr>
                <w:rFonts w:ascii="Arial" w:cs="Arial" w:eastAsia="Arial" w:hAnsi="Arial"/>
                <w:b/>
                <w:bCs/>
                <w:color w:val="012169"/>
                <w:sz w:val="14"/>
                <w:szCs w:val="14"/>
              </w:rPr>
              <w:t xml:space="preserve">How to read the provenance marks.  </w:t>
            </w:r>
            <w:r>
              <w:rPr>
                <w:rFonts w:ascii="Arial" w:cs="Arial" w:eastAsia="Arial" w:hAnsi="Arial"/>
                <w:b/>
                <w:bCs/>
                <w:color w:val="00806D"/>
                <w:sz w:val="14"/>
                <w:szCs w:val="14"/>
              </w:rPr>
              <w:t xml:space="preserve">[S]</w:t>
            </w:r>
            <w:r>
              <w:rPr>
                <w:rFonts w:ascii="Arial" w:cs="Arial" w:eastAsia="Arial" w:hAnsi="Arial"/>
                <w:color w:val="52514E"/>
                <w:sz w:val="14"/>
                <w:szCs w:val="14"/>
              </w:rPr>
              <w:t xml:space="preserve"> Sourced — stated in a citable document.  </w:t>
            </w:r>
            <w:r>
              <w:rPr>
                <w:rFonts w:ascii="Arial" w:cs="Arial" w:eastAsia="Arial" w:hAnsi="Arial"/>
                <w:b/>
                <w:bCs/>
                <w:color w:val="0072CE"/>
                <w:sz w:val="14"/>
                <w:szCs w:val="14"/>
              </w:rPr>
              <w:t xml:space="preserve">[I]</w:t>
            </w:r>
            <w:r>
              <w:rPr>
                <w:rFonts w:ascii="Arial" w:cs="Arial" w:eastAsia="Arial" w:hAnsi="Arial"/>
                <w:color w:val="52514E"/>
                <w:sz w:val="14"/>
                <w:szCs w:val="14"/>
              </w:rPr>
              <w:t xml:space="preserve"> Inferred — reasoning from sourced facts.  </w:t>
            </w:r>
            <w:r>
              <w:rPr>
                <w:rFonts w:ascii="Arial" w:cs="Arial" w:eastAsia="Arial" w:hAnsi="Arial"/>
                <w:b/>
                <w:bCs/>
                <w:color w:val="E87722"/>
                <w:sz w:val="14"/>
                <w:szCs w:val="14"/>
              </w:rPr>
              <w:t xml:space="preserve">[C]</w:t>
            </w:r>
            <w:r>
              <w:rPr>
                <w:rFonts w:ascii="Arial" w:cs="Arial" w:eastAsia="Arial" w:hAnsi="Arial"/>
                <w:color w:val="52514E"/>
                <w:sz w:val="14"/>
                <w:szCs w:val="14"/>
              </w:rPr>
              <w:t xml:space="preserve"> Created — original analysis for this note, flagged deliberately.  Citations and reasoning chains are in Annex C.</w:t>
            </w:r>
          </w:p>
        </w:tc>
      </w:tr>
    </w:tbl>
    <w:p>
      <w:r>
        <w:br w:type="page"/>
      </w:r>
    </w:p>
    <w:p>
      <w:pPr>
        <w:spacing w:after="30"/>
      </w:pPr>
      <w:r>
        <w:rPr>
          <w:rFonts w:ascii="Arial" w:cs="Arial" w:eastAsia="Arial" w:hAnsi="Arial"/>
          <w:b/>
          <w:bCs/>
          <w:caps/>
          <w:color w:val="00B398"/>
          <w:sz w:val="20"/>
          <w:szCs w:val="20"/>
        </w:rPr>
        <w:t xml:space="preserve">Annex</w:t>
      </w:r>
    </w:p>
    <w:p>
      <w:pPr>
        <w:pBdr>
          <w:bottom w:val="single" w:color="00B398" w:sz="12" w:space="8"/>
        </w:pBdr>
        <w:spacing w:after="60" w:line="330"/>
      </w:pPr>
      <w:r>
        <w:rPr>
          <w:rFonts w:ascii="Arial" w:cs="Arial" w:eastAsia="Arial" w:hAnsi="Arial"/>
          <w:b/>
          <w:bCs/>
          <w:color w:val="012169"/>
          <w:sz w:val="30"/>
          <w:szCs w:val="30"/>
        </w:rPr>
        <w:t xml:space="preserve">Supporting detail, evidence and audit trail</w:t>
      </w:r>
    </w:p>
    <w:p>
      <w:pPr>
        <w:spacing w:after="160" w:before="0" w:line="264"/>
      </w:pPr>
      <w:r>
        <w:rPr>
          <w:rFonts w:ascii="Arial" w:cs="Arial" w:eastAsia="Arial" w:hAnsi="Arial"/>
          <w:color w:val="52514E"/>
          <w:sz w:val="17"/>
          <w:szCs w:val="17"/>
        </w:rPr>
        <w:t xml:space="preserve">Every claim in the three-page note traces back to this annex. Nothing is asserted without a provenance mark, and all sources are public.</w:t>
      </w:r>
    </w:p>
    <w:p>
      <w:pPr>
        <w:pBdr>
          <w:bottom w:val="single" w:color="0072CE" w:sz="6" w:space="4"/>
        </w:pBdr>
        <w:spacing w:after="100" w:before="0"/>
      </w:pPr>
      <w:r>
        <w:rPr>
          <w:rFonts w:ascii="Arial" w:cs="Arial" w:eastAsia="Arial" w:hAnsi="Arial"/>
          <w:b/>
          <w:bCs/>
          <w:color w:val="012169"/>
          <w:sz w:val="22"/>
          <w:szCs w:val="22"/>
        </w:rPr>
        <w:t xml:space="preserve">Where the obligations actually sit</w:t>
      </w:r>
    </w:p>
    <w:p>
      <w:pPr>
        <w:spacing w:after="120" w:before="0" w:line="264"/>
      </w:pPr>
      <w:r>
        <w:rPr>
          <w:rFonts w:ascii="Arial" w:cs="Arial" w:eastAsia="Arial" w:hAnsi="Arial"/>
          <w:color w:val="52514E"/>
          <w:sz w:val="17"/>
          <w:szCs w:val="17"/>
        </w:rPr>
        <w:t xml:space="preserve">A note on where to look, because the numbering misleads. Division 296 of the Income Tax Assessment Act 1997 does not itself place obligations on funds — its own Guide points to the Taxation Administration Act for the administration rules, and the term 'RSE licensee' does not appear in the Act at all. It uses 'superannuation provider'. The table below sets out where each part of the machinery actually sits.</w:t>
      </w:r>
    </w:p>
    <w:tbl>
      <w:tblPr>
        <w:tblW w:type="dxa" w:w="990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300"/>
        <w:gridCol w:w="4900"/>
        <w:gridCol w:w="1500"/>
        <w:gridCol w:w="1206"/>
      </w:tblGrid>
      <w:tr>
        <w:trPr>
          <w:tblHeader/>
        </w:trPr>
        <w:tc>
          <w:tcPr>
            <w:tcW w:type="dxa" w:w="2300"/>
            <w:tcBorders>
              <w:top w:val="single" w:color="0072CE" w:sz="8"/>
              <w:left w:val="none" w:color="FFFFFF" w:sz="0"/>
              <w:bottom w:val="single" w:color="D9D8D2" w:sz="3"/>
              <w:right w:val="none" w:color="FFFFFF" w:sz="0"/>
            </w:tcBorders>
            <w:shd w:fill="F4F9FC" w:color="auto" w:val="clear"/>
            <w:tcMar>
              <w:top w:type="dxa" w:w="70"/>
              <w:left w:type="dxa" w:w="100"/>
              <w:bottom w:type="dxa" w:w="70"/>
              <w:right w:type="dxa" w:w="100"/>
            </w:tcMar>
            <w:vAlign w:val="top"/>
          </w:tcPr>
          <w:p>
            <w:pPr>
              <w:spacing w:after="0" w:line="240"/>
            </w:pPr>
            <w:r>
              <w:rPr>
                <w:rFonts w:ascii="Arial" w:cs="Arial" w:eastAsia="Arial" w:hAnsi="Arial"/>
                <w:b/>
                <w:bCs/>
                <w:caps/>
                <w:color w:val="012169"/>
                <w:sz w:val="15"/>
                <w:szCs w:val="15"/>
              </w:rPr>
              <w:t xml:space="preserve">Provision</w:t>
            </w:r>
          </w:p>
        </w:tc>
        <w:tc>
          <w:tcPr>
            <w:tcW w:type="dxa" w:w="4900"/>
            <w:tcBorders>
              <w:top w:val="single" w:color="0072CE" w:sz="8"/>
              <w:left w:val="none" w:color="FFFFFF" w:sz="0"/>
              <w:bottom w:val="single" w:color="D9D8D2" w:sz="3"/>
              <w:right w:val="none" w:color="FFFFFF" w:sz="0"/>
            </w:tcBorders>
            <w:shd w:fill="F4F9FC" w:color="auto" w:val="clear"/>
            <w:tcMar>
              <w:top w:type="dxa" w:w="70"/>
              <w:left w:type="dxa" w:w="100"/>
              <w:bottom w:type="dxa" w:w="70"/>
              <w:right w:type="dxa" w:w="100"/>
            </w:tcMar>
            <w:vAlign w:val="top"/>
          </w:tcPr>
          <w:p>
            <w:pPr>
              <w:spacing w:after="0" w:line="240"/>
            </w:pPr>
            <w:r>
              <w:rPr>
                <w:rFonts w:ascii="Arial" w:cs="Arial" w:eastAsia="Arial" w:hAnsi="Arial"/>
                <w:b/>
                <w:bCs/>
                <w:caps/>
                <w:color w:val="012169"/>
                <w:sz w:val="15"/>
                <w:szCs w:val="15"/>
              </w:rPr>
              <w:t xml:space="preserve">What it does</w:t>
            </w:r>
          </w:p>
        </w:tc>
        <w:tc>
          <w:tcPr>
            <w:tcW w:type="dxa" w:w="1500"/>
            <w:tcBorders>
              <w:top w:val="single" w:color="0072CE" w:sz="8"/>
              <w:left w:val="none" w:color="FFFFFF" w:sz="0"/>
              <w:bottom w:val="single" w:color="D9D8D2" w:sz="3"/>
              <w:right w:val="none" w:color="FFFFFF" w:sz="0"/>
            </w:tcBorders>
            <w:shd w:fill="F4F9FC" w:color="auto" w:val="clear"/>
            <w:tcMar>
              <w:top w:type="dxa" w:w="70"/>
              <w:left w:type="dxa" w:w="100"/>
              <w:bottom w:type="dxa" w:w="70"/>
              <w:right w:type="dxa" w:w="100"/>
            </w:tcMar>
            <w:vAlign w:val="top"/>
          </w:tcPr>
          <w:p>
            <w:pPr>
              <w:spacing w:after="0" w:line="240"/>
            </w:pPr>
            <w:r>
              <w:rPr>
                <w:rFonts w:ascii="Arial" w:cs="Arial" w:eastAsia="Arial" w:hAnsi="Arial"/>
                <w:b/>
                <w:bCs/>
                <w:caps/>
                <w:color w:val="012169"/>
                <w:sz w:val="15"/>
                <w:szCs w:val="15"/>
              </w:rPr>
              <w:t xml:space="preserve">Heading</w:t>
            </w:r>
          </w:p>
        </w:tc>
        <w:tc>
          <w:tcPr>
            <w:tcW w:type="dxa" w:w="1206"/>
            <w:tcBorders>
              <w:top w:val="single" w:color="0072CE" w:sz="8"/>
              <w:left w:val="none" w:color="FFFFFF" w:sz="0"/>
              <w:bottom w:val="single" w:color="D9D8D2" w:sz="3"/>
              <w:right w:val="none" w:color="FFFFFF" w:sz="0"/>
            </w:tcBorders>
            <w:shd w:fill="F4F9FC" w:color="auto" w:val="clear"/>
            <w:tcMar>
              <w:top w:type="dxa" w:w="70"/>
              <w:left w:type="dxa" w:w="100"/>
              <w:bottom w:type="dxa" w:w="70"/>
              <w:right w:type="dxa" w:w="100"/>
            </w:tcMar>
            <w:vAlign w:val="top"/>
          </w:tcPr>
          <w:p>
            <w:pPr>
              <w:spacing w:after="0" w:line="240"/>
              <w:jc w:val="center"/>
            </w:pPr>
            <w:r>
              <w:rPr>
                <w:rFonts w:ascii="Arial" w:cs="Arial" w:eastAsia="Arial" w:hAnsi="Arial"/>
                <w:b/>
                <w:bCs/>
                <w:caps/>
                <w:color w:val="012169"/>
                <w:sz w:val="15"/>
                <w:szCs w:val="15"/>
              </w:rPr>
              <w:t xml:space="preserve">Obliges</w:t>
            </w:r>
          </w:p>
        </w:tc>
      </w:tr>
      <w:tr>
        <w:tc>
          <w:tcPr>
            <w:tcW w:type="dxa" w:w="2300"/>
            <w:tcBorders>
              <w:top w:val="single" w:color="D9D8D2" w:sz="3"/>
              <w:left w:val="none" w:color="FFFFFF" w:sz="0"/>
              <w:bottom w:val="single" w:color="D9D8D2" w:sz="3"/>
              <w:right w:val="none" w:color="FFFFFF" w:sz="0"/>
            </w:tcBorders>
            <w:tcMar>
              <w:top w:type="dxa" w:w="70"/>
              <w:left w:type="dxa" w:w="100"/>
              <w:bottom w:type="dxa" w:w="70"/>
              <w:right w:type="dxa" w:w="100"/>
            </w:tcMar>
            <w:vAlign w:val="top"/>
          </w:tcPr>
          <w:p>
            <w:pPr>
              <w:spacing w:after="0" w:line="250"/>
            </w:pPr>
            <w:r>
              <w:rPr>
                <w:rFonts w:ascii="Arial" w:cs="Arial" w:eastAsia="Arial" w:hAnsi="Arial"/>
                <w:b/>
                <w:bCs/>
                <w:color w:val="012169"/>
                <w:sz w:val="15"/>
                <w:szCs w:val="15"/>
              </w:rPr>
              <w:t xml:space="preserve">Subdivision 296-A (ITAA 1997)</w:t>
            </w:r>
          </w:p>
        </w:tc>
        <w:tc>
          <w:tcPr>
            <w:tcW w:type="dxa" w:w="4900"/>
            <w:tcBorders>
              <w:top w:val="single" w:color="D9D8D2" w:sz="3"/>
              <w:left w:val="none" w:color="FFFFFF" w:sz="0"/>
              <w:bottom w:val="single" w:color="D9D8D2" w:sz="3"/>
              <w:right w:val="none" w:color="FFFFFF" w:sz="0"/>
            </w:tcBorders>
            <w:tcMar>
              <w:top w:type="dxa" w:w="70"/>
              <w:left w:type="dxa" w:w="100"/>
              <w:bottom w:type="dxa" w:w="70"/>
              <w:right w:type="dxa" w:w="100"/>
            </w:tcMar>
            <w:vAlign w:val="top"/>
          </w:tcPr>
          <w:p>
            <w:pPr>
              <w:spacing w:after="0" w:line="250"/>
            </w:pPr>
            <w:r>
              <w:rPr>
                <w:rFonts w:ascii="Arial" w:cs="Arial" w:eastAsia="Arial" w:hAnsi="Arial"/>
                <w:color w:val="52514E"/>
                <w:sz w:val="14"/>
                <w:szCs w:val="14"/>
              </w:rPr>
              <w:t xml:space="preserve">A single objects clause, s 296-5, and nothing else. It imposes no obligation on the trustee, the member or the Commissioner. Its only legal work is interpretive — but that matters here, because it is the lens against which a trustee's 'fair and reasonable' attribution would be construed.</w:t>
            </w:r>
          </w:p>
        </w:tc>
        <w:tc>
          <w:tcPr>
            <w:tcW w:type="dxa" w:w="1500"/>
            <w:tcBorders>
              <w:top w:val="single" w:color="D9D8D2" w:sz="3"/>
              <w:left w:val="none" w:color="FFFFFF" w:sz="0"/>
              <w:bottom w:val="single" w:color="D9D8D2" w:sz="3"/>
              <w:right w:val="none" w:color="FFFFFF" w:sz="0"/>
            </w:tcBorders>
            <w:tcMar>
              <w:top w:type="dxa" w:w="70"/>
              <w:left w:type="dxa" w:w="100"/>
              <w:bottom w:type="dxa" w:w="70"/>
              <w:right w:type="dxa" w:w="100"/>
            </w:tcMar>
            <w:vAlign w:val="top"/>
          </w:tcPr>
          <w:p>
            <w:pPr>
              <w:spacing w:after="0" w:line="250"/>
            </w:pPr>
            <w:r>
              <w:rPr>
                <w:rFonts w:ascii="Arial" w:cs="Arial" w:eastAsia="Arial" w:hAnsi="Arial"/>
                <w:i/>
                <w:iCs/>
                <w:color w:val="52514E"/>
                <w:sz w:val="14"/>
                <w:szCs w:val="14"/>
              </w:rPr>
              <w:t xml:space="preserve">Object of this Division</w:t>
            </w:r>
          </w:p>
        </w:tc>
        <w:tc>
          <w:tcPr>
            <w:tcW w:type="dxa" w:w="1206"/>
            <w:tcBorders>
              <w:top w:val="single" w:color="D9D8D2" w:sz="3"/>
              <w:left w:val="none" w:color="FFFFFF" w:sz="0"/>
              <w:bottom w:val="single" w:color="D9D8D2" w:sz="3"/>
              <w:right w:val="none" w:color="FFFFFF" w:sz="0"/>
            </w:tcBorders>
            <w:tcMar>
              <w:top w:type="dxa" w:w="70"/>
              <w:left w:type="dxa" w:w="100"/>
              <w:bottom w:type="dxa" w:w="70"/>
              <w:right w:type="dxa" w:w="100"/>
            </w:tcMar>
            <w:vAlign w:val="top"/>
          </w:tcPr>
          <w:p>
            <w:pPr>
              <w:spacing w:after="0" w:line="250"/>
              <w:jc w:val="center"/>
            </w:pPr>
            <w:r>
              <w:rPr>
                <w:rFonts w:ascii="Arial" w:cs="Arial" w:eastAsia="Arial" w:hAnsi="Arial"/>
                <w:b/>
                <w:bCs/>
                <w:color w:val="898781"/>
                <w:sz w:val="14"/>
                <w:szCs w:val="14"/>
              </w:rPr>
              <w:t xml:space="preserve">No one</w:t>
            </w:r>
          </w:p>
        </w:tc>
      </w:tr>
      <w:tr>
        <w:tc>
          <w:tcPr>
            <w:tcW w:type="dxa" w:w="2300"/>
            <w:tcBorders>
              <w:top w:val="single" w:color="D9D8D2" w:sz="3"/>
              <w:left w:val="none" w:color="FFFFFF" w:sz="0"/>
              <w:bottom w:val="single" w:color="D9D8D2" w:sz="3"/>
              <w:right w:val="none" w:color="FFFFFF" w:sz="0"/>
            </w:tcBorders>
            <w:shd w:fill="EFEEE9" w:color="auto" w:val="clear"/>
            <w:tcMar>
              <w:top w:type="dxa" w:w="70"/>
              <w:left w:type="dxa" w:w="100"/>
              <w:bottom w:type="dxa" w:w="70"/>
              <w:right w:type="dxa" w:w="100"/>
            </w:tcMar>
            <w:vAlign w:val="top"/>
          </w:tcPr>
          <w:p>
            <w:pPr>
              <w:spacing w:after="0" w:line="250"/>
            </w:pPr>
            <w:r>
              <w:rPr>
                <w:rFonts w:ascii="Arial" w:cs="Arial" w:eastAsia="Arial" w:hAnsi="Arial"/>
                <w:b/>
                <w:bCs/>
                <w:color w:val="012169"/>
                <w:sz w:val="15"/>
                <w:szCs w:val="15"/>
              </w:rPr>
              <w:t xml:space="preserve">Subdivision 296-B (ITAA 1997)</w:t>
            </w:r>
          </w:p>
        </w:tc>
        <w:tc>
          <w:tcPr>
            <w:tcW w:type="dxa" w:w="4900"/>
            <w:tcBorders>
              <w:top w:val="single" w:color="D9D8D2" w:sz="3"/>
              <w:left w:val="none" w:color="FFFFFF" w:sz="0"/>
              <w:bottom w:val="single" w:color="D9D8D2" w:sz="3"/>
              <w:right w:val="none" w:color="FFFFFF" w:sz="0"/>
            </w:tcBorders>
            <w:shd w:fill="EFEEE9" w:color="auto" w:val="clear"/>
            <w:tcMar>
              <w:top w:type="dxa" w:w="70"/>
              <w:left w:type="dxa" w:w="100"/>
              <w:bottom w:type="dxa" w:w="70"/>
              <w:right w:type="dxa" w:w="100"/>
            </w:tcMar>
            <w:vAlign w:val="top"/>
          </w:tcPr>
          <w:p>
            <w:pPr>
              <w:spacing w:after="0" w:line="250"/>
            </w:pPr>
            <w:r>
              <w:rPr>
                <w:rFonts w:ascii="Arial" w:cs="Arial" w:eastAsia="Arial" w:hAnsi="Arial"/>
                <w:color w:val="52514E"/>
                <w:sz w:val="14"/>
                <w:szCs w:val="14"/>
              </w:rPr>
              <w:t xml:space="preserve">Where the tax actually bites: liability (s 296-15), both thresholds (ss 296-30, 296-35), taxable and total superannuation earnings, Division 296 fund earnings (s 296-60), and the separate treatment of defined benefit and other interests (s 296-70).</w:t>
            </w:r>
          </w:p>
        </w:tc>
        <w:tc>
          <w:tcPr>
            <w:tcW w:type="dxa" w:w="1500"/>
            <w:tcBorders>
              <w:top w:val="single" w:color="D9D8D2" w:sz="3"/>
              <w:left w:val="none" w:color="FFFFFF" w:sz="0"/>
              <w:bottom w:val="single" w:color="D9D8D2" w:sz="3"/>
              <w:right w:val="none" w:color="FFFFFF" w:sz="0"/>
            </w:tcBorders>
            <w:shd w:fill="EFEEE9" w:color="auto" w:val="clear"/>
            <w:tcMar>
              <w:top w:type="dxa" w:w="70"/>
              <w:left w:type="dxa" w:w="100"/>
              <w:bottom w:type="dxa" w:w="70"/>
              <w:right w:type="dxa" w:w="100"/>
            </w:tcMar>
            <w:vAlign w:val="top"/>
          </w:tcPr>
          <w:p>
            <w:pPr>
              <w:spacing w:after="0" w:line="250"/>
            </w:pPr>
            <w:r>
              <w:rPr>
                <w:rFonts w:ascii="Arial" w:cs="Arial" w:eastAsia="Arial" w:hAnsi="Arial"/>
                <w:i/>
                <w:iCs/>
                <w:color w:val="52514E"/>
                <w:sz w:val="14"/>
                <w:szCs w:val="14"/>
              </w:rPr>
              <w:t xml:space="preserve">Better targeted superannuation concessions</w:t>
            </w:r>
          </w:p>
        </w:tc>
        <w:tc>
          <w:tcPr>
            <w:tcW w:type="dxa" w:w="1206"/>
            <w:tcBorders>
              <w:top w:val="single" w:color="D9D8D2" w:sz="3"/>
              <w:left w:val="none" w:color="FFFFFF" w:sz="0"/>
              <w:bottom w:val="single" w:color="D9D8D2" w:sz="3"/>
              <w:right w:val="none" w:color="FFFFFF" w:sz="0"/>
            </w:tcBorders>
            <w:shd w:fill="EFEEE9" w:color="auto" w:val="clear"/>
            <w:tcMar>
              <w:top w:type="dxa" w:w="70"/>
              <w:left w:type="dxa" w:w="100"/>
              <w:bottom w:type="dxa" w:w="70"/>
              <w:right w:type="dxa" w:w="100"/>
            </w:tcMar>
            <w:vAlign w:val="top"/>
          </w:tcPr>
          <w:p>
            <w:pPr>
              <w:spacing w:after="0" w:line="250"/>
              <w:jc w:val="center"/>
            </w:pPr>
            <w:r>
              <w:rPr>
                <w:rFonts w:ascii="Arial" w:cs="Arial" w:eastAsia="Arial" w:hAnsi="Arial"/>
                <w:b/>
                <w:bCs/>
                <w:color w:val="0072CE"/>
                <w:sz w:val="14"/>
                <w:szCs w:val="14"/>
              </w:rPr>
              <w:t xml:space="preserve">The member</w:t>
            </w:r>
          </w:p>
        </w:tc>
      </w:tr>
      <w:tr>
        <w:tc>
          <w:tcPr>
            <w:tcW w:type="dxa" w:w="2300"/>
            <w:tcBorders>
              <w:top w:val="single" w:color="D9D8D2" w:sz="3"/>
              <w:left w:val="none" w:color="FFFFFF" w:sz="0"/>
              <w:bottom w:val="single" w:color="D9D8D2" w:sz="3"/>
              <w:right w:val="none" w:color="FFFFFF" w:sz="0"/>
            </w:tcBorders>
            <w:tcMar>
              <w:top w:type="dxa" w:w="70"/>
              <w:left w:type="dxa" w:w="100"/>
              <w:bottom w:type="dxa" w:w="70"/>
              <w:right w:type="dxa" w:w="100"/>
            </w:tcMar>
            <w:vAlign w:val="top"/>
          </w:tcPr>
          <w:p>
            <w:pPr>
              <w:spacing w:after="0" w:line="250"/>
            </w:pPr>
            <w:r>
              <w:rPr>
                <w:rFonts w:ascii="Arial" w:cs="Arial" w:eastAsia="Arial" w:hAnsi="Arial"/>
                <w:b/>
                <w:bCs/>
                <w:color w:val="012169"/>
                <w:sz w:val="15"/>
                <w:szCs w:val="15"/>
              </w:rPr>
              <w:t xml:space="preserve">s 134-140, Sch 1 TAA 1953</w:t>
            </w:r>
          </w:p>
        </w:tc>
        <w:tc>
          <w:tcPr>
            <w:tcW w:type="dxa" w:w="4900"/>
            <w:tcBorders>
              <w:top w:val="single" w:color="D9D8D2" w:sz="3"/>
              <w:left w:val="none" w:color="FFFFFF" w:sz="0"/>
              <w:bottom w:val="single" w:color="D9D8D2" w:sz="3"/>
              <w:right w:val="none" w:color="FFFFFF" w:sz="0"/>
            </w:tcBorders>
            <w:tcMar>
              <w:top w:type="dxa" w:w="70"/>
              <w:left w:type="dxa" w:w="100"/>
              <w:bottom w:type="dxa" w:w="70"/>
              <w:right w:type="dxa" w:w="100"/>
            </w:tcMar>
            <w:vAlign w:val="top"/>
          </w:tcPr>
          <w:p>
            <w:pPr>
              <w:spacing w:after="0" w:line="250"/>
            </w:pPr>
            <w:r>
              <w:rPr>
                <w:rFonts w:ascii="Arial" w:cs="Arial" w:eastAsia="Arial" w:hAnsi="Arial"/>
                <w:color w:val="52514E"/>
                <w:sz w:val="14"/>
                <w:szCs w:val="14"/>
              </w:rPr>
              <w:t xml:space="preserve">The clearest new duty on a fund. Where the Commissioner keeps a Division 296 debt account for an interest and the end benefit becomes payable, the provider must notify the Commissioner of the expected payment date within 14 days, in the approved form. The section carries an express note that a dissatisfied person may complain under the AFCA scheme.</w:t>
            </w:r>
          </w:p>
        </w:tc>
        <w:tc>
          <w:tcPr>
            <w:tcW w:type="dxa" w:w="1500"/>
            <w:tcBorders>
              <w:top w:val="single" w:color="D9D8D2" w:sz="3"/>
              <w:left w:val="none" w:color="FFFFFF" w:sz="0"/>
              <w:bottom w:val="single" w:color="D9D8D2" w:sz="3"/>
              <w:right w:val="none" w:color="FFFFFF" w:sz="0"/>
            </w:tcBorders>
            <w:tcMar>
              <w:top w:type="dxa" w:w="70"/>
              <w:left w:type="dxa" w:w="100"/>
              <w:bottom w:type="dxa" w:w="70"/>
              <w:right w:type="dxa" w:w="100"/>
            </w:tcMar>
            <w:vAlign w:val="top"/>
          </w:tcPr>
          <w:p>
            <w:pPr>
              <w:spacing w:after="0" w:line="250"/>
            </w:pPr>
            <w:r>
              <w:rPr>
                <w:rFonts w:ascii="Arial" w:cs="Arial" w:eastAsia="Arial" w:hAnsi="Arial"/>
                <w:i/>
                <w:iCs/>
                <w:color w:val="52514E"/>
                <w:sz w:val="14"/>
                <w:szCs w:val="14"/>
              </w:rPr>
              <w:t xml:space="preserve">Division 296 end benefit notice</w:t>
            </w:r>
          </w:p>
        </w:tc>
        <w:tc>
          <w:tcPr>
            <w:tcW w:type="dxa" w:w="1206"/>
            <w:tcBorders>
              <w:top w:val="single" w:color="D9D8D2" w:sz="3"/>
              <w:left w:val="none" w:color="FFFFFF" w:sz="0"/>
              <w:bottom w:val="single" w:color="D9D8D2" w:sz="3"/>
              <w:right w:val="none" w:color="FFFFFF" w:sz="0"/>
            </w:tcBorders>
            <w:tcMar>
              <w:top w:type="dxa" w:w="70"/>
              <w:left w:type="dxa" w:w="100"/>
              <w:bottom w:type="dxa" w:w="70"/>
              <w:right w:type="dxa" w:w="100"/>
            </w:tcMar>
            <w:vAlign w:val="top"/>
          </w:tcPr>
          <w:p>
            <w:pPr>
              <w:spacing w:after="0" w:line="250"/>
              <w:jc w:val="center"/>
            </w:pPr>
            <w:r>
              <w:rPr>
                <w:rFonts w:ascii="Arial" w:cs="Arial" w:eastAsia="Arial" w:hAnsi="Arial"/>
                <w:b/>
                <w:bCs/>
                <w:color w:val="890C58"/>
                <w:sz w:val="14"/>
                <w:szCs w:val="14"/>
              </w:rPr>
              <w:t xml:space="preserve">The fund</w:t>
            </w:r>
          </w:p>
        </w:tc>
      </w:tr>
      <w:tr>
        <w:tc>
          <w:tcPr>
            <w:tcW w:type="dxa" w:w="2300"/>
            <w:tcBorders>
              <w:top w:val="single" w:color="D9D8D2" w:sz="3"/>
              <w:left w:val="none" w:color="FFFFFF" w:sz="0"/>
              <w:bottom w:val="single" w:color="D9D8D2" w:sz="3"/>
              <w:right w:val="none" w:color="FFFFFF" w:sz="0"/>
            </w:tcBorders>
            <w:shd w:fill="EFEEE9" w:color="auto" w:val="clear"/>
            <w:tcMar>
              <w:top w:type="dxa" w:w="70"/>
              <w:left w:type="dxa" w:w="100"/>
              <w:bottom w:type="dxa" w:w="70"/>
              <w:right w:type="dxa" w:w="100"/>
            </w:tcMar>
            <w:vAlign w:val="top"/>
          </w:tcPr>
          <w:p>
            <w:pPr>
              <w:spacing w:after="0" w:line="250"/>
            </w:pPr>
            <w:r>
              <w:rPr>
                <w:rFonts w:ascii="Arial" w:cs="Arial" w:eastAsia="Arial" w:hAnsi="Arial"/>
                <w:b/>
                <w:bCs/>
                <w:color w:val="012169"/>
                <w:sz w:val="15"/>
                <w:szCs w:val="15"/>
              </w:rPr>
              <w:t xml:space="preserve">s 134-145, Sch 1 TAA 1953</w:t>
            </w:r>
          </w:p>
        </w:tc>
        <w:tc>
          <w:tcPr>
            <w:tcW w:type="dxa" w:w="4900"/>
            <w:tcBorders>
              <w:top w:val="single" w:color="D9D8D2" w:sz="3"/>
              <w:left w:val="none" w:color="FFFFFF" w:sz="0"/>
              <w:bottom w:val="single" w:color="D9D8D2" w:sz="3"/>
              <w:right w:val="none" w:color="FFFFFF" w:sz="0"/>
            </w:tcBorders>
            <w:shd w:fill="EFEEE9" w:color="auto" w:val="clear"/>
            <w:tcMar>
              <w:top w:type="dxa" w:w="70"/>
              <w:left w:type="dxa" w:w="100"/>
              <w:bottom w:type="dxa" w:w="70"/>
              <w:right w:type="dxa" w:w="100"/>
            </w:tcMar>
            <w:vAlign w:val="top"/>
          </w:tcPr>
          <w:p>
            <w:pPr>
              <w:spacing w:after="0" w:line="250"/>
            </w:pPr>
            <w:r>
              <w:rPr>
                <w:rFonts w:ascii="Arial" w:cs="Arial" w:eastAsia="Arial" w:hAnsi="Arial"/>
                <w:color w:val="52514E"/>
                <w:sz w:val="14"/>
                <w:szCs w:val="14"/>
              </w:rPr>
              <w:t xml:space="preserve">A material change or omission in a s 134-140 notice must be corrected within 7 days of the fund becoming aware of it.</w:t>
            </w:r>
          </w:p>
        </w:tc>
        <w:tc>
          <w:tcPr>
            <w:tcW w:type="dxa" w:w="1500"/>
            <w:tcBorders>
              <w:top w:val="single" w:color="D9D8D2" w:sz="3"/>
              <w:left w:val="none" w:color="FFFFFF" w:sz="0"/>
              <w:bottom w:val="single" w:color="D9D8D2" w:sz="3"/>
              <w:right w:val="none" w:color="FFFFFF" w:sz="0"/>
            </w:tcBorders>
            <w:shd w:fill="EFEEE9" w:color="auto" w:val="clear"/>
            <w:tcMar>
              <w:top w:type="dxa" w:w="70"/>
              <w:left w:type="dxa" w:w="100"/>
              <w:bottom w:type="dxa" w:w="70"/>
              <w:right w:type="dxa" w:w="100"/>
            </w:tcMar>
            <w:vAlign w:val="top"/>
          </w:tcPr>
          <w:p>
            <w:pPr>
              <w:spacing w:after="0" w:line="250"/>
            </w:pPr>
            <w:r>
              <w:rPr>
                <w:rFonts w:ascii="Arial" w:cs="Arial" w:eastAsia="Arial" w:hAnsi="Arial"/>
                <w:i/>
                <w:iCs/>
                <w:color w:val="52514E"/>
                <w:sz w:val="14"/>
                <w:szCs w:val="14"/>
              </w:rPr>
              <w:t xml:space="preserve">Material changes or omissions</w:t>
            </w:r>
          </w:p>
        </w:tc>
        <w:tc>
          <w:tcPr>
            <w:tcW w:type="dxa" w:w="1206"/>
            <w:tcBorders>
              <w:top w:val="single" w:color="D9D8D2" w:sz="3"/>
              <w:left w:val="none" w:color="FFFFFF" w:sz="0"/>
              <w:bottom w:val="single" w:color="D9D8D2" w:sz="3"/>
              <w:right w:val="none" w:color="FFFFFF" w:sz="0"/>
            </w:tcBorders>
            <w:shd w:fill="EFEEE9" w:color="auto" w:val="clear"/>
            <w:tcMar>
              <w:top w:type="dxa" w:w="70"/>
              <w:left w:type="dxa" w:w="100"/>
              <w:bottom w:type="dxa" w:w="70"/>
              <w:right w:type="dxa" w:w="100"/>
            </w:tcMar>
            <w:vAlign w:val="top"/>
          </w:tcPr>
          <w:p>
            <w:pPr>
              <w:spacing w:after="0" w:line="250"/>
              <w:jc w:val="center"/>
            </w:pPr>
            <w:r>
              <w:rPr>
                <w:rFonts w:ascii="Arial" w:cs="Arial" w:eastAsia="Arial" w:hAnsi="Arial"/>
                <w:b/>
                <w:bCs/>
                <w:color w:val="890C58"/>
                <w:sz w:val="14"/>
                <w:szCs w:val="14"/>
              </w:rPr>
              <w:t xml:space="preserve">The fund</w:t>
            </w:r>
          </w:p>
        </w:tc>
      </w:tr>
      <w:tr>
        <w:tc>
          <w:tcPr>
            <w:tcW w:type="dxa" w:w="2300"/>
            <w:tcBorders>
              <w:top w:val="single" w:color="D9D8D2" w:sz="3"/>
              <w:left w:val="none" w:color="FFFFFF" w:sz="0"/>
              <w:bottom w:val="single" w:color="D9D8D2" w:sz="3"/>
              <w:right w:val="none" w:color="FFFFFF" w:sz="0"/>
            </w:tcBorders>
            <w:tcMar>
              <w:top w:type="dxa" w:w="70"/>
              <w:left w:type="dxa" w:w="100"/>
              <w:bottom w:type="dxa" w:w="70"/>
              <w:right w:type="dxa" w:w="100"/>
            </w:tcMar>
            <w:vAlign w:val="top"/>
          </w:tcPr>
          <w:p>
            <w:pPr>
              <w:spacing w:after="0" w:line="250"/>
            </w:pPr>
            <w:r>
              <w:rPr>
                <w:rFonts w:ascii="Arial" w:cs="Arial" w:eastAsia="Arial" w:hAnsi="Arial"/>
                <w:b/>
                <w:bCs/>
                <w:color w:val="012169"/>
                <w:sz w:val="15"/>
                <w:szCs w:val="15"/>
              </w:rPr>
              <w:t xml:space="preserve">Division 131, Sch 1 TAA 1953</w:t>
            </w:r>
          </w:p>
        </w:tc>
        <w:tc>
          <w:tcPr>
            <w:tcW w:type="dxa" w:w="4900"/>
            <w:tcBorders>
              <w:top w:val="single" w:color="D9D8D2" w:sz="3"/>
              <w:left w:val="none" w:color="FFFFFF" w:sz="0"/>
              <w:bottom w:val="single" w:color="D9D8D2" w:sz="3"/>
              <w:right w:val="none" w:color="FFFFFF" w:sz="0"/>
            </w:tcBorders>
            <w:tcMar>
              <w:top w:type="dxa" w:w="70"/>
              <w:left w:type="dxa" w:w="100"/>
              <w:bottom w:type="dxa" w:w="70"/>
              <w:right w:type="dxa" w:w="100"/>
            </w:tcMar>
            <w:vAlign w:val="top"/>
          </w:tcPr>
          <w:p>
            <w:pPr>
              <w:spacing w:after="0" w:line="250"/>
            </w:pPr>
            <w:r>
              <w:rPr>
                <w:rFonts w:ascii="Arial" w:cs="Arial" w:eastAsia="Arial" w:hAnsi="Arial"/>
                <w:color w:val="52514E"/>
                <w:sz w:val="14"/>
                <w:szCs w:val="14"/>
              </w:rPr>
              <w:t xml:space="preserve">Extends the existing release authority machinery to Division 296, so a member can direct that the liability be paid from their superannuation.</w:t>
            </w:r>
          </w:p>
        </w:tc>
        <w:tc>
          <w:tcPr>
            <w:tcW w:type="dxa" w:w="1500"/>
            <w:tcBorders>
              <w:top w:val="single" w:color="D9D8D2" w:sz="3"/>
              <w:left w:val="none" w:color="FFFFFF" w:sz="0"/>
              <w:bottom w:val="single" w:color="D9D8D2" w:sz="3"/>
              <w:right w:val="none" w:color="FFFFFF" w:sz="0"/>
            </w:tcBorders>
            <w:tcMar>
              <w:top w:type="dxa" w:w="70"/>
              <w:left w:type="dxa" w:w="100"/>
              <w:bottom w:type="dxa" w:w="70"/>
              <w:right w:type="dxa" w:w="100"/>
            </w:tcMar>
            <w:vAlign w:val="top"/>
          </w:tcPr>
          <w:p>
            <w:pPr>
              <w:spacing w:after="0" w:line="250"/>
            </w:pPr>
            <w:r>
              <w:rPr>
                <w:rFonts w:ascii="Arial" w:cs="Arial" w:eastAsia="Arial" w:hAnsi="Arial"/>
                <w:i/>
                <w:iCs/>
                <w:color w:val="52514E"/>
                <w:sz w:val="14"/>
                <w:szCs w:val="14"/>
              </w:rPr>
              <w:t xml:space="preserve">Release authorities</w:t>
            </w:r>
          </w:p>
        </w:tc>
        <w:tc>
          <w:tcPr>
            <w:tcW w:type="dxa" w:w="1206"/>
            <w:tcBorders>
              <w:top w:val="single" w:color="D9D8D2" w:sz="3"/>
              <w:left w:val="none" w:color="FFFFFF" w:sz="0"/>
              <w:bottom w:val="single" w:color="D9D8D2" w:sz="3"/>
              <w:right w:val="none" w:color="FFFFFF" w:sz="0"/>
            </w:tcBorders>
            <w:tcMar>
              <w:top w:type="dxa" w:w="70"/>
              <w:left w:type="dxa" w:w="100"/>
              <w:bottom w:type="dxa" w:w="70"/>
              <w:right w:type="dxa" w:w="100"/>
            </w:tcMar>
            <w:vAlign w:val="top"/>
          </w:tcPr>
          <w:p>
            <w:pPr>
              <w:spacing w:after="0" w:line="250"/>
              <w:jc w:val="center"/>
            </w:pPr>
            <w:r>
              <w:rPr>
                <w:rFonts w:ascii="Arial" w:cs="Arial" w:eastAsia="Arial" w:hAnsi="Arial"/>
                <w:b/>
                <w:bCs/>
                <w:color w:val="890C58"/>
                <w:sz w:val="14"/>
                <w:szCs w:val="14"/>
              </w:rPr>
              <w:t xml:space="preserve">The fund</w:t>
            </w:r>
          </w:p>
        </w:tc>
      </w:tr>
      <w:tr>
        <w:tc>
          <w:tcPr>
            <w:tcW w:type="dxa" w:w="2300"/>
            <w:tcBorders>
              <w:top w:val="single" w:color="D9D8D2" w:sz="3"/>
              <w:left w:val="none" w:color="FFFFFF" w:sz="0"/>
              <w:bottom w:val="single" w:color="D9D8D2" w:sz="3"/>
              <w:right w:val="none" w:color="FFFFFF" w:sz="0"/>
            </w:tcBorders>
            <w:shd w:fill="EFEEE9" w:color="auto" w:val="clear"/>
            <w:tcMar>
              <w:top w:type="dxa" w:w="70"/>
              <w:left w:type="dxa" w:w="100"/>
              <w:bottom w:type="dxa" w:w="70"/>
              <w:right w:type="dxa" w:w="100"/>
            </w:tcMar>
            <w:vAlign w:val="top"/>
          </w:tcPr>
          <w:p>
            <w:pPr>
              <w:spacing w:after="0" w:line="250"/>
            </w:pPr>
            <w:r>
              <w:rPr>
                <w:rFonts w:ascii="Arial" w:cs="Arial" w:eastAsia="Arial" w:hAnsi="Arial"/>
                <w:b/>
                <w:bCs/>
                <w:color w:val="012169"/>
                <w:sz w:val="15"/>
                <w:szCs w:val="15"/>
              </w:rPr>
              <w:t xml:space="preserve">Regulations F2026L00726</w:t>
            </w:r>
          </w:p>
        </w:tc>
        <w:tc>
          <w:tcPr>
            <w:tcW w:type="dxa" w:w="4900"/>
            <w:tcBorders>
              <w:top w:val="single" w:color="D9D8D2" w:sz="3"/>
              <w:left w:val="none" w:color="FFFFFF" w:sz="0"/>
              <w:bottom w:val="single" w:color="D9D8D2" w:sz="3"/>
              <w:right w:val="none" w:color="FFFFFF" w:sz="0"/>
            </w:tcBorders>
            <w:shd w:fill="EFEEE9" w:color="auto" w:val="clear"/>
            <w:tcMar>
              <w:top w:type="dxa" w:w="70"/>
              <w:left w:type="dxa" w:w="100"/>
              <w:bottom w:type="dxa" w:w="70"/>
              <w:right w:type="dxa" w:w="100"/>
            </w:tcMar>
            <w:vAlign w:val="top"/>
          </w:tcPr>
          <w:p>
            <w:pPr>
              <w:spacing w:after="0" w:line="250"/>
            </w:pPr>
            <w:r>
              <w:rPr>
                <w:rFonts w:ascii="Arial" w:cs="Arial" w:eastAsia="Arial" w:hAnsi="Arial"/>
                <w:color w:val="52514E"/>
                <w:sz w:val="14"/>
                <w:szCs w:val="14"/>
              </w:rPr>
              <w:t xml:space="preserve">The 'fair and reasonable' attribution standard for funds with more than six members, and the prescribed formula plus actuarial certificate for funds with six or fewer. Made 11 June 2026, registered 18 June 2026 — twelve days before the first measurement year began.</w:t>
            </w:r>
          </w:p>
        </w:tc>
        <w:tc>
          <w:tcPr>
            <w:tcW w:type="dxa" w:w="1500"/>
            <w:tcBorders>
              <w:top w:val="single" w:color="D9D8D2" w:sz="3"/>
              <w:left w:val="none" w:color="FFFFFF" w:sz="0"/>
              <w:bottom w:val="single" w:color="D9D8D2" w:sz="3"/>
              <w:right w:val="none" w:color="FFFFFF" w:sz="0"/>
            </w:tcBorders>
            <w:shd w:fill="EFEEE9" w:color="auto" w:val="clear"/>
            <w:tcMar>
              <w:top w:type="dxa" w:w="70"/>
              <w:left w:type="dxa" w:w="100"/>
              <w:bottom w:type="dxa" w:w="70"/>
              <w:right w:type="dxa" w:w="100"/>
            </w:tcMar>
            <w:vAlign w:val="top"/>
          </w:tcPr>
          <w:p>
            <w:pPr>
              <w:spacing w:after="0" w:line="250"/>
            </w:pPr>
            <w:r>
              <w:rPr>
                <w:rFonts w:ascii="Arial" w:cs="Arial" w:eastAsia="Arial" w:hAnsi="Arial"/>
                <w:i/>
                <w:iCs/>
                <w:color w:val="52514E"/>
                <w:sz w:val="14"/>
                <w:szCs w:val="14"/>
              </w:rPr>
              <w:t xml:space="preserve">Attribution method</w:t>
            </w:r>
          </w:p>
        </w:tc>
        <w:tc>
          <w:tcPr>
            <w:tcW w:type="dxa" w:w="1206"/>
            <w:tcBorders>
              <w:top w:val="single" w:color="D9D8D2" w:sz="3"/>
              <w:left w:val="none" w:color="FFFFFF" w:sz="0"/>
              <w:bottom w:val="single" w:color="D9D8D2" w:sz="3"/>
              <w:right w:val="none" w:color="FFFFFF" w:sz="0"/>
            </w:tcBorders>
            <w:shd w:fill="EFEEE9" w:color="auto" w:val="clear"/>
            <w:tcMar>
              <w:top w:type="dxa" w:w="70"/>
              <w:left w:type="dxa" w:w="100"/>
              <w:bottom w:type="dxa" w:w="70"/>
              <w:right w:type="dxa" w:w="100"/>
            </w:tcMar>
            <w:vAlign w:val="top"/>
          </w:tcPr>
          <w:p>
            <w:pPr>
              <w:spacing w:after="0" w:line="250"/>
              <w:jc w:val="center"/>
            </w:pPr>
            <w:r>
              <w:rPr>
                <w:rFonts w:ascii="Arial" w:cs="Arial" w:eastAsia="Arial" w:hAnsi="Arial"/>
                <w:b/>
                <w:bCs/>
                <w:color w:val="890C58"/>
                <w:sz w:val="14"/>
                <w:szCs w:val="14"/>
              </w:rPr>
              <w:t xml:space="preserve">The fund</w:t>
            </w:r>
          </w:p>
        </w:tc>
      </w:tr>
    </w:tbl>
    <w:p>
      <w:pPr>
        <w:spacing w:after="200" w:before="0" w:line="264"/>
      </w:pPr>
      <w:r>
        <w:rPr>
          <w:rFonts w:ascii="Arial" w:cs="Arial" w:eastAsia="Arial" w:hAnsi="Arial"/>
          <w:color w:val="1A1A1A"/>
          <w:sz w:val="19"/>
          <w:szCs w:val="19"/>
        </w:rPr>
        <w:t xml:space="preserve"/>
      </w:r>
    </w:p>
    <w:p>
      <w:pPr>
        <w:spacing w:after="40" w:before="90"/>
        <w:jc w:val="center"/>
      </w:pPr>
      <w:r>
        <w:drawing>
          <wp:inline distT="0" distB="0" distL="0" distR="0">
            <wp:extent cx="6143625" cy="12096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6143625" cy="1209675"/>
                    </a:xfrm>
                    <a:prstGeom prst="rect">
                      <a:avLst/>
                    </a:prstGeom>
                  </pic:spPr>
                </pic:pic>
              </a:graphicData>
            </a:graphic>
          </wp:inline>
        </w:drawing>
      </w:r>
    </w:p>
    <w:p>
      <w:pPr>
        <w:spacing w:after="120"/>
        <w:jc w:val="center"/>
      </w:pPr>
      <w:r>
        <w:rPr>
          <w:rFonts w:ascii="Arial" w:cs="Arial" w:eastAsia="Arial" w:hAnsi="Arial"/>
          <w:i/>
          <w:iCs/>
          <w:color w:val="898781"/>
          <w:sz w:val="13"/>
          <w:szCs w:val="13"/>
        </w:rPr>
        <w:t xml:space="preserve">Figure A1 — Where the affected population actually sits. Most of it is outside the prudential perimeter.</w:t>
      </w:r>
    </w:p>
    <w:p>
      <w:pPr>
        <w:spacing w:after="60" w:before="160"/>
      </w:pPr>
      <w:r>
        <w:rPr>
          <w:rFonts w:ascii="Arial" w:cs="Arial" w:eastAsia="Arial" w:hAnsi="Arial"/>
          <w:b/>
          <w:bCs/>
          <w:color w:val="0072CE"/>
          <w:sz w:val="19"/>
          <w:szCs w:val="19"/>
        </w:rPr>
        <w:t xml:space="preserve">How much of this is ours to fix</w:t>
      </w:r>
    </w:p>
    <w:p>
      <w:pPr>
        <w:spacing w:after="40" w:before="90"/>
        <w:jc w:val="center"/>
      </w:pPr>
      <w:r>
        <w:drawing>
          <wp:inline distT="0" distB="0" distL="0" distR="0">
            <wp:extent cx="3143250" cy="2133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3143250" cy="2133600"/>
                    </a:xfrm>
                    <a:prstGeom prst="rect">
                      <a:avLst/>
                    </a:prstGeom>
                  </pic:spPr>
                </pic:pic>
              </a:graphicData>
            </a:graphic>
          </wp:inline>
        </w:drawing>
      </w:r>
    </w:p>
    <w:p>
      <w:pPr>
        <w:spacing w:after="120"/>
        <w:jc w:val="center"/>
      </w:pPr>
      <w:r>
        <w:rPr>
          <w:rFonts w:ascii="Arial" w:cs="Arial" w:eastAsia="Arial" w:hAnsi="Arial"/>
          <w:i/>
          <w:iCs/>
          <w:color w:val="898781"/>
          <w:sz w:val="13"/>
          <w:szCs w:val="13"/>
        </w:rPr>
        <w:t xml:space="preserve">Figure A2 — How much of the register APRA can act on directly.</w:t>
      </w:r>
    </w:p>
    <w:p>
      <w:pPr>
        <w:pBdr>
          <w:bottom w:val="single" w:color="0072CE" w:sz="6" w:space="4"/>
        </w:pBdr>
        <w:spacing w:after="100" w:before="0"/>
      </w:pPr>
      <w:r>
        <w:rPr>
          <w:rFonts w:ascii="Arial" w:cs="Arial" w:eastAsia="Arial" w:hAnsi="Arial"/>
          <w:b/>
          <w:bCs/>
          <w:color w:val="012169"/>
          <w:sz w:val="22"/>
          <w:szCs w:val="22"/>
        </w:rPr>
        <w:t xml:space="preserve">Annex A — Full prudential issue register</w:t>
      </w:r>
    </w:p>
    <w:p>
      <w:pPr>
        <w:spacing w:after="60" w:before="200" w:line="264"/>
      </w:pPr>
      <w:r>
        <w:rPr>
          <w:rFonts w:ascii="Arial" w:cs="Arial" w:eastAsia="Arial" w:hAnsi="Arial"/>
          <w:b/>
          <w:bCs/>
          <w:color w:val="012169"/>
          <w:sz w:val="19"/>
          <w:szCs w:val="19"/>
        </w:rPr>
        <w:t xml:space="preserve">P1. </w:t>
      </w:r>
      <w:r>
        <w:rPr>
          <w:rFonts w:ascii="Arial" w:cs="Arial" w:eastAsia="Arial" w:hAnsi="Arial"/>
          <w:b/>
          <w:bCs/>
          <w:color w:val="012169"/>
          <w:sz w:val="19"/>
          <w:szCs w:val="19"/>
        </w:rPr>
        <w:t xml:space="preserve">One administrator's calculation engine will serve many funds at once, and APRA already holds the register that maps it</w:t>
      </w:r>
      <w:r>
        <w:rPr>
          <w:rFonts w:ascii="Arial" w:cs="Arial" w:eastAsia="Arial" w:hAnsi="Arial"/>
          <w:b/>
          <w:bCs/>
          <w:color w:val="890C58"/>
          <w:sz w:val="15"/>
          <w:szCs w:val="15"/>
        </w:rPr>
        <w:t xml:space="preserve">   GRADE A</w:t>
      </w:r>
    </w:p>
    <w:p>
      <w:pPr>
        <w:spacing w:after="60" w:before="0" w:line="264"/>
      </w:pPr>
      <w:r>
        <w:rPr>
          <w:rFonts w:ascii="Arial" w:cs="Arial" w:eastAsia="Arial" w:hAnsi="Arial"/>
          <w:b/>
          <w:bCs/>
          <w:color w:val="00B398"/>
          <w:sz w:val="17"/>
          <w:szCs w:val="17"/>
        </w:rPr>
        <w:t xml:space="preserve">In plain terms.  </w:t>
      </w:r>
      <w:r>
        <w:rPr>
          <w:rFonts w:ascii="Arial" w:cs="Arial" w:eastAsia="Arial" w:hAnsi="Arial"/>
          <w:color w:val="1A1A1A"/>
          <w:sz w:val="17"/>
          <w:szCs w:val="17"/>
        </w:rPr>
        <w:t xml:space="preserve">About fifty licensed super trustees must now work out, for each member with a very large balance, how much of the fund's investment income belongs to that member, report it to the Tax Office, and pay money out when the Tax Office demands it. They will not build fifty separate systems to do this. A small number of shared administration providers, custodians and external tax agents will build it once and run it for many funds. That is efficient, but it means one flawed build, or one provider that is late, is not one fund's problem - it is the same problem in every client fund, in the same few weeks, in the first year. It also means dozens of boards will in practice adopt a supplier's judgement about how to split income between members and call it their own. APRA does not need new data to see this: it already required every trustee to lodge a register of its material service providers by 1 October 2025, for exactly the purpose of spotting concentrations like this one.</w:t>
      </w:r>
    </w:p>
    <w:p>
      <w:pPr>
        <w:spacing w:after="60" w:before="0" w:line="264"/>
      </w:pPr>
      <w:r>
        <w:rPr>
          <w:rFonts w:ascii="Arial" w:cs="Arial" w:eastAsia="Arial" w:hAnsi="Arial"/>
          <w:b/>
          <w:bCs/>
          <w:color w:val="00B398"/>
          <w:sz w:val="17"/>
          <w:szCs w:val="17"/>
        </w:rPr>
        <w:t xml:space="preserve">Why it matters.  </w:t>
      </w:r>
      <w:r>
        <w:rPr>
          <w:rFonts w:ascii="Arial" w:cs="Arial" w:eastAsia="Arial" w:hAnsi="Arial"/>
          <w:color w:val="1A1A1A"/>
          <w:sz w:val="17"/>
          <w:szCs w:val="17"/>
        </w:rPr>
        <w:t xml:space="preserve">This is the single largest operational-resilience feature of the measure and it is the one that turns an ordinary implementation risk into a correlated, industry-wide one. It also cuts against the assumption that a board-approved methodology means an independently formed methodology. The offsetting point is genuinely positive for a CEO conversation: APRA is not blind here. It holds the dataset that maps which licensees share which administrator, so it can size this exposure at essentially zero collection cost and target engagement at the providers rather than one licensee at a time.</w:t>
      </w:r>
    </w:p>
    <w:p>
      <w:pPr>
        <w:spacing w:after="60" w:before="0" w:line="264"/>
      </w:pPr>
      <w:r>
        <w:rPr>
          <w:rFonts w:ascii="Arial" w:cs="Arial" w:eastAsia="Arial" w:hAnsi="Arial"/>
          <w:b/>
          <w:bCs/>
          <w:color w:val="00B398"/>
          <w:sz w:val="17"/>
          <w:szCs w:val="17"/>
        </w:rPr>
        <w:t xml:space="preserve">Who bears it.  </w:t>
      </w:r>
      <w:r>
        <w:rPr>
          <w:rFonts w:ascii="Arial" w:cs="Arial" w:eastAsia="Arial" w:hAnsi="Arial"/>
          <w:color w:val="1A1A1A"/>
          <w:sz w:val="17"/>
          <w:szCs w:val="17"/>
        </w:rPr>
        <w:t xml:space="preserve">Every RSE licensee sharing a common administrator; concentrated first in platform, wrap and mid-sized licensees that outsource most of the administration stack. Members bear it through simultaneous mis-reporting across multiple funds.</w:t>
      </w:r>
    </w:p>
    <w:p>
      <w:pPr>
        <w:spacing w:after="60" w:before="0" w:line="264"/>
      </w:pPr>
      <w:r>
        <w:rPr>
          <w:rFonts w:ascii="Arial" w:cs="Arial" w:eastAsia="Arial" w:hAnsi="Arial"/>
          <w:b/>
          <w:bCs/>
          <w:color w:val="00B398"/>
          <w:sz w:val="17"/>
          <w:szCs w:val="17"/>
        </w:rPr>
        <w:t xml:space="preserve">Recommended APRA position.  </w:t>
      </w:r>
      <w:r>
        <w:rPr>
          <w:rFonts w:ascii="Arial" w:cs="Arial" w:eastAsia="Arial" w:hAnsi="Arial"/>
          <w:color w:val="1A1A1A"/>
          <w:sz w:val="17"/>
          <w:szCs w:val="17"/>
        </w:rPr>
        <w:t xml:space="preserve">Use the material service provider registers already held to map, before the December 2026 quarter, which administrators, custodians and tax agents will deliver the Division 296 calculation, attribution, lodgement and release-authority function, and how many licensees sit behind each. Then engage provider by provider rather than licensee by licensee. Ask exposed licensees three questions: (a) is the Division 296 function inside the material service provider arrangement, with defined service levels tied to the Tax Office's response windows; (b) where the provider supplies the attribution method, what independent review did the board obtain before adopting it as its own; (c) what happens if the provider cannot deliver by the measurement date, and is that scenario in the tolerance levels and business continuity testing. Consider stating in guidance that the trustee's accountability for a 'fair and reasonable' attribution is non-delegable even where the calculation is performed by a supplier.</w:t>
      </w:r>
      <w:r>
        <w:rPr>
          <w:rFonts w:ascii="Arial" w:cs="Arial" w:eastAsia="Arial" w:hAnsi="Arial"/>
          <w:b/>
          <w:bCs/>
          <w:color w:val="0072CE"/>
          <w:sz w:val="13"/>
          <w:szCs w:val="13"/>
          <w:vertAlign w:val="superscript"/>
        </w:rPr>
        <w:t xml:space="preserve"> [I]</w:t>
      </w:r>
    </w:p>
    <w:p>
      <w:pPr>
        <w:spacing w:after="40" w:before="0" w:line="264"/>
      </w:pPr>
      <w:r>
        <w:rPr>
          <w:rFonts w:ascii="Arial" w:cs="Arial" w:eastAsia="Arial" w:hAnsi="Arial"/>
          <w:b/>
          <w:bCs/>
          <w:color w:val="898781"/>
          <w:sz w:val="15"/>
          <w:szCs w:val="15"/>
        </w:rPr>
        <w:t xml:space="preserve">Scoring.  </w:t>
      </w:r>
      <w:r>
        <w:rPr>
          <w:rFonts w:ascii="Arial" w:cs="Arial" w:eastAsia="Arial" w:hAnsi="Arial"/>
          <w:color w:val="898781"/>
          <w:sz w:val="15"/>
          <w:szCs w:val="15"/>
        </w:rPr>
        <w:t xml:space="preserve">Materiality 4/5 · Likelihood 3/5 · APRA proximity 5/5 · Action: supervisory-practice</w:t>
      </w:r>
    </w:p>
    <w:p>
      <w:pPr>
        <w:spacing w:after="40" w:before="0" w:line="264"/>
      </w:pPr>
      <w:r>
        <w:rPr>
          <w:rFonts w:ascii="Arial" w:cs="Arial" w:eastAsia="Arial" w:hAnsi="Arial"/>
          <w:b/>
          <w:bCs/>
          <w:color w:val="898781"/>
          <w:sz w:val="15"/>
          <w:szCs w:val="15"/>
        </w:rPr>
        <w:t xml:space="preserve">Instruments.  </w:t>
      </w:r>
      <w:r>
        <w:rPr>
          <w:rFonts w:ascii="Arial" w:cs="Arial" w:eastAsia="Arial" w:hAnsi="Arial"/>
          <w:color w:val="898781"/>
          <w:sz w:val="15"/>
          <w:szCs w:val="15"/>
        </w:rPr>
        <w:t xml:space="preserve">CPS 230 Operational Risk Management, service provider management limb (Part 4, paras 48-60) - note this limb replaced SPS 231 Outsourcing from 1 July 2025; CPS 230 paras 24, 35, 36(c), 38, 44 (critical operations, tolerance levels, business continuity testing); APRA material service provider register (template issued 2025; completed registers required from superannuation trustees by 1 October 2025); Targeted amendments to CPS 230 finalised 30 April 2026; SPS 220 Risk Management paras 15, 18, 32</w:t>
      </w:r>
    </w:p>
    <w:p>
      <w:pPr>
        <w:spacing w:after="60" w:before="0" w:line="264"/>
      </w:pPr>
      <w:r>
        <w:rPr>
          <w:rFonts w:ascii="Arial" w:cs="Arial" w:eastAsia="Arial" w:hAnsi="Arial"/>
          <w:b/>
          <w:bCs/>
          <w:color w:val="898781"/>
          <w:sz w:val="15"/>
          <w:szCs w:val="15"/>
        </w:rPr>
        <w:t xml:space="preserve">Evidence.  </w:t>
      </w:r>
      <w:r>
        <w:rPr>
          <w:rFonts w:ascii="Arial" w:cs="Arial" w:eastAsia="Arial" w:hAnsi="Arial"/>
          <w:color w:val="898781"/>
          <w:sz w:val="14"/>
          <w:szCs w:val="14"/>
        </w:rPr>
        <w:t xml:space="preserve">GRADING RULE APPLIED TO THIS REGISTER (state on the page): Grade A where apra_proximity &gt;= 4 AND materiality &gt;= 4 AND likelihood &gt;= 3. Grade B where the A test fails but materiality + likelihood + apra_proximity &gt;= 9. Grade C where the sum is 8 or less. Applied mechanically; no overrides used. Likelihood throughout is scored as the probability that the named ADVERSE CONSEQUENCE crystallises in the named window, not the probability that a present-tense fact is true.  ·  LIKELIHOOD PROPOSITION: P(a defect, delay or methodology weakness originating in one shared provider produces a correlated, multi-fund Division 296 reporting or attribution failure in the FY2027-28 reporting window) = 3.  ·  SOURCED: APRA required a completed material service provider register from all superannuation trustees by 1 October 2025, stating the purpose is to 'help APRA identify concentration risks across the financial services sector' - https://www.apra.gov.au/news-and-publications/apra-releases-material-service-provider-register-template  ·  SOURCED: CPS 230 para 36 - an entity 'must, at a minimum, classify the following business operations as critical operations, unless it can justify otherwise: ... (c) for an RSE licensee: investment management and fund administration' - https://www.apra.gov.au/system/files/2023-07/Prudential%20Standard%20CPS%20230%20Operational%20Risk%20Management%20-%20clean.pdf  ·  SOURCED: CPS 230 para 24 (NOT para 23, which is senior management's duty to inform the Board) - 'An APRA-regulated entity must manage its full range of operational risks, including but not limited to legal risk, regulatory risk, compliance risk, conduct risk, technology risk, data risk and change management risk.'  ·  INFERRED CHAIN: (1) the Division 296 calculation, attribution, Tax Office lodgement and release-authority payment are all fund administration functions; (2) fund administration is overwhelmingly outsourced to a small number of providers, and the fund income tax return from which fund earnings derive is often prepared by an external tax agent; (3) therefore a single methodology or build defect propagates simultaneously across every client fund; (4) the CPS 230 service provider limb, not only the critical operations limb, is the governing requirement; (5) APRA already holds the register that identifies the providers.  ·  GAP: the register does not yet identify WHICH providers dominate the Division 296 build. That is an internal data query, not new collection, and should be run before the meeting.</w:t>
      </w:r>
    </w:p>
    <w:p>
      <w:pPr>
        <w:spacing w:after="60" w:before="200" w:line="264"/>
      </w:pPr>
      <w:r>
        <w:rPr>
          <w:rFonts w:ascii="Arial" w:cs="Arial" w:eastAsia="Arial" w:hAnsi="Arial"/>
          <w:b/>
          <w:bCs/>
          <w:color w:val="012169"/>
          <w:sz w:val="19"/>
          <w:szCs w:val="19"/>
        </w:rPr>
        <w:t xml:space="preserve">P2. </w:t>
      </w:r>
      <w:r>
        <w:rPr>
          <w:rFonts w:ascii="Arial" w:cs="Arial" w:eastAsia="Arial" w:hAnsi="Arial"/>
          <w:b/>
          <w:bCs/>
          <w:color w:val="012169"/>
          <w:sz w:val="19"/>
          <w:szCs w:val="19"/>
        </w:rPr>
        <w:t xml:space="preserve">Fund administration must now perform a new statutory calculation, reporting and payment function on someone else's clock</w:t>
      </w:r>
      <w:r>
        <w:rPr>
          <w:rFonts w:ascii="Arial" w:cs="Arial" w:eastAsia="Arial" w:hAnsi="Arial"/>
          <w:b/>
          <w:bCs/>
          <w:color w:val="890C58"/>
          <w:sz w:val="15"/>
          <w:szCs w:val="15"/>
        </w:rPr>
        <w:t xml:space="preserve">   GRADE A</w:t>
      </w:r>
    </w:p>
    <w:p>
      <w:pPr>
        <w:spacing w:after="60" w:before="0" w:line="264"/>
      </w:pPr>
      <w:r>
        <w:rPr>
          <w:rFonts w:ascii="Arial" w:cs="Arial" w:eastAsia="Arial" w:hAnsi="Arial"/>
          <w:b/>
          <w:bCs/>
          <w:color w:val="00B398"/>
          <w:sz w:val="17"/>
          <w:szCs w:val="17"/>
        </w:rPr>
        <w:t xml:space="preserve">In plain terms.  </w:t>
      </w:r>
      <w:r>
        <w:rPr>
          <w:rFonts w:ascii="Arial" w:cs="Arial" w:eastAsia="Arial" w:hAnsi="Arial"/>
          <w:color w:val="1A1A1A"/>
          <w:sz w:val="17"/>
          <w:szCs w:val="17"/>
        </w:rPr>
        <w:t xml:space="preserve">From 1 July 2026 every dividend, rent payment and asset sale is already inside the tax base for the first measurement year. Three new jobs now sit in fund administration and none of them existed before. First, work out the fund's taxable earnings and split them across affected members, then answer the Tax Office when it asks - defined benefit and alternative-method funds are indicated to get ten business days, other funds twenty-eight calendar days. Second, when the Tax Office sends a release notice, pay the money out of the member's super on a short clock, with a penalty for missing it. Third, when the fund later amends its tax return - which happens routinely, because income from unlisted and overseas investments is often not final when the return is due - the change flows back through to members' personal tax assessments, for up to four years. The Tax Office guidance explaining how to do the calculation has not been published.</w:t>
      </w:r>
    </w:p>
    <w:p>
      <w:pPr>
        <w:spacing w:after="60" w:before="0" w:line="264"/>
      </w:pPr>
      <w:r>
        <w:rPr>
          <w:rFonts w:ascii="Arial" w:cs="Arial" w:eastAsia="Arial" w:hAnsi="Arial"/>
          <w:b/>
          <w:bCs/>
          <w:color w:val="00B398"/>
          <w:sz w:val="17"/>
          <w:szCs w:val="17"/>
        </w:rPr>
        <w:t xml:space="preserve">Why it matters.  </w:t>
      </w:r>
      <w:r>
        <w:rPr>
          <w:rFonts w:ascii="Arial" w:cs="Arial" w:eastAsia="Arial" w:hAnsi="Arial"/>
          <w:color w:val="1A1A1A"/>
          <w:sz w:val="17"/>
          <w:szCs w:val="17"/>
        </w:rPr>
        <w:t xml:space="preserve">This is one exposure, not three, and it is the exposure the whole measure comes down to for an APRA-regulated fund: a new statutory calculation and payment function, largely outsourced, performed to external deadlines that all fall in the same annual window across the industry. The consequence of failure leaves the fund and lands on an identified member's personal tax position. The first external test is roughly sixteen to twenty months away, and by the time it fails the underlying FY2026-27 data is historical and cannot be reconstructed.</w:t>
      </w:r>
    </w:p>
    <w:p>
      <w:pPr>
        <w:spacing w:after="60" w:before="0" w:line="264"/>
      </w:pPr>
      <w:r>
        <w:rPr>
          <w:rFonts w:ascii="Arial" w:cs="Arial" w:eastAsia="Arial" w:hAnsi="Arial"/>
          <w:b/>
          <w:bCs/>
          <w:color w:val="00B398"/>
          <w:sz w:val="17"/>
          <w:szCs w:val="17"/>
        </w:rPr>
        <w:t xml:space="preserve">Who bears it.  </w:t>
      </w:r>
      <w:r>
        <w:rPr>
          <w:rFonts w:ascii="Arial" w:cs="Arial" w:eastAsia="Arial" w:hAnsi="Arial"/>
          <w:color w:val="1A1A1A"/>
          <w:sz w:val="17"/>
          <w:szCs w:val="17"/>
        </w:rPr>
        <w:t xml:space="preserve">All RSE licensees with in-scope members; first and hardest on defined benefit and alternative-method funds, which face the shorter response window. Members bear mis-calculation through their personal tax assessments; legal personal representatives and estates bear the amendment cascade.</w:t>
      </w:r>
    </w:p>
    <w:p>
      <w:pPr>
        <w:spacing w:after="60" w:before="0" w:line="264"/>
      </w:pPr>
      <w:r>
        <w:rPr>
          <w:rFonts w:ascii="Arial" w:cs="Arial" w:eastAsia="Arial" w:hAnsi="Arial"/>
          <w:b/>
          <w:bCs/>
          <w:color w:val="00B398"/>
          <w:sz w:val="17"/>
          <w:szCs w:val="17"/>
        </w:rPr>
        <w:t xml:space="preserve">Recommended APRA position.  </w:t>
      </w:r>
      <w:r>
        <w:rPr>
          <w:rFonts w:ascii="Arial" w:cs="Arial" w:eastAsia="Arial" w:hAnsi="Arial"/>
          <w:color w:val="1A1A1A"/>
          <w:sz w:val="17"/>
          <w:szCs w:val="17"/>
        </w:rPr>
        <w:t xml:space="preserve">Treat Division 296 readiness as compliance with operative law, not contingency planning, and test it with document-based questions in FY2027 engagements: has the licensee set CPS 230 tolerance levels for the Division 296 calculation, reporting and release-authority processes inside fund administration; are Division 296 failure scenarios in business continuity testing; does the FY2027 risk appetite statement and risk management declaration address it; has the FY2027 Operational Risk Financial Requirement target amount moved. Gate the expectation on exposure - for a licensee with a handful of in-scope members, not moving the target amount is a proportionate judgement, not a governance failure. Set expectations for adaptable rather than hard-coded builds while the Tax Office guidance is unsettled; day-one perfection is not the standard. Also treat the Division 296 dataset - which identifies by name the members with the largest balances in the country, assembled and transmitted largely by outsourced administrators - as a new information asset that should be classified in the CPS 234 information asset register.</w:t>
      </w:r>
      <w:r>
        <w:rPr>
          <w:rFonts w:ascii="Arial" w:cs="Arial" w:eastAsia="Arial" w:hAnsi="Arial"/>
          <w:b/>
          <w:bCs/>
          <w:color w:val="0072CE"/>
          <w:sz w:val="13"/>
          <w:szCs w:val="13"/>
          <w:vertAlign w:val="superscript"/>
        </w:rPr>
        <w:t xml:space="preserve"> [I]</w:t>
      </w:r>
    </w:p>
    <w:p>
      <w:pPr>
        <w:spacing w:after="40" w:before="0" w:line="264"/>
      </w:pPr>
      <w:r>
        <w:rPr>
          <w:rFonts w:ascii="Arial" w:cs="Arial" w:eastAsia="Arial" w:hAnsi="Arial"/>
          <w:b/>
          <w:bCs/>
          <w:color w:val="898781"/>
          <w:sz w:val="15"/>
          <w:szCs w:val="15"/>
        </w:rPr>
        <w:t xml:space="preserve">Scoring.  </w:t>
      </w:r>
      <w:r>
        <w:rPr>
          <w:rFonts w:ascii="Arial" w:cs="Arial" w:eastAsia="Arial" w:hAnsi="Arial"/>
          <w:color w:val="898781"/>
          <w:sz w:val="15"/>
          <w:szCs w:val="15"/>
        </w:rPr>
        <w:t xml:space="preserve">Materiality 4/5 · Likelihood 3/5 · APRA proximity 5/5 · Action: supervisory-practice</w:t>
      </w:r>
    </w:p>
    <w:p>
      <w:pPr>
        <w:spacing w:after="40" w:before="0" w:line="264"/>
      </w:pPr>
      <w:r>
        <w:rPr>
          <w:rFonts w:ascii="Arial" w:cs="Arial" w:eastAsia="Arial" w:hAnsi="Arial"/>
          <w:b/>
          <w:bCs/>
          <w:color w:val="898781"/>
          <w:sz w:val="15"/>
          <w:szCs w:val="15"/>
        </w:rPr>
        <w:t xml:space="preserve">Instruments.  </w:t>
      </w:r>
      <w:r>
        <w:rPr>
          <w:rFonts w:ascii="Arial" w:cs="Arial" w:eastAsia="Arial" w:hAnsi="Arial"/>
          <w:color w:val="898781"/>
          <w:sz w:val="15"/>
          <w:szCs w:val="15"/>
        </w:rPr>
        <w:t xml:space="preserve">CPS 230 paras 24, 35, 36(c), 38, 44 (critical operations, tolerance levels, business continuity testing); CPS 230 Part 4 (service provider management) - see P1; SPS 220 Risk Management paras 15, 18, 21, 32 (risk appetite statement; annual risk management declaration signed by two directors); SPS 114 Operational Risk Financial Requirement paras 8-12, 15-20; SPS 515 paras 9-11 (business plan and financial projections); paras 30, 36-44 (transfer preparation); CPS 234 Information Security paras 16, 21-22, 27-36; Taxation Administration Act 1953 Sch 1 (Division 296 reporting and release authority obligations); Income Tax Assessment Act 1997 Div 296</w:t>
      </w:r>
    </w:p>
    <w:p>
      <w:pPr>
        <w:spacing w:after="60" w:before="0" w:line="264"/>
      </w:pPr>
      <w:r>
        <w:rPr>
          <w:rFonts w:ascii="Arial" w:cs="Arial" w:eastAsia="Arial" w:hAnsi="Arial"/>
          <w:b/>
          <w:bCs/>
          <w:color w:val="898781"/>
          <w:sz w:val="15"/>
          <w:szCs w:val="15"/>
        </w:rPr>
        <w:t xml:space="preserve">Evidence.  </w:t>
      </w:r>
      <w:r>
        <w:rPr>
          <w:rFonts w:ascii="Arial" w:cs="Arial" w:eastAsia="Arial" w:hAnsi="Arial"/>
          <w:color w:val="898781"/>
          <w:sz w:val="14"/>
          <w:szCs w:val="14"/>
        </w:rPr>
        <w:t xml:space="preserve">LIKELIHOOD PROPOSITION: P(a material licensee fails, or materially misstates, its first Tax Office information request or a release authority payment during the FY2027-28 window, in a way requiring member-level rectification) = 3. It is not near-certain: there will be a Tax Office co-design process, a law companion ruling and at least one dry run before the first request lands.  ·  SOURCED: response windows - defined benefit and alternative-method funds 'generally given 10 business days to respond'; other APRA funds 'will commence issuing in April, with a response period of 28 calendar days' - ATO Superannuation Administration Group key messages, 20 May 2026, https://www.ato.gov.au/about-ato/consultation/in-detail/stakeholder-relationship-groups-key-messages/superannuation-administration-group/superannuation-administration-group-key-messages-20-may-2026 . CAVEAT: the 18 February 2026 key messages record different indicative dates (DB requests from November 2027, other APRA funds February 2028). The schedule moved between meetings and no year is stated in the May quote. Treat all dates as ATO indicative planning dates, not settled.  ·  SOURCED: final regulations F2026L00726 made 11 June 2026, registered 18 June 2026 - twelve days before the first measurement year began - https://www.legislation.gov.au/F2026L00726/asmade  ·  SOURCED: the ATO advice-under-development programme for superannuation (last updated 6 July 2026) lists five items, none of them Division 296 - https://www.ato.gov.au/about-ato/ato-advice-and-guidance/advice-under-development-program/advice-under-development-superannuation-issues . The separate ATO statement that it is 'currently drafting a law companion ruling' appears in ATO super funds newsroom material, not on this page; cite it to its own source or drop the quote.  ·  SOURCED: ASFA - 'It is relatively common for funds with more than 6 members to amend tax returns after they have been lodged ... (in particular, unlisted investment income)'; typical variation 'a few basis points'; ASFA asks for a 5% materiality threshold and a 12-month post-year-end reporting window - ASFA submission to Treasury, 7 April 2026, pp.4-5, https://www.superannuation.asn.au/wp-content/uploads/2026/05/202619_Treasury_Division-296_Regulations_7_April.pdf  ·  SOURCED: Tax Institute - amendment periods 'may extend for up to four years', so funds 'may be required to retrospectively identify affected members and re-perform attribution calculations across multiple income years' - Tax Institute submission, 16 April 2026  ·  SOURCED (existing release authority regime, NOT yet confirmed for Division 296): for existing release authority types APRA-regulated funds must pay and send the release authority statement within 10 business days, with a non-compliance penalty up to 20 penalty units, and the cashing order permits release of preserved benefits third in priority - https://www.ato.gov.au/tax-and-super-professionals/for-superannuation-professionals/apra-regulated-funds/paying-benefits/releasing-benefits/release-authorities . The ATO's published list of release authority types does not yet include Division 296, so the specific Division 296 timeframe is unconfirmed. Do not state the ten-day clock as settled for this tax.  ·  SOURCED: the successor fund transfer protocol 'needs to be updated to accommodate the reporting of Div 296 tax information', and funds must amend Division 296 information within 30 days of becoming aware of a change - ATO Superannuation Administration Group key messages, 17 June 2025. CAVEAT: this material predates the October 2025 redesign and the enacted regulations and may have been overtaken. The associated 2025 'retrospective law' concern is obsolete - Royal Assent (13 March 2026) precedes commencement (1 July 2026), so there is no retrospectivity of the kind described.  ·  SOURCED: the ATO will reuse the existing Division 293 and Division Deferred SuperStream product type codes for Division 296 release authorities, distinguished by a reference number, avoiding a SuperStream change - ATO Superannuation Administration Group key messages, 17 June 2025. IMPORTANT DISCLOSURE: ASFA asked for exactly this reuse on cost-to-members grounds ('The ATO should use the existing Div 293 Release Authority channel and messaging in SuperStream with the messaging tagged'). APRA should therefore NOT ask for a new message type; the proportionate ask is a machine-readable Division 296 flag on the existing message so the flow can be isolated in fund and regulator reporting.  ·  INFERRED CHAIN: calculation, attribution, lodgement and release-authority payment are all fund administration; fund administration is a default critical operation under CPS 230 para 36(c); therefore the obligation binds today with no amendment, and the external response windows are natural CPS 230 para 38 tolerance levels.  ·  GAP: SPS 515 paragraph numbers carry a plus-or-minus-one risk; verify against the registered instrument before formal citation.</w:t>
      </w:r>
    </w:p>
    <w:p>
      <w:pPr>
        <w:spacing w:after="60" w:before="200" w:line="264"/>
      </w:pPr>
      <w:r>
        <w:rPr>
          <w:rFonts w:ascii="Arial" w:cs="Arial" w:eastAsia="Arial" w:hAnsi="Arial"/>
          <w:b/>
          <w:bCs/>
          <w:color w:val="012169"/>
          <w:sz w:val="19"/>
          <w:szCs w:val="19"/>
        </w:rPr>
        <w:t xml:space="preserve">P3. </w:t>
      </w:r>
      <w:r>
        <w:rPr>
          <w:rFonts w:ascii="Arial" w:cs="Arial" w:eastAsia="Arial" w:hAnsi="Arial"/>
          <w:b/>
          <w:bCs/>
          <w:color w:val="012169"/>
          <w:sz w:val="19"/>
          <w:szCs w:val="19"/>
        </w:rPr>
        <w:t xml:space="preserve">A trustee judgement now drives an identified member's personal tax bill, and no instrument governs how that judgement is made</w:t>
      </w:r>
      <w:r>
        <w:rPr>
          <w:rFonts w:ascii="Arial" w:cs="Arial" w:eastAsia="Arial" w:hAnsi="Arial"/>
          <w:b/>
          <w:bCs/>
          <w:color w:val="890C58"/>
          <w:sz w:val="15"/>
          <w:szCs w:val="15"/>
        </w:rPr>
        <w:t xml:space="preserve">   GRADE A</w:t>
      </w:r>
    </w:p>
    <w:p>
      <w:pPr>
        <w:spacing w:after="60" w:before="0" w:line="264"/>
      </w:pPr>
      <w:r>
        <w:rPr>
          <w:rFonts w:ascii="Arial" w:cs="Arial" w:eastAsia="Arial" w:hAnsi="Arial"/>
          <w:b/>
          <w:bCs/>
          <w:color w:val="00B398"/>
          <w:sz w:val="17"/>
          <w:szCs w:val="17"/>
        </w:rPr>
        <w:t xml:space="preserve">In plain terms.  </w:t>
      </w:r>
      <w:r>
        <w:rPr>
          <w:rFonts w:ascii="Arial" w:cs="Arial" w:eastAsia="Arial" w:hAnsi="Arial"/>
          <w:color w:val="1A1A1A"/>
          <w:sz w:val="17"/>
          <w:szCs w:val="17"/>
        </w:rPr>
        <w:t xml:space="preserve">A fund with more than six members must split its investment income across affected members on a 'fair and reasonable' basis. The law does not say how. Two funds holding identical investments for identical members can lawfully report different numbers. To be precise about what that number does: it is an input the Tax Office uses to assess the member, not the member's tax bill itself. The Tax Office assesses the individual, and the individual can object to that assessment. But the trustee's number is what the assessment is built on. Here is what is at stake, which no version of this note has stated: only the slice of earnings above three million dollars is taxed. A member with $3.2 million earning six per cent owes roughly $1,800. At $4 million, roughly $9,000. At $10 million, roughly $63,000. So for members just over the line, differences between lawful methods are worth tens of dollars; for members well above it, and particularly in options where members pick their own investments, they can be worth real money. Nobody has set a standard for how a fund makes the judgement, how a board signs it off, or who independently checks it.</w:t>
      </w:r>
    </w:p>
    <w:p>
      <w:pPr>
        <w:spacing w:after="60" w:before="0" w:line="264"/>
      </w:pPr>
      <w:r>
        <w:rPr>
          <w:rFonts w:ascii="Arial" w:cs="Arial" w:eastAsia="Arial" w:hAnsi="Arial"/>
          <w:b/>
          <w:bCs/>
          <w:color w:val="00B398"/>
          <w:sz w:val="17"/>
          <w:szCs w:val="17"/>
        </w:rPr>
        <w:t xml:space="preserve">Why it matters.  </w:t>
      </w:r>
      <w:r>
        <w:rPr>
          <w:rFonts w:ascii="Arial" w:cs="Arial" w:eastAsia="Arial" w:hAnsi="Arial"/>
          <w:color w:val="1A1A1A"/>
          <w:sz w:val="17"/>
          <w:szCs w:val="17"/>
        </w:rPr>
        <w:t xml:space="preserve">This is a new, recurring exercise of trustee power over identified members, with no prescribed method, no external assurance and no APRA line of sight. It engages the covenants to act in members' best financial interests and to treat members fairly as between members. Because the first measurement year is already running, a methodology not documented now cannot be reconstructed when the Tax Office ruling lands - which is the classic precondition for a remediation programme in FY2029. The honest qualification is that nobody has measured how far two lawful methods actually diverge, so the size of the equity problem is currently asserted rather than known.</w:t>
      </w:r>
    </w:p>
    <w:p>
      <w:pPr>
        <w:spacing w:after="60" w:before="0" w:line="264"/>
      </w:pPr>
      <w:r>
        <w:rPr>
          <w:rFonts w:ascii="Arial" w:cs="Arial" w:eastAsia="Arial" w:hAnsi="Arial"/>
          <w:b/>
          <w:bCs/>
          <w:color w:val="00B398"/>
          <w:sz w:val="17"/>
          <w:szCs w:val="17"/>
        </w:rPr>
        <w:t xml:space="preserve">Who bears it.  </w:t>
      </w:r>
      <w:r>
        <w:rPr>
          <w:rFonts w:ascii="Arial" w:cs="Arial" w:eastAsia="Arial" w:hAnsi="Arial"/>
          <w:color w:val="1A1A1A"/>
          <w:sz w:val="17"/>
          <w:szCs w:val="17"/>
        </w:rPr>
        <w:t xml:space="preserve">All RSE licensees with in-scope members; the sharpest consequence lands on members in member-directed and platform options, where assets are individually identifiable and method choice genuinely bites. Members of the same fund in different investment options can bear different outcomes from the same methodology choice.</w:t>
      </w:r>
    </w:p>
    <w:p>
      <w:pPr>
        <w:spacing w:after="60" w:before="0" w:line="264"/>
      </w:pPr>
      <w:r>
        <w:rPr>
          <w:rFonts w:ascii="Arial" w:cs="Arial" w:eastAsia="Arial" w:hAnsi="Arial"/>
          <w:b/>
          <w:bCs/>
          <w:color w:val="00B398"/>
          <w:sz w:val="17"/>
          <w:szCs w:val="17"/>
        </w:rPr>
        <w:t xml:space="preserve">Recommended APRA position.  </w:t>
      </w:r>
      <w:r>
        <w:rPr>
          <w:rFonts w:ascii="Arial" w:cs="Arial" w:eastAsia="Arial" w:hAnsi="Arial"/>
          <w:color w:val="1A1A1A"/>
          <w:sz w:val="17"/>
          <w:szCs w:val="17"/>
        </w:rPr>
        <w:t xml:space="preserve">Consider writing to all RSE licensees before 31 December 2026 stating that the Division 296 attribution methodology is a member-equity decision inside the investment governance framework, not only a tax-compliance choice, and setting five expectations: a written, board-approved methodology; consistency year to year with any change explained; reproducibility of the FY2026-27 attribution four years later; an explicit stated treatment of unallocated reserves, mid-year joiners, leavers and option switchers, and of members holding both an accumulation and a pension interest in the same fund; and independent review or assurance. Note in that letter that RSE auditor assurance under SPS 310 does not currently reach this calculation, because it is reported to the Tax Office under tax law rather than under an APRA reporting standard or the SIS Act, and ask what voluntary assurance has been obtained. Before asserting materiality, run the measurement: ask two or three exposed licensees to apply two defensible methods to their FY2026-27 data to date and report the spread. If the spread is a few basis points, this is a platform-specific issue; if it is percentage points, the expectation is evidenced. Also settle which board committee owns the methodology, since on this characterisation the audit committee will assume the investment committee has it and vice versa.</w:t>
      </w:r>
      <w:r>
        <w:rPr>
          <w:rFonts w:ascii="Arial" w:cs="Arial" w:eastAsia="Arial" w:hAnsi="Arial"/>
          <w:b/>
          <w:bCs/>
          <w:color w:val="0072CE"/>
          <w:sz w:val="13"/>
          <w:szCs w:val="13"/>
          <w:vertAlign w:val="superscript"/>
        </w:rPr>
        <w:t xml:space="preserve"> [I]</w:t>
      </w:r>
    </w:p>
    <w:p>
      <w:pPr>
        <w:spacing w:after="40" w:before="0" w:line="264"/>
      </w:pPr>
      <w:r>
        <w:rPr>
          <w:rFonts w:ascii="Arial" w:cs="Arial" w:eastAsia="Arial" w:hAnsi="Arial"/>
          <w:b/>
          <w:bCs/>
          <w:color w:val="898781"/>
          <w:sz w:val="15"/>
          <w:szCs w:val="15"/>
        </w:rPr>
        <w:t xml:space="preserve">Scoring.  </w:t>
      </w:r>
      <w:r>
        <w:rPr>
          <w:rFonts w:ascii="Arial" w:cs="Arial" w:eastAsia="Arial" w:hAnsi="Arial"/>
          <w:color w:val="898781"/>
          <w:sz w:val="15"/>
          <w:szCs w:val="15"/>
        </w:rPr>
        <w:t xml:space="preserve">Materiality 4/5 · Likelihood 3/5 · APRA proximity 4/5 · Action: new-or-updated-guidance</w:t>
      </w:r>
    </w:p>
    <w:p>
      <w:pPr>
        <w:spacing w:after="40" w:before="0" w:line="264"/>
      </w:pPr>
      <w:r>
        <w:rPr>
          <w:rFonts w:ascii="Arial" w:cs="Arial" w:eastAsia="Arial" w:hAnsi="Arial"/>
          <w:b/>
          <w:bCs/>
          <w:color w:val="898781"/>
          <w:sz w:val="15"/>
          <w:szCs w:val="15"/>
        </w:rPr>
        <w:t xml:space="preserve">Instruments.  </w:t>
      </w:r>
      <w:r>
        <w:rPr>
          <w:rFonts w:ascii="Arial" w:cs="Arial" w:eastAsia="Arial" w:hAnsi="Arial"/>
          <w:color w:val="898781"/>
          <w:sz w:val="15"/>
          <w:szCs w:val="15"/>
        </w:rPr>
        <w:t xml:space="preserve">Income Tax Assessment Act 1997 Div 296; Superannuation (Building a Stronger and Fairer Super System) Imposition Act 2026 (the Act that imposes the tax and fixes the rates); Income Tax Assessment (1997 Act) Amendment Regulations 2026 (F2026L00726) Sch 1; SPG 530 Investment Governance para 9 (member equity risk); SPS 530 paras 39-41 (valuation governance framework); SPS 220 Risk Management paras 15, 18, 32; CPS 230 paras 24, 35, 36(c); SPS 310 Audit and Related Matters, Attachments A and B; SPS 510 Governance and SPS 520 Fit and Proper (board capability and committee ownership of the methodology decision); SIS Act s52(2) covenants (best financial interests; fairness as between members); Joint APRA-ASIC unit pricing good practice guidance; ASIC RG 94</w:t>
      </w:r>
    </w:p>
    <w:p>
      <w:pPr>
        <w:spacing w:after="60" w:before="0" w:line="264"/>
      </w:pPr>
      <w:r>
        <w:rPr>
          <w:rFonts w:ascii="Arial" w:cs="Arial" w:eastAsia="Arial" w:hAnsi="Arial"/>
          <w:b/>
          <w:bCs/>
          <w:color w:val="898781"/>
          <w:sz w:val="15"/>
          <w:szCs w:val="15"/>
        </w:rPr>
        <w:t xml:space="preserve">Evidence.  </w:t>
      </w:r>
      <w:r>
        <w:rPr>
          <w:rFonts w:ascii="Arial" w:cs="Arial" w:eastAsia="Arial" w:hAnsi="Arial"/>
          <w:color w:val="898781"/>
          <w:sz w:val="14"/>
          <w:szCs w:val="14"/>
        </w:rPr>
        <w:t xml:space="preserve">LIKELIHOOD PROPOSITION: P(a methodology choice made in FY2026-27 produces a member-equity failure or a member-level remediation programme by FY2029) = 3.  ·  SOURCED: attribution for funds with more than six members is on a 'fair and reasonable' basis with the method left to the trustee; a prescribed formula plus an annual actuarial certificate applies to funds of six or fewer members - Parliamentary Library Bills Digest No. 48, 2025-26, https://www.aph.gov.au/Parliamentary_Business/Bills_Legislation/bd/bd2526/26bd048  ·  SOURCED: ASFA proposes the 'fair and reasonable' approach 'be tested and governed in a similar way to how the current tax provision is attributed at the option level by each fund in the context of unit pricing and crediting rates. ASIC's Regulatory Guide 94 is relevant in this context', and notes Explanatory Statement Example 6 gives an attribution of 1.01 per cent with no working shown - ASFA submission, 7 April 2026, pp.2-3  ·  SOURCED (corrects an overstatement in the draft): ASFA states 'It will be open to individuals who receive a Division 296 assessment from the ATO to lodge an objection if they consider that the realised investment income reported by a fund is not correct', and recommends 'It should be the responsibility of the ATO to determine whether reporting by specific funds is fair and reasonable'. The trustee's number is an INPUT; the assessment and the member's statutory remedy sit with the Commissioner.  ·  SOURCED: SPG 530 para 9 - APRA expects the investment governance framework to consider member equity risk 'with a view to all beneficiaries being dealt with fairly' - https://www.apra.gov.au/system/files/2023-07/Prudential%20Practice%20Guide%20SPG%20530%20Investment%20Governance%20Integrated%20version%20-%20clean.pdf  ·  CREATED (own arithmetic, illustrative, assumes a 6% earnings rate and the $3m threshold): taxed proportion = (TSB - $3m) / TSB. At $3.2m: earnings $192,000, proportion 6.25%, taxable earnings $12,000, tax at 15% = $1,800. At $4m: $240,000, 25%, $60,000, = $9,000. At $10m: $600,000, 70%, $420,000, = $63,000. This is APRA's own derivation, not a Treasury or ATO figure, and it should be labelled as such in the note.  ·  CREATED (sizing inference APRA can own): APRA's own data shows 305,000 accounts in the $1,000,000+ bracket with an average balance of $1.45m, implying a steeply decaying right tail. Set against Treasury's superseded-design estimate of 31,800 affected individuals across APRA-regulated funds and exempt public sector schemes, this suggests a typical large licensee has in-scope members in the hundreds, not thousands. Use it to calibrate supervisory intensity, and state it as an inference.  ·  INFERRED CHAIN: (1) Division 296 fund earnings is a whole-of-fund figure derived from the fund's income tax return; (2) a member's entitlement is a unit price struck on market value net of a deferred tax provision; (3) the two are built on different bases at different granularity and cannot be reconciled; (4) therefore attribution is an estimate produced by trustee judgement; (5) a judgement that drives an identified member's assessment is a member-equity question under SPG 530 para 9 and the s52(2) covenants.  ·  GAP: the operative attribution text in F2026L00726 and its Explanatory Statement could not be read directly (the Federal Register serves documents through a JavaScript front end). The 'more than six members' boundary and the principles wording come from the Bills Digest, ASFA and practitioner commentary. Also unmeasured: the actual dispersion between two lawful methods.</w:t>
      </w:r>
    </w:p>
    <w:p>
      <w:pPr>
        <w:spacing w:after="60" w:before="200" w:line="264"/>
      </w:pPr>
      <w:r>
        <w:rPr>
          <w:rFonts w:ascii="Arial" w:cs="Arial" w:eastAsia="Arial" w:hAnsi="Arial"/>
          <w:b/>
          <w:bCs/>
          <w:color w:val="012169"/>
          <w:sz w:val="19"/>
          <w:szCs w:val="19"/>
        </w:rPr>
        <w:t xml:space="preserve">P4. </w:t>
      </w:r>
      <w:r>
        <w:rPr>
          <w:rFonts w:ascii="Arial" w:cs="Arial" w:eastAsia="Arial" w:hAnsi="Arial"/>
          <w:b/>
          <w:bCs/>
          <w:color w:val="012169"/>
          <w:sz w:val="19"/>
          <w:szCs w:val="19"/>
        </w:rPr>
        <w:t xml:space="preserve">Three separate blind spots on the same process: no auditor assurance, no APRA reporting standard, and no breach-notification trigger</w:t>
      </w:r>
      <w:r>
        <w:rPr>
          <w:rFonts w:ascii="Arial" w:cs="Arial" w:eastAsia="Arial" w:hAnsi="Arial"/>
          <w:b/>
          <w:bCs/>
          <w:color w:val="E87722"/>
          <w:sz w:val="15"/>
          <w:szCs w:val="15"/>
        </w:rPr>
        <w:t xml:space="preserve">   GRADE B</w:t>
      </w:r>
    </w:p>
    <w:p>
      <w:pPr>
        <w:spacing w:after="60" w:before="0" w:line="264"/>
      </w:pPr>
      <w:r>
        <w:rPr>
          <w:rFonts w:ascii="Arial" w:cs="Arial" w:eastAsia="Arial" w:hAnsi="Arial"/>
          <w:b/>
          <w:bCs/>
          <w:color w:val="00B398"/>
          <w:sz w:val="17"/>
          <w:szCs w:val="17"/>
        </w:rPr>
        <w:t xml:space="preserve">In plain terms.  </w:t>
      </w:r>
      <w:r>
        <w:rPr>
          <w:rFonts w:ascii="Arial" w:cs="Arial" w:eastAsia="Arial" w:hAnsi="Arial"/>
          <w:color w:val="1A1A1A"/>
          <w:sz w:val="17"/>
          <w:szCs w:val="17"/>
        </w:rPr>
        <w:t xml:space="preserve">The largest new calculation these funds will ever perform sits outside all three of APRA's normal ways of finding out something has gone wrong. The fund auditor's assurance covers data reported under APRA's reporting standards and compliance with superannuation law; this calculation is reported to the Tax Office under tax law, so it falls outside both. There is no APRA reporting form that collects anything about it. And the duty to tell APRA about a significant breach is tied to breaches of superannuation licensing law, which this is not - so a late, incomplete or materially wrong report to the Tax Office is not by itself something the fund must tell APRA about. It becomes reportable only indirectly, if it shows the fund's compliance arrangements are inadequate or a member loses money. The practical result is that APRA is likely to hear about a systemic failure late, or from the Tax Office.</w:t>
      </w:r>
    </w:p>
    <w:p>
      <w:pPr>
        <w:spacing w:after="60" w:before="0" w:line="264"/>
      </w:pPr>
      <w:r>
        <w:rPr>
          <w:rFonts w:ascii="Arial" w:cs="Arial" w:eastAsia="Arial" w:hAnsi="Arial"/>
          <w:b/>
          <w:bCs/>
          <w:color w:val="00B398"/>
          <w:sz w:val="17"/>
          <w:szCs w:val="17"/>
        </w:rPr>
        <w:t xml:space="preserve">Why it matters.  </w:t>
      </w:r>
      <w:r>
        <w:rPr>
          <w:rFonts w:ascii="Arial" w:cs="Arial" w:eastAsia="Arial" w:hAnsi="Arial"/>
          <w:color w:val="1A1A1A"/>
          <w:sz w:val="17"/>
          <w:szCs w:val="17"/>
        </w:rPr>
        <w:t xml:space="preserve">An assurance gap on a high-consequence, member-specific calculation is the pattern that precedes a large remediation. Three independent blind spots layered on the same process is worse than any one of them. The fix is the cheapest recommendation available in this pack: APRA can state its notification expectation in a letter, with no instrument change and without waiting for a reporting standard amendment that cannot deliver in time. APRA did exactly this for another measure commencing the same day.</w:t>
      </w:r>
    </w:p>
    <w:p>
      <w:pPr>
        <w:spacing w:after="60" w:before="0" w:line="264"/>
      </w:pPr>
      <w:r>
        <w:rPr>
          <w:rFonts w:ascii="Arial" w:cs="Arial" w:eastAsia="Arial" w:hAnsi="Arial"/>
          <w:b/>
          <w:bCs/>
          <w:color w:val="00B398"/>
          <w:sz w:val="17"/>
          <w:szCs w:val="17"/>
        </w:rPr>
        <w:t xml:space="preserve">Who bears it.  </w:t>
      </w:r>
      <w:r>
        <w:rPr>
          <w:rFonts w:ascii="Arial" w:cs="Arial" w:eastAsia="Arial" w:hAnsi="Arial"/>
          <w:color w:val="1A1A1A"/>
          <w:sz w:val="17"/>
          <w:szCs w:val="17"/>
        </w:rPr>
        <w:t xml:space="preserve">APRA's own supervisory capability; members, who bear the consequence of a failure that surfaces late.</w:t>
      </w:r>
    </w:p>
    <w:p>
      <w:pPr>
        <w:spacing w:after="60" w:before="0" w:line="264"/>
      </w:pPr>
      <w:r>
        <w:rPr>
          <w:rFonts w:ascii="Arial" w:cs="Arial" w:eastAsia="Arial" w:hAnsi="Arial"/>
          <w:b/>
          <w:bCs/>
          <w:color w:val="00B398"/>
          <w:sz w:val="17"/>
          <w:szCs w:val="17"/>
        </w:rPr>
        <w:t xml:space="preserve">Recommended APRA position.  </w:t>
      </w:r>
      <w:r>
        <w:rPr>
          <w:rFonts w:ascii="Arial" w:cs="Arial" w:eastAsia="Arial" w:hAnsi="Arial"/>
          <w:color w:val="1A1A1A"/>
          <w:sz w:val="17"/>
          <w:szCs w:val="17"/>
        </w:rPr>
        <w:t xml:space="preserve">State in the recommended letter to RSE licensees that APRA expects to be notified of material Division 296 calculation, attribution or reporting failures, using the same framing APRA used for Payday Super on 25 March 2026. Separately, form a view on whether SPS 310 should be extended to bring the Division 296 calculation within RSE auditor assurance; the proportionate first step is to ask what voluntary assurance licensees have obtained. Where a licensee is materially exposed and cannot evidence readiness, the escalation ladder should be stated rather than implied: engagement, board attestation of readiness, a special-purpose auditor or actuary report, an ad hoc data notice under the collection-of-data legislation, and licence conditions.</w:t>
      </w:r>
      <w:r>
        <w:rPr>
          <w:rFonts w:ascii="Arial" w:cs="Arial" w:eastAsia="Arial" w:hAnsi="Arial"/>
          <w:b/>
          <w:bCs/>
          <w:color w:val="0072CE"/>
          <w:sz w:val="13"/>
          <w:szCs w:val="13"/>
          <w:vertAlign w:val="superscript"/>
        </w:rPr>
        <w:t xml:space="preserve"> [I]</w:t>
      </w:r>
    </w:p>
    <w:p>
      <w:pPr>
        <w:spacing w:after="40" w:before="0" w:line="264"/>
      </w:pPr>
      <w:r>
        <w:rPr>
          <w:rFonts w:ascii="Arial" w:cs="Arial" w:eastAsia="Arial" w:hAnsi="Arial"/>
          <w:b/>
          <w:bCs/>
          <w:color w:val="898781"/>
          <w:sz w:val="15"/>
          <w:szCs w:val="15"/>
        </w:rPr>
        <w:t xml:space="preserve">Scoring.  </w:t>
      </w:r>
      <w:r>
        <w:rPr>
          <w:rFonts w:ascii="Arial" w:cs="Arial" w:eastAsia="Arial" w:hAnsi="Arial"/>
          <w:color w:val="898781"/>
          <w:sz w:val="15"/>
          <w:szCs w:val="15"/>
        </w:rPr>
        <w:t xml:space="preserve">Materiality 3/5 · Likelihood 3/5 · APRA proximity 5/5 · Action: new-or-updated-guidance</w:t>
      </w:r>
    </w:p>
    <w:p>
      <w:pPr>
        <w:spacing w:after="40" w:before="0" w:line="264"/>
      </w:pPr>
      <w:r>
        <w:rPr>
          <w:rFonts w:ascii="Arial" w:cs="Arial" w:eastAsia="Arial" w:hAnsi="Arial"/>
          <w:b/>
          <w:bCs/>
          <w:color w:val="898781"/>
          <w:sz w:val="15"/>
          <w:szCs w:val="15"/>
        </w:rPr>
        <w:t xml:space="preserve">Instruments.  </w:t>
      </w:r>
      <w:r>
        <w:rPr>
          <w:rFonts w:ascii="Arial" w:cs="Arial" w:eastAsia="Arial" w:hAnsi="Arial"/>
          <w:color w:val="898781"/>
          <w:sz w:val="15"/>
          <w:szCs w:val="15"/>
        </w:rPr>
        <w:t xml:space="preserve">SIS Act s29JA (significant breach notification, in writing within 30 days); SPS 310 Audit and Related Matters paras 8, 10, 12, 24, 26 and Attachments A and B; Financial Sector (Collection of Data) Act 2001 (power to require data from named entities by written notice, without making a reporting standard); CPS 230 paras 24, 44</w:t>
      </w:r>
    </w:p>
    <w:p>
      <w:pPr>
        <w:spacing w:after="60" w:before="0" w:line="264"/>
      </w:pPr>
      <w:r>
        <w:rPr>
          <w:rFonts w:ascii="Arial" w:cs="Arial" w:eastAsia="Arial" w:hAnsi="Arial"/>
          <w:b/>
          <w:bCs/>
          <w:color w:val="898781"/>
          <w:sz w:val="15"/>
          <w:szCs w:val="15"/>
        </w:rPr>
        <w:t xml:space="preserve">Evidence.  </w:t>
      </w:r>
      <w:r>
        <w:rPr>
          <w:rFonts w:ascii="Arial" w:cs="Arial" w:eastAsia="Arial" w:hAnsi="Arial"/>
          <w:color w:val="898781"/>
          <w:sz w:val="14"/>
          <w:szCs w:val="14"/>
        </w:rPr>
        <w:t xml:space="preserve">LIKELIHOOD PROPOSITION: P(a material Division 296 failure occurs and APRA learns of it late, indirectly, or from the ATO rather than from the licensee, in FY2028-29) = 3.  ·  SOURCED: SIS Act s29JA requires an RSE licensee to notify APRA where it has breached or will breach a licence condition and the breach is significant, with significance assessed by reference to inadequacies in arrangements to comply with the RSE licensee law and Chapter 2M of the Corporations Act, in writing within 30 days.  ·  SOURCED: Division 296 obligations arise under the Income Tax Assessment Act 1997 and the Taxation Administration Act 1953. The enacting Act does not use the term 'RSE licensee' at all; it uses 'superannuation provider' (Treasury Laws Amendment (Building a Stronger and Fairer Super System) Act 2026).  ·  SOURCED: SPS 310 Attachment A covers data reported under APRA reporting standards; Attachment B covers specified legislative compliance. Division 296 reporting falls within neither.  ·  SOURCED (precedent): APRA's 'Payday Super Readiness' letter to all RSE licensees, 25 March 2026, states that significant breaches of the new requirements 'would necessitate a breach notification to APRA' - https://www.apra.gov.au/news-and-publications/payday-super-readiness-0  ·  INFERRED CHAIN: the reasoning P3 applies to auditor assurance (tax law, not SIS or an APRA standard) applies identically to breach notification; therefore a Division 296 failure is notifiable only derivatively, and APRA's information pathway is indirect.</w:t>
      </w:r>
    </w:p>
    <w:p>
      <w:pPr>
        <w:spacing w:after="60" w:before="200" w:line="264"/>
      </w:pPr>
      <w:r>
        <w:rPr>
          <w:rFonts w:ascii="Arial" w:cs="Arial" w:eastAsia="Arial" w:hAnsi="Arial"/>
          <w:b/>
          <w:bCs/>
          <w:color w:val="012169"/>
          <w:sz w:val="19"/>
          <w:szCs w:val="19"/>
        </w:rPr>
        <w:t xml:space="preserve">P5. </w:t>
      </w:r>
      <w:r>
        <w:rPr>
          <w:rFonts w:ascii="Arial" w:cs="Arial" w:eastAsia="Arial" w:hAnsi="Arial"/>
          <w:b/>
          <w:bCs/>
          <w:color w:val="012169"/>
          <w:sz w:val="19"/>
          <w:szCs w:val="19"/>
        </w:rPr>
        <w:t xml:space="preserve">Removing the tax on paper gains did not close the valuation file - the 30 June unit price still decides who is caught and how much</w:t>
      </w:r>
      <w:r>
        <w:rPr>
          <w:rFonts w:ascii="Arial" w:cs="Arial" w:eastAsia="Arial" w:hAnsi="Arial"/>
          <w:b/>
          <w:bCs/>
          <w:color w:val="E87722"/>
          <w:sz w:val="15"/>
          <w:szCs w:val="15"/>
        </w:rPr>
        <w:t xml:space="preserve">   GRADE B</w:t>
      </w:r>
    </w:p>
    <w:p>
      <w:pPr>
        <w:spacing w:after="60" w:before="0" w:line="264"/>
      </w:pPr>
      <w:r>
        <w:rPr>
          <w:rFonts w:ascii="Arial" w:cs="Arial" w:eastAsia="Arial" w:hAnsi="Arial"/>
          <w:b/>
          <w:bCs/>
          <w:color w:val="00B398"/>
          <w:sz w:val="17"/>
          <w:szCs w:val="17"/>
        </w:rPr>
        <w:t xml:space="preserve">In plain terms.  </w:t>
      </w:r>
      <w:r>
        <w:rPr>
          <w:rFonts w:ascii="Arial" w:cs="Arial" w:eastAsia="Arial" w:hAnsi="Arial"/>
          <w:color w:val="1A1A1A"/>
          <w:sz w:val="17"/>
          <w:szCs w:val="17"/>
        </w:rPr>
        <w:t xml:space="preserve">The earlier 2023 version of this tax would have taxed increases in the value of assets that had not been sold. That is gone, and any argument built on forced sales to pay tax on paper gains is obsolete. But valuation still matters twice over: a member's balance at 30 June decides whether they are over the threshold at all, and the same balance sets what share of the fund's earnings is taxed. That balance comes from the unit price, which comes from how the fund values assets that are not traded on a market. The direction most people assume - that funds might hold valuations down to keep wealthy members under the line - is the less likely one, because it requires misconduct and it damages every other member's exit price. The more likely and more awkward direction is upward: a routine revaluation at 30 June pushes members over the line or raises their taxed share, entirely innocently, and the fund has to answer the complaint. APRA has already published findings that only eleven of twenty-three large trustees had a dedicated valuation committee, that some committees included people whose pay may depend on the valuation outcome, and that some assets go unvalued for several quarters.</w:t>
      </w:r>
    </w:p>
    <w:p>
      <w:pPr>
        <w:spacing w:after="60" w:before="0" w:line="264"/>
      </w:pPr>
      <w:r>
        <w:rPr>
          <w:rFonts w:ascii="Arial" w:cs="Arial" w:eastAsia="Arial" w:hAnsi="Arial"/>
          <w:b/>
          <w:bCs/>
          <w:color w:val="00B398"/>
          <w:sz w:val="17"/>
          <w:szCs w:val="17"/>
        </w:rPr>
        <w:t xml:space="preserve">Why it matters.  </w:t>
      </w:r>
      <w:r>
        <w:rPr>
          <w:rFonts w:ascii="Arial" w:cs="Arial" w:eastAsia="Arial" w:hAnsi="Arial"/>
          <w:color w:val="1A1A1A"/>
          <w:sz w:val="17"/>
          <w:szCs w:val="17"/>
        </w:rPr>
        <w:t xml:space="preserve">The conflict is smaller than under the old design but sharper in character: it now touches a small, wealthy, individually identifiable group and produces a personal tax consequence, not only a unit-pricing one. The reputational exposure runs to APRA as much as to trustees, because APRA published adverse findings on this exact control in December 2024 and knew the measure commenced 1 July 2026. Supervisors should not treat the removal of unrealised-gains taxation as closing the valuation governance question.</w:t>
      </w:r>
    </w:p>
    <w:p>
      <w:pPr>
        <w:spacing w:after="60" w:before="0" w:line="264"/>
      </w:pPr>
      <w:r>
        <w:rPr>
          <w:rFonts w:ascii="Arial" w:cs="Arial" w:eastAsia="Arial" w:hAnsi="Arial"/>
          <w:b/>
          <w:bCs/>
          <w:color w:val="00B398"/>
          <w:sz w:val="17"/>
          <w:szCs w:val="17"/>
        </w:rPr>
        <w:t xml:space="preserve">Who bears it.  </w:t>
      </w:r>
      <w:r>
        <w:rPr>
          <w:rFonts w:ascii="Arial" w:cs="Arial" w:eastAsia="Arial" w:hAnsi="Arial"/>
          <w:color w:val="1A1A1A"/>
          <w:sz w:val="17"/>
          <w:szCs w:val="17"/>
        </w:rPr>
        <w:t xml:space="preserve">Funds with material unlisted allocations - industry funds at roughly 20-22% of investments and public sector funds at roughly 19-23%, retail at roughly 5-7%; platform trustees through externally managed exposures. Remaining members bear the equity consequence of stale or conflicted valuations.</w:t>
      </w:r>
    </w:p>
    <w:p>
      <w:pPr>
        <w:spacing w:after="60" w:before="0" w:line="264"/>
      </w:pPr>
      <w:r>
        <w:rPr>
          <w:rFonts w:ascii="Arial" w:cs="Arial" w:eastAsia="Arial" w:hAnsi="Arial"/>
          <w:b/>
          <w:bCs/>
          <w:color w:val="00B398"/>
          <w:sz w:val="17"/>
          <w:szCs w:val="17"/>
        </w:rPr>
        <w:t xml:space="preserve">Recommended APRA position.  </w:t>
      </w:r>
      <w:r>
        <w:rPr>
          <w:rFonts w:ascii="Arial" w:cs="Arial" w:eastAsia="Arial" w:hAnsi="Arial"/>
          <w:color w:val="1A1A1A"/>
          <w:sz w:val="17"/>
          <w:szCs w:val="17"/>
        </w:rPr>
        <w:t xml:space="preserve">State plainly, internally and to industry, that the shift to a realised-earnings base reduces but does not remove the valuation conflict and redirects it onto a small identifiable cohort. Use the SRS 553.0 out-of-cycle valuation series, which began reporting for the December 2025 quarter, as a clean pre-commencement baseline against which to detect changes in revaluation behaviour around 30 June 2027. Reinforce SPS 530 para 40 expectations on conflicted valuation committee membership at the licensees identified in the December 2024 thematic. Confirm, in a letter or FAQ, that Division 296 is a 'change in Government policy settings' trigger for more frequent valuations under SPG 530 para 110. Expect upward-revaluation complaints, not only allegations of suppression.</w:t>
      </w:r>
      <w:r>
        <w:rPr>
          <w:rFonts w:ascii="Arial" w:cs="Arial" w:eastAsia="Arial" w:hAnsi="Arial"/>
          <w:b/>
          <w:bCs/>
          <w:color w:val="0072CE"/>
          <w:sz w:val="13"/>
          <w:szCs w:val="13"/>
          <w:vertAlign w:val="superscript"/>
        </w:rPr>
        <w:t xml:space="preserve"> [I]</w:t>
      </w:r>
    </w:p>
    <w:p>
      <w:pPr>
        <w:spacing w:after="40" w:before="0" w:line="264"/>
      </w:pPr>
      <w:r>
        <w:rPr>
          <w:rFonts w:ascii="Arial" w:cs="Arial" w:eastAsia="Arial" w:hAnsi="Arial"/>
          <w:b/>
          <w:bCs/>
          <w:color w:val="898781"/>
          <w:sz w:val="15"/>
          <w:szCs w:val="15"/>
        </w:rPr>
        <w:t xml:space="preserve">Scoring.  </w:t>
      </w:r>
      <w:r>
        <w:rPr>
          <w:rFonts w:ascii="Arial" w:cs="Arial" w:eastAsia="Arial" w:hAnsi="Arial"/>
          <w:color w:val="898781"/>
          <w:sz w:val="15"/>
          <w:szCs w:val="15"/>
        </w:rPr>
        <w:t xml:space="preserve">Materiality 3/5 · Likelihood 3/5 · APRA proximity 5/5 · Action: supervisory-practice</w:t>
      </w:r>
    </w:p>
    <w:p>
      <w:pPr>
        <w:spacing w:after="40" w:before="0" w:line="264"/>
      </w:pPr>
      <w:r>
        <w:rPr>
          <w:rFonts w:ascii="Arial" w:cs="Arial" w:eastAsia="Arial" w:hAnsi="Arial"/>
          <w:b/>
          <w:bCs/>
          <w:color w:val="898781"/>
          <w:sz w:val="15"/>
          <w:szCs w:val="15"/>
        </w:rPr>
        <w:t xml:space="preserve">Instruments.  </w:t>
      </w:r>
      <w:r>
        <w:rPr>
          <w:rFonts w:ascii="Arial" w:cs="Arial" w:eastAsia="Arial" w:hAnsi="Arial"/>
          <w:color w:val="898781"/>
          <w:sz w:val="15"/>
          <w:szCs w:val="15"/>
        </w:rPr>
        <w:t xml:space="preserve">SPS 530 paras 39-41 (valuation governance framework; policy covering frequency, methodologies, interim valuation circumstances at 40(f) and triggers at 40(g)); SPG 530 paras 9, 109, 110, 114; SRS 553.0 Investment Exposure Concentrations and Valuations / SRF 553.3 Out Of Cycle Valuations; Joint APRA-ASIC unit pricing good practice guidance; ASIC RG 94</w:t>
      </w:r>
    </w:p>
    <w:p>
      <w:pPr>
        <w:spacing w:after="60" w:before="0" w:line="264"/>
      </w:pPr>
      <w:r>
        <w:rPr>
          <w:rFonts w:ascii="Arial" w:cs="Arial" w:eastAsia="Arial" w:hAnsi="Arial"/>
          <w:b/>
          <w:bCs/>
          <w:color w:val="898781"/>
          <w:sz w:val="15"/>
          <w:szCs w:val="15"/>
        </w:rPr>
        <w:t xml:space="preserve">Evidence.  </w:t>
      </w:r>
      <w:r>
        <w:rPr>
          <w:rFonts w:ascii="Arial" w:cs="Arial" w:eastAsia="Arial" w:hAnsi="Arial"/>
          <w:color w:val="898781"/>
          <w:sz w:val="14"/>
          <w:szCs w:val="14"/>
        </w:rPr>
        <w:t xml:space="preserve">LIKELIHOOD PROPOSITION: P(a valuation decision at 30 June 2027 produces a member complaint, a media allegation or an APRA finding connecting valuation governance to Division 296 outcomes, by FY2029) = 3.  ·  SOURCED: the enacted design 'explicitly removes the taxation of unrealised gains, switching instead to a realised-earnings base' - Bills Digest No. 48, 2025-26. Arguments built on paper gains, forced realisation, unusable paper losses and unindexed bracket creep are all answered by the enacted design and should not be carried into the meeting.  ·  SOURCED: APRA thematic review, 17 December 2024 - only 11 of 23 licensees had a dedicated valuation committee; committee members included 'individuals whose remuneration may be dependent on the outcome of the valuation process'; 'some assets may not be revalued for multiple quarters at a time' - https://www.apra.gov.au/governance-of-unlisted-asset-valuation-and-liquidity-risk-management-superannuation-december-2024  ·  SOURCED: SPG 530 para 110 lists 'changes in Government policy settings' among triggers for more frequent valuations; para 114 requires protocols for reviewing interim valuations for unit pricing purposes.  ·  SOURCED: SRS 553.0 first reporting period is the December 2025 quarter - one cycle before Division 296 commenced - https://www.apra.gov.au/system/files/2024-12/Reporting%20Standard%20SRS%20553.0%20Investment%20Exposure%20Concentrations%20and%20Valuations_clean.pdf  ·  INFERRED CHAIN: total superannuation balance at 30 June determines both eligibility and the taxed proportion; for an accumulation interest that balance is a function of the unit price, which is a function of unlisted asset valuations; therefore 30 June valuations remain tax-determinative for in-scope members even though unrealised gains are not taxed.</w:t>
      </w:r>
    </w:p>
    <w:p>
      <w:pPr>
        <w:spacing w:after="60" w:before="200" w:line="264"/>
      </w:pPr>
      <w:r>
        <w:rPr>
          <w:rFonts w:ascii="Arial" w:cs="Arial" w:eastAsia="Arial" w:hAnsi="Arial"/>
          <w:b/>
          <w:bCs/>
          <w:color w:val="012169"/>
          <w:sz w:val="19"/>
          <w:szCs w:val="19"/>
        </w:rPr>
        <w:t xml:space="preserve">P6. </w:t>
      </w:r>
      <w:r>
        <w:rPr>
          <w:rFonts w:ascii="Arial" w:cs="Arial" w:eastAsia="Arial" w:hAnsi="Arial"/>
          <w:b/>
          <w:bCs/>
          <w:color w:val="012169"/>
          <w:sz w:val="19"/>
          <w:szCs w:val="19"/>
        </w:rPr>
        <w:t xml:space="preserve">APRA cannot see the affected population, and the obvious remedy - Tax Office data - may not be lawful without amendment</w:t>
      </w:r>
      <w:r>
        <w:rPr>
          <w:rFonts w:ascii="Arial" w:cs="Arial" w:eastAsia="Arial" w:hAnsi="Arial"/>
          <w:b/>
          <w:bCs/>
          <w:color w:val="E87722"/>
          <w:sz w:val="15"/>
          <w:szCs w:val="15"/>
        </w:rPr>
        <w:t xml:space="preserve">   GRADE B</w:t>
      </w:r>
    </w:p>
    <w:p>
      <w:pPr>
        <w:spacing w:after="60" w:before="0" w:line="264"/>
      </w:pPr>
      <w:r>
        <w:rPr>
          <w:rFonts w:ascii="Arial" w:cs="Arial" w:eastAsia="Arial" w:hAnsi="Arial"/>
          <w:b/>
          <w:bCs/>
          <w:color w:val="00B398"/>
          <w:sz w:val="17"/>
          <w:szCs w:val="17"/>
        </w:rPr>
        <w:t xml:space="preserve">In plain terms.  </w:t>
      </w:r>
      <w:r>
        <w:rPr>
          <w:rFonts w:ascii="Arial" w:cs="Arial" w:eastAsia="Arial" w:hAnsi="Arial"/>
          <w:color w:val="1A1A1A"/>
          <w:sz w:val="17"/>
          <w:szCs w:val="17"/>
        </w:rPr>
        <w:t xml:space="preserve">The tax applies above three million dollars and again above ten million. The highest balance band APRA collects and publishes is 'one million and above'. So APRA cannot count members above three million, cannot see where they are concentrated, and cannot size a fund's exposure. A deeper problem sits behind that: the threshold is measured across everything a person holds, in every fund including a self-managed one. APRA's collections are per fund and per account, so more balance bands would still not produce that view. Only the Tax Office holds it. But the obvious fix - a standing data feed from the Tax Office - runs into taxpayer secrecy law, and nobody has checked whether it is permitted. There is also a quieter gap: APRA collects nothing at all about the Division 296 process itself - not how many in-scope members a fund reports, not which method it uses, not how many release notices it received. Balance bands tell APRA who is exposed; a single process question would tell APRA who is ready.</w:t>
      </w:r>
    </w:p>
    <w:p>
      <w:pPr>
        <w:spacing w:after="60" w:before="0" w:line="264"/>
      </w:pPr>
      <w:r>
        <w:rPr>
          <w:rFonts w:ascii="Arial" w:cs="Arial" w:eastAsia="Arial" w:hAnsi="Arial"/>
          <w:b/>
          <w:bCs/>
          <w:color w:val="00B398"/>
          <w:sz w:val="17"/>
          <w:szCs w:val="17"/>
        </w:rPr>
        <w:t xml:space="preserve">Why it matters.  </w:t>
      </w:r>
      <w:r>
        <w:rPr>
          <w:rFonts w:ascii="Arial" w:cs="Arial" w:eastAsia="Arial" w:hAnsi="Arial"/>
          <w:color w:val="1A1A1A"/>
          <w:sz w:val="17"/>
          <w:szCs w:val="17"/>
        </w:rPr>
        <w:t xml:space="preserve">Without this, every APRA statement about the measure's effect on regulated funds is an estimate rather than an observation, and APRA cannot challenge a licensee that says it has very few affected members. It is also the main reputational risk in a CEO-level conversation: APRA should not promise to monitor a population it structurally cannot see. The honest framing is that APRA can monitor large-account behaviour in APRA-regulated funds, not the affected population.</w:t>
      </w:r>
    </w:p>
    <w:p>
      <w:pPr>
        <w:spacing w:after="60" w:before="0" w:line="264"/>
      </w:pPr>
      <w:r>
        <w:rPr>
          <w:rFonts w:ascii="Arial" w:cs="Arial" w:eastAsia="Arial" w:hAnsi="Arial"/>
          <w:b/>
          <w:bCs/>
          <w:color w:val="00B398"/>
          <w:sz w:val="17"/>
          <w:szCs w:val="17"/>
        </w:rPr>
        <w:t xml:space="preserve">Who bears it.  </w:t>
      </w:r>
      <w:r>
        <w:rPr>
          <w:rFonts w:ascii="Arial" w:cs="Arial" w:eastAsia="Arial" w:hAnsi="Arial"/>
          <w:color w:val="1A1A1A"/>
          <w:sz w:val="17"/>
          <w:szCs w:val="17"/>
        </w:rPr>
        <w:t xml:space="preserve">APRA's own supervisory capability; indirectly every licensee whose exposure cannot be sized or benchmarked; Ministers and committees who will ask APRA questions it cannot currently answer.</w:t>
      </w:r>
    </w:p>
    <w:p>
      <w:pPr>
        <w:spacing w:after="60" w:before="0" w:line="264"/>
      </w:pPr>
      <w:r>
        <w:rPr>
          <w:rFonts w:ascii="Arial" w:cs="Arial" w:eastAsia="Arial" w:hAnsi="Arial"/>
          <w:b/>
          <w:bCs/>
          <w:color w:val="00B398"/>
          <w:sz w:val="17"/>
          <w:szCs w:val="17"/>
        </w:rPr>
        <w:t xml:space="preserve">Recommended APRA position.  </w:t>
      </w:r>
      <w:r>
        <w:rPr>
          <w:rFonts w:ascii="Arial" w:cs="Arial" w:eastAsia="Arial" w:hAnsi="Arial"/>
          <w:color w:val="1A1A1A"/>
          <w:sz w:val="17"/>
          <w:szCs w:val="17"/>
        </w:rPr>
        <w:t xml:space="preserve">Decide now, not in 2027, whether to add balance brackets at $2m, $3m, $5m and $10m to SRS 611.0 - a cheap change to an existing quarterly collection, but one needing its own consultation, and it will not deliver before the first assessments issue. Test two things the draft analysis assumed away: whether fund-level counts in a $10m+ bracket can be published at all given re-identification constraints, and whether a single process question (in-scope member count, attribution method, release authorities received) would be more useful than more brackets. For anything urgent, use the ad hoc written-notice power to named licensees rather than amending the newly commenced SRS 551.0. Before recommending an ATO data exchange, establish whether taxation secrecy permits it and whether the existing memorandum of understanding covers it; if not, the ask is a legislated disclosure exception, not an administrative arrangement. Note the forum point: the Council of Financial Regulators has four members and the ATO is not one of them; the grouping that includes the ATO is CFR Plus.</w:t>
      </w:r>
      <w:r>
        <w:rPr>
          <w:rFonts w:ascii="Arial" w:cs="Arial" w:eastAsia="Arial" w:hAnsi="Arial"/>
          <w:b/>
          <w:bCs/>
          <w:color w:val="00806D"/>
          <w:sz w:val="13"/>
          <w:szCs w:val="13"/>
          <w:vertAlign w:val="superscript"/>
        </w:rPr>
        <w:t xml:space="preserve"> [S]</w:t>
      </w:r>
    </w:p>
    <w:p>
      <w:pPr>
        <w:spacing w:after="40" w:before="0" w:line="264"/>
      </w:pPr>
      <w:r>
        <w:rPr>
          <w:rFonts w:ascii="Arial" w:cs="Arial" w:eastAsia="Arial" w:hAnsi="Arial"/>
          <w:b/>
          <w:bCs/>
          <w:color w:val="898781"/>
          <w:sz w:val="15"/>
          <w:szCs w:val="15"/>
        </w:rPr>
        <w:t xml:space="preserve">Scoring.  </w:t>
      </w:r>
      <w:r>
        <w:rPr>
          <w:rFonts w:ascii="Arial" w:cs="Arial" w:eastAsia="Arial" w:hAnsi="Arial"/>
          <w:color w:val="898781"/>
          <w:sz w:val="15"/>
          <w:szCs w:val="15"/>
        </w:rPr>
        <w:t xml:space="preserve">Materiality 3/5 · Likelihood 3/5 · APRA proximity 5/5 · Action: standard-amendment</w:t>
      </w:r>
    </w:p>
    <w:p>
      <w:pPr>
        <w:spacing w:after="40" w:before="0" w:line="264"/>
      </w:pPr>
      <w:r>
        <w:rPr>
          <w:rFonts w:ascii="Arial" w:cs="Arial" w:eastAsia="Arial" w:hAnsi="Arial"/>
          <w:b/>
          <w:bCs/>
          <w:color w:val="898781"/>
          <w:sz w:val="15"/>
          <w:szCs w:val="15"/>
        </w:rPr>
        <w:t xml:space="preserve">Instruments.  </w:t>
      </w:r>
      <w:r>
        <w:rPr>
          <w:rFonts w:ascii="Arial" w:cs="Arial" w:eastAsia="Arial" w:hAnsi="Arial"/>
          <w:color w:val="898781"/>
          <w:sz w:val="15"/>
          <w:szCs w:val="15"/>
        </w:rPr>
        <w:t xml:space="preserve">SRS 611.0 Member Accounts; SRF 611.0 Instructions Table 1 Column 3 (Members Benefit Bracket Type); SRS 551.0 Liquidity; SRF 551.1 Tables 1 and 2; SRS 553.0 Investment Exposure Concentrations and Valuations; Financial Sector (Collection of Data) Act 2001 (ad hoc notice power; confidentiality determinations for publication); Taxation Administration Act 1953 Sch 1 Div 355 (taxation secrecy) and the APRA-ATO memorandum of understanding; Superannuation Data Transformation programme (closed to new collections)</w:t>
      </w:r>
    </w:p>
    <w:p>
      <w:pPr>
        <w:spacing w:after="60" w:before="0" w:line="264"/>
      </w:pPr>
      <w:r>
        <w:rPr>
          <w:rFonts w:ascii="Arial" w:cs="Arial" w:eastAsia="Arial" w:hAnsi="Arial"/>
          <w:b/>
          <w:bCs/>
          <w:color w:val="898781"/>
          <w:sz w:val="15"/>
          <w:szCs w:val="15"/>
        </w:rPr>
        <w:t xml:space="preserve">Evidence.  </w:t>
      </w:r>
      <w:r>
        <w:rPr>
          <w:rFonts w:ascii="Arial" w:cs="Arial" w:eastAsia="Arial" w:hAnsi="Arial"/>
          <w:color w:val="898781"/>
          <w:sz w:val="14"/>
          <w:szCs w:val="14"/>
        </w:rPr>
        <w:t xml:space="preserve">LIKELIHOOD PROPOSITION: P(APRA is asked a Division 296 exposure question by a Minister, a committee or the Council of Financial Regulators during 2027-28 and cannot answer it from its own data) = 3.  ·  SOURCED: SRF 611.0 Instructions Table 1 Column 3 valid values top out at '$1,000,000+' - https://www.apra.gov.au/sites/default/files/2021-10/Reporting%20Standard%20SRS%20611.0%20Member%20Accounts%20-%20marked%20up.pdf  ·  SOURCED: at 31 March 2026 there were 305,000 member accounts (1.28%) in the $1,000,000+ bracket holding $441,461m of $3,206,214m total members' benefits (13.8%), average balance $1.45m - APRA Quarterly Superannuation Industry Publication, March 2026, Table 8.  ·  SOURCED: SRF 551.1 Table 1 requires only Actual Net Cash Flows, Estimated Stressed Net Cash Flows and Number Of Days Covered - no decomposition by driver, so a release authority payment, a Division 296-motivated rollover and an ordinary retirement lump sum are indistinguishable - https://www.apra.gov.au/system/files/2024-12/Reporting%20Standard%20SRS%20551.0%20Liquidity_clean.pdf  ·  SOURCED: the Council of Financial Regulators comprises APRA, ASIC, Treasury and the RBA - https://www.cfr.gov.au/about/member-agencies.html . The ATO participates in the broader CFR Plus grouping.  ·  INFERRED CHAIN: SRS 611.0 requires reporting separately for each RSE and is keyed on member account, not person; therefore a member with $1.8m in each of two APRA funds appears twice below $2m and never as a $3.6m total balance. More brackets improve large-account visibility but cannot produce the threshold view.  ·  GAP: could not obtain SRS 710.0 Conditions of Release or SRS 610.1 Changes in Membership Profile; check whether either decomposes outflows by reason before concluding no collection does. Also unverified: whether Division 355 permits the ATO to give APRA aggregated by-fund Division 296 data.  ·  GAP: the absence of APRA-published material on Division 296 is based on search, not an exhaustive internal index; confirm internally before relying on it.</w:t>
      </w:r>
    </w:p>
    <w:p>
      <w:pPr>
        <w:spacing w:after="60" w:before="200" w:line="264"/>
      </w:pPr>
      <w:r>
        <w:rPr>
          <w:rFonts w:ascii="Arial" w:cs="Arial" w:eastAsia="Arial" w:hAnsi="Arial"/>
          <w:b/>
          <w:bCs/>
          <w:color w:val="012169"/>
          <w:sz w:val="19"/>
          <w:szCs w:val="19"/>
        </w:rPr>
        <w:t xml:space="preserve">P7. </w:t>
      </w:r>
      <w:r>
        <w:rPr>
          <w:rFonts w:ascii="Arial" w:cs="Arial" w:eastAsia="Arial" w:hAnsi="Arial"/>
          <w:b/>
          <w:bCs/>
          <w:color w:val="012169"/>
          <w:sz w:val="19"/>
          <w:szCs w:val="19"/>
        </w:rPr>
        <w:t xml:space="preserve">Two major changes commence on the same day, in the same systems, at the same providers - and Division 296 is the one that will get deprioritised</w:t>
      </w:r>
      <w:r>
        <w:rPr>
          <w:rFonts w:ascii="Arial" w:cs="Arial" w:eastAsia="Arial" w:hAnsi="Arial"/>
          <w:b/>
          <w:bCs/>
          <w:color w:val="E87722"/>
          <w:sz w:val="15"/>
          <w:szCs w:val="15"/>
        </w:rPr>
        <w:t xml:space="preserve">   GRADE B</w:t>
      </w:r>
    </w:p>
    <w:p>
      <w:pPr>
        <w:spacing w:after="60" w:before="0" w:line="264"/>
      </w:pPr>
      <w:r>
        <w:rPr>
          <w:rFonts w:ascii="Arial" w:cs="Arial" w:eastAsia="Arial" w:hAnsi="Arial"/>
          <w:b/>
          <w:bCs/>
          <w:color w:val="00B398"/>
          <w:sz w:val="17"/>
          <w:szCs w:val="17"/>
        </w:rPr>
        <w:t xml:space="preserve">In plain terms.  </w:t>
      </w:r>
      <w:r>
        <w:rPr>
          <w:rFonts w:ascii="Arial" w:cs="Arial" w:eastAsia="Arial" w:hAnsi="Arial"/>
          <w:color w:val="1A1A1A"/>
          <w:sz w:val="17"/>
          <w:szCs w:val="17"/>
        </w:rPr>
        <w:t xml:space="preserve">Payday Super also commenced on 1 July 2026. It requires funds to receive and allocate contributions, or return them, within three business days, delivered through a new data standard that started the same day. In March 2026 APRA wrote to all trustees warning that many were not on track. Both changes land on the same administration platforms, the same data pipelines and the same limited pool of administrator change capacity, in the same year. Payday Super has the earlier, louder and more visible deadline. Division 296 is the one with no published guidance, no external assurance and a four-year tail during which errors can be reopened. When capacity is short, that is the one that slips.</w:t>
      </w:r>
    </w:p>
    <w:p>
      <w:pPr>
        <w:spacing w:after="60" w:before="0" w:line="264"/>
      </w:pPr>
      <w:r>
        <w:rPr>
          <w:rFonts w:ascii="Arial" w:cs="Arial" w:eastAsia="Arial" w:hAnsi="Arial"/>
          <w:b/>
          <w:bCs/>
          <w:color w:val="00B398"/>
          <w:sz w:val="17"/>
          <w:szCs w:val="17"/>
        </w:rPr>
        <w:t xml:space="preserve">Why it matters.  </w:t>
      </w:r>
      <w:r>
        <w:rPr>
          <w:rFonts w:ascii="Arial" w:cs="Arial" w:eastAsia="Arial" w:hAnsi="Arial"/>
          <w:color w:val="1A1A1A"/>
          <w:sz w:val="17"/>
          <w:szCs w:val="17"/>
        </w:rPr>
        <w:t xml:space="preserve">This is change management risk at industry scale, and it is the reason a readiness question asked in FY2027 is worth asking. It also supplies the two things the Division 296 case otherwise lacks: a precedent, because the Payday Super letter is exactly the intervention proposed here and is only four months old, and an argument, because APRA has already acted on one measure commencing 1 July 2026.</w:t>
      </w:r>
    </w:p>
    <w:p>
      <w:pPr>
        <w:spacing w:after="60" w:before="0" w:line="264"/>
      </w:pPr>
      <w:r>
        <w:rPr>
          <w:rFonts w:ascii="Arial" w:cs="Arial" w:eastAsia="Arial" w:hAnsi="Arial"/>
          <w:b/>
          <w:bCs/>
          <w:color w:val="00B398"/>
          <w:sz w:val="17"/>
          <w:szCs w:val="17"/>
        </w:rPr>
        <w:t xml:space="preserve">Who bears it.  </w:t>
      </w:r>
      <w:r>
        <w:rPr>
          <w:rFonts w:ascii="Arial" w:cs="Arial" w:eastAsia="Arial" w:hAnsi="Arial"/>
          <w:color w:val="1A1A1A"/>
          <w:sz w:val="17"/>
          <w:szCs w:val="17"/>
        </w:rPr>
        <w:t xml:space="preserve">All RSE licensees; concentrated at the shared administrators identified through the material service provider registers.</w:t>
      </w:r>
    </w:p>
    <w:p>
      <w:pPr>
        <w:spacing w:after="60" w:before="0" w:line="264"/>
      </w:pPr>
      <w:r>
        <w:rPr>
          <w:rFonts w:ascii="Arial" w:cs="Arial" w:eastAsia="Arial" w:hAnsi="Arial"/>
          <w:b/>
          <w:bCs/>
          <w:color w:val="00B398"/>
          <w:sz w:val="17"/>
          <w:szCs w:val="17"/>
        </w:rPr>
        <w:t xml:space="preserve">Recommended APRA position.  </w:t>
      </w:r>
      <w:r>
        <w:rPr>
          <w:rFonts w:ascii="Arial" w:cs="Arial" w:eastAsia="Arial" w:hAnsi="Arial"/>
          <w:color w:val="1A1A1A"/>
          <w:sz w:val="17"/>
          <w:szCs w:val="17"/>
        </w:rPr>
        <w:t xml:space="preserve">Ask exposed licensees, and their major administrators, for a single view of the FY2027 change portfolio showing how Payday Super and Division 296 are sequenced and resourced, and what gives way if capacity is short. Use the 25 March 2026 Payday Super letter as the template for a Division 296 equivalent - it removes the 'is this APRA's business?' objection, supplies drafting, and makes the Division 296 letter a consistency step rather than a new initiative.</w:t>
      </w:r>
      <w:r>
        <w:rPr>
          <w:rFonts w:ascii="Arial" w:cs="Arial" w:eastAsia="Arial" w:hAnsi="Arial"/>
          <w:b/>
          <w:bCs/>
          <w:color w:val="00806D"/>
          <w:sz w:val="13"/>
          <w:szCs w:val="13"/>
          <w:vertAlign w:val="superscript"/>
        </w:rPr>
        <w:t xml:space="preserve"> [S]</w:t>
      </w:r>
    </w:p>
    <w:p>
      <w:pPr>
        <w:spacing w:after="40" w:before="0" w:line="264"/>
      </w:pPr>
      <w:r>
        <w:rPr>
          <w:rFonts w:ascii="Arial" w:cs="Arial" w:eastAsia="Arial" w:hAnsi="Arial"/>
          <w:b/>
          <w:bCs/>
          <w:color w:val="898781"/>
          <w:sz w:val="15"/>
          <w:szCs w:val="15"/>
        </w:rPr>
        <w:t xml:space="preserve">Scoring.  </w:t>
      </w:r>
      <w:r>
        <w:rPr>
          <w:rFonts w:ascii="Arial" w:cs="Arial" w:eastAsia="Arial" w:hAnsi="Arial"/>
          <w:color w:val="898781"/>
          <w:sz w:val="15"/>
          <w:szCs w:val="15"/>
        </w:rPr>
        <w:t xml:space="preserve">Materiality 3/5 · Likelihood 3/5 · APRA proximity 5/5 · Action: supervisory-practice</w:t>
      </w:r>
    </w:p>
    <w:p>
      <w:pPr>
        <w:spacing w:after="40" w:before="0" w:line="264"/>
      </w:pPr>
      <w:r>
        <w:rPr>
          <w:rFonts w:ascii="Arial" w:cs="Arial" w:eastAsia="Arial" w:hAnsi="Arial"/>
          <w:b/>
          <w:bCs/>
          <w:color w:val="898781"/>
          <w:sz w:val="15"/>
          <w:szCs w:val="15"/>
        </w:rPr>
        <w:t xml:space="preserve">Instruments.  </w:t>
      </w:r>
      <w:r>
        <w:rPr>
          <w:rFonts w:ascii="Arial" w:cs="Arial" w:eastAsia="Arial" w:hAnsi="Arial"/>
          <w:color w:val="898781"/>
          <w:sz w:val="15"/>
          <w:szCs w:val="15"/>
        </w:rPr>
        <w:t xml:space="preserve">CPS 230 para 24 (change management risk); paras 35, 36(c), 38, 44; CPS 230 Part 4 (service provider management); SPS 220 paras 15, 18, 32; APRA letter 'Payday Super Readiness', 25 March 2026</w:t>
      </w:r>
    </w:p>
    <w:p>
      <w:pPr>
        <w:spacing w:after="60" w:before="0" w:line="264"/>
      </w:pPr>
      <w:r>
        <w:rPr>
          <w:rFonts w:ascii="Arial" w:cs="Arial" w:eastAsia="Arial" w:hAnsi="Arial"/>
          <w:b/>
          <w:bCs/>
          <w:color w:val="898781"/>
          <w:sz w:val="15"/>
          <w:szCs w:val="15"/>
        </w:rPr>
        <w:t xml:space="preserve">Evidence.  </w:t>
      </w:r>
      <w:r>
        <w:rPr>
          <w:rFonts w:ascii="Arial" w:cs="Arial" w:eastAsia="Arial" w:hAnsi="Arial"/>
          <w:color w:val="898781"/>
          <w:sz w:val="14"/>
          <w:szCs w:val="14"/>
        </w:rPr>
        <w:t xml:space="preserve">LIKELIHOOD PROPOSITION: P(Division 296 implementation is materially deprioritised behind Payday Super at one or more major administrators, contributing to a first-year failure) = 3.  ·  SOURCED: APRA, 'Payday Super Readiness', 25 March 2026 - warns that many licensees were not on track to implement the Member Verification Request component of the new SuperStream standard, tells them to revisit implementation timelines, states that contribution processing should be treated as a CPS 230 critical operation, and states that significant breaches would necessitate a breach notification - https://www.apra.gov.au/news-and-publications/payday-super-readiness-0  ·  SOURCED: Payday Super commences 1 July 2026, the same day Division 296 commences.  ·  INFERRED: the two changes share platforms, pipelines and a finite pool of administrator change capacity; Payday Super carries the earlier and more visible deadline; therefore Division 296 is the more likely casualty of capacity constraints. Unquantified - state as an APRA analytical proposition.</w:t>
      </w:r>
    </w:p>
    <w:p>
      <w:pPr>
        <w:spacing w:after="60" w:before="200" w:line="264"/>
      </w:pPr>
      <w:r>
        <w:rPr>
          <w:rFonts w:ascii="Arial" w:cs="Arial" w:eastAsia="Arial" w:hAnsi="Arial"/>
          <w:b/>
          <w:bCs/>
          <w:color w:val="012169"/>
          <w:sz w:val="19"/>
          <w:szCs w:val="19"/>
        </w:rPr>
        <w:t xml:space="preserve">P8. </w:t>
      </w:r>
      <w:r>
        <w:rPr>
          <w:rFonts w:ascii="Arial" w:cs="Arial" w:eastAsia="Arial" w:hAnsi="Arial"/>
          <w:b/>
          <w:bCs/>
          <w:color w:val="012169"/>
          <w:sz w:val="19"/>
          <w:szCs w:val="19"/>
        </w:rPr>
        <w:t xml:space="preserve">The hardest attribution problems sit in platform, wrap and member-directed options - and that is where to look first</w:t>
      </w:r>
      <w:r>
        <w:rPr>
          <w:rFonts w:ascii="Arial" w:cs="Arial" w:eastAsia="Arial" w:hAnsi="Arial"/>
          <w:b/>
          <w:bCs/>
          <w:color w:val="E87722"/>
          <w:sz w:val="15"/>
          <w:szCs w:val="15"/>
        </w:rPr>
        <w:t xml:space="preserve">   GRADE B</w:t>
      </w:r>
    </w:p>
    <w:p>
      <w:pPr>
        <w:spacing w:after="60" w:before="0" w:line="264"/>
      </w:pPr>
      <w:r>
        <w:rPr>
          <w:rFonts w:ascii="Arial" w:cs="Arial" w:eastAsia="Arial" w:hAnsi="Arial"/>
          <w:b/>
          <w:bCs/>
          <w:color w:val="00B398"/>
          <w:sz w:val="17"/>
          <w:szCs w:val="17"/>
        </w:rPr>
        <w:t xml:space="preserve">In plain terms.  </w:t>
      </w:r>
      <w:r>
        <w:rPr>
          <w:rFonts w:ascii="Arial" w:cs="Arial" w:eastAsia="Arial" w:hAnsi="Arial"/>
          <w:color w:val="1A1A1A"/>
          <w:sz w:val="17"/>
          <w:szCs w:val="17"/>
        </w:rPr>
        <w:t xml:space="preserve">Where members pick their own investments - platforms, wraps and member-directed options - each member's assets are individually identifiable. That makes the split of income between members both more meaningful and more variable: the method actually changes the answer, and different funds will land in different places. In a large pooled option the method matters much less, because every lawful method must start from the same whole-of-fund earnings figure and stay broadly proportionate to balances. Those same platform and wrap trustees also hold the highest share of very large member accounts. APRA has separately taken enforcement action against five platform trustees for investment governance failings, and its December 2024 review found weaknesses across a group of trustees that included platform and mid-sized businesses - that is useful background about general governance capacity, but it is not evidence about tax and member administration capability, which is a different function run by different teams.</w:t>
      </w:r>
    </w:p>
    <w:p>
      <w:pPr>
        <w:spacing w:after="60" w:before="0" w:line="264"/>
      </w:pPr>
      <w:r>
        <w:rPr>
          <w:rFonts w:ascii="Arial" w:cs="Arial" w:eastAsia="Arial" w:hAnsi="Arial"/>
          <w:b/>
          <w:bCs/>
          <w:color w:val="00B398"/>
          <w:sz w:val="17"/>
          <w:szCs w:val="17"/>
        </w:rPr>
        <w:t xml:space="preserve">Why it matters.  </w:t>
      </w:r>
      <w:r>
        <w:rPr>
          <w:rFonts w:ascii="Arial" w:cs="Arial" w:eastAsia="Arial" w:hAnsi="Arial"/>
          <w:color w:val="1A1A1A"/>
          <w:sz w:val="17"/>
          <w:szCs w:val="17"/>
        </w:rPr>
        <w:t xml:space="preserve">This gives APRA a named, defensible shortlist without any new data, and it locates the member-equity exposure where it is real rather than asserting it across the whole industry. Concentration also runs the other way: a handful of funds hold most of the very large accounts, so a targeted review covers most of the exposure at low cost.</w:t>
      </w:r>
    </w:p>
    <w:p>
      <w:pPr>
        <w:spacing w:after="60" w:before="0" w:line="264"/>
      </w:pPr>
      <w:r>
        <w:rPr>
          <w:rFonts w:ascii="Arial" w:cs="Arial" w:eastAsia="Arial" w:hAnsi="Arial"/>
          <w:b/>
          <w:bCs/>
          <w:color w:val="00B398"/>
          <w:sz w:val="17"/>
          <w:szCs w:val="17"/>
        </w:rPr>
        <w:t xml:space="preserve">Who bears it.  </w:t>
      </w:r>
      <w:r>
        <w:rPr>
          <w:rFonts w:ascii="Arial" w:cs="Arial" w:eastAsia="Arial" w:hAnsi="Arial"/>
          <w:color w:val="1A1A1A"/>
          <w:sz w:val="17"/>
          <w:szCs w:val="17"/>
        </w:rPr>
        <w:t xml:space="preserve">Platform, wrap and master-trust retail trustees; closed public sector and corporate schemes with concentrated large accounts; their members. Large industry funds face a broad but shallow exposure.</w:t>
      </w:r>
    </w:p>
    <w:p>
      <w:pPr>
        <w:spacing w:after="60" w:before="0" w:line="264"/>
      </w:pPr>
      <w:r>
        <w:rPr>
          <w:rFonts w:ascii="Arial" w:cs="Arial" w:eastAsia="Arial" w:hAnsi="Arial"/>
          <w:b/>
          <w:bCs/>
          <w:color w:val="00B398"/>
          <w:sz w:val="17"/>
          <w:szCs w:val="17"/>
        </w:rPr>
        <w:t xml:space="preserve">Recommended APRA position.  </w:t>
      </w:r>
      <w:r>
        <w:rPr>
          <w:rFonts w:ascii="Arial" w:cs="Arial" w:eastAsia="Arial" w:hAnsi="Arial"/>
          <w:color w:val="1A1A1A"/>
          <w:sz w:val="17"/>
          <w:szCs w:val="17"/>
        </w:rPr>
        <w:t xml:space="preserve">Run a targeted Division 296 readiness review in FY2027 covering platform and wrap trustees and the licensees with the highest concentration of very large accounts, folded into existing remediation engagement rather than launched as a new programme. Reason it on the attribution difficulty in member-directed options, and cite the December 2024 thematic only as indicative evidence of general governance capacity, flagged as such. For small licensees with high-balance-skewed membership, ask whether sustained outflow from that cohort features in the CPS 190 trigger framework - losing a few hundred large accounts is a scale event for them and not for a mega-fund.</w:t>
      </w:r>
      <w:r>
        <w:rPr>
          <w:rFonts w:ascii="Arial" w:cs="Arial" w:eastAsia="Arial" w:hAnsi="Arial"/>
          <w:b/>
          <w:bCs/>
          <w:color w:val="0072CE"/>
          <w:sz w:val="13"/>
          <w:szCs w:val="13"/>
          <w:vertAlign w:val="superscript"/>
        </w:rPr>
        <w:t xml:space="preserve"> [I]</w:t>
      </w:r>
    </w:p>
    <w:p>
      <w:pPr>
        <w:spacing w:after="40" w:before="0" w:line="264"/>
      </w:pPr>
      <w:r>
        <w:rPr>
          <w:rFonts w:ascii="Arial" w:cs="Arial" w:eastAsia="Arial" w:hAnsi="Arial"/>
          <w:b/>
          <w:bCs/>
          <w:color w:val="898781"/>
          <w:sz w:val="15"/>
          <w:szCs w:val="15"/>
        </w:rPr>
        <w:t xml:space="preserve">Scoring.  </w:t>
      </w:r>
      <w:r>
        <w:rPr>
          <w:rFonts w:ascii="Arial" w:cs="Arial" w:eastAsia="Arial" w:hAnsi="Arial"/>
          <w:color w:val="898781"/>
          <w:sz w:val="15"/>
          <w:szCs w:val="15"/>
        </w:rPr>
        <w:t xml:space="preserve">Materiality 3/5 · Likelihood 3/5 · APRA proximity 4/5 · Action: supervisory-practice</w:t>
      </w:r>
    </w:p>
    <w:p>
      <w:pPr>
        <w:spacing w:after="40" w:before="0" w:line="264"/>
      </w:pPr>
      <w:r>
        <w:rPr>
          <w:rFonts w:ascii="Arial" w:cs="Arial" w:eastAsia="Arial" w:hAnsi="Arial"/>
          <w:b/>
          <w:bCs/>
          <w:color w:val="898781"/>
          <w:sz w:val="15"/>
          <w:szCs w:val="15"/>
        </w:rPr>
        <w:t xml:space="preserve">Instruments.  </w:t>
      </w:r>
      <w:r>
        <w:rPr>
          <w:rFonts w:ascii="Arial" w:cs="Arial" w:eastAsia="Arial" w:hAnsi="Arial"/>
          <w:color w:val="898781"/>
          <w:sz w:val="15"/>
          <w:szCs w:val="15"/>
        </w:rPr>
        <w:t xml:space="preserve">SPS 530 paras 31-38 (comprehensive investment stress testing programme at para 31; liquidity management plan at para 36) and paras 39-41 (valuation governance); SPG 530 paras 9, 79, 92, 109-110, 114; CPS 190 Recovery and Exit Planning paras 7, 8(b), 8(d); SPS 515 paras 23-28 (business performance review, cohorts)</w:t>
      </w:r>
    </w:p>
    <w:p>
      <w:pPr>
        <w:spacing w:after="60" w:before="0" w:line="264"/>
      </w:pPr>
      <w:r>
        <w:rPr>
          <w:rFonts w:ascii="Arial" w:cs="Arial" w:eastAsia="Arial" w:hAnsi="Arial"/>
          <w:b/>
          <w:bCs/>
          <w:color w:val="898781"/>
          <w:sz w:val="15"/>
          <w:szCs w:val="15"/>
        </w:rPr>
        <w:t xml:space="preserve">Evidence.  </w:t>
      </w:r>
      <w:r>
        <w:rPr>
          <w:rFonts w:ascii="Arial" w:cs="Arial" w:eastAsia="Arial" w:hAnsi="Arial"/>
          <w:color w:val="898781"/>
          <w:sz w:val="14"/>
          <w:szCs w:val="14"/>
        </w:rPr>
        <w:t xml:space="preserve">LIKELIHOOD PROPOSITION: P(a materially divergent or unsupportable attribution method is found at one or more platform or member-directed licensees on review by FY2028) = 3.  ·  SOURCED (corrected figure): APRA's 17 December 2024 review covered 23 in-scope RSE licensees holding $2,018bn and 18.7m member accounts, about 80% of system assets; 12 of those 23 'require material improvement in either or both their valuation governance or liquidity risk frameworks. APRA regards these findings as concerning'; the liquidity subgroup of eight represents about 27% of funds under management and 5.4m member accounts. The $2,018bn and 18.7m figures describe the REVIEW SCOPE, not the 12. - https://www.apra.gov.au/governance-of-unlisted-asset-valuation-and-liquidity-risk-management-superannuation-december-2024  ·  SOURCED: APRA Chair, June 2026 Senate opening statement - enforcement action against five trustees for investment governance failings; licence conditions on Diversa Trustees, Fiducian, Equity Trustees and HTFS; a court enforceable undertaking from Netwealth - https://www.apra.gov.au/news-and-publications/opening-statement-senate-economics-legislation-committee-june-2026  ·  INFERRED (from APRA Quarterly Superannuation Fund Statistics, March 2026, Table 3): share of accounts at $1,000,000+ by fund type - corporate 4.86%, public sector 1.70%, retail 1.63%, industry 0.89%. Platform and wrap concentrations include Macquarie Superannuation Plan 8.17%, Avanteos 7.37%, ASGARD Independence Plan Division Two 6.57%, Netwealth 5.89%, HUB24 4.77%. Largest absolute holders: Australian Retirement Trust 37,570; AustralianSuper 35,590; UniSuper 28,050.  ·  CAVEAT: the Commonwealth scheme figures in the same table (including CSS at 23.58% of accounts above $1m) cannot be relied on until the data-integrity question in P11 is resolved with Commonwealth Superannuation Corporation. Do not use CSS as a headline number.  ·  CAVEAT: the $1,000,000+ bracket is a proxy at one third of the threshold; its relationship to the $3m population has not been validated.  ·  CORRECTED REASONING: the December 2024 findings concern unlisted asset valuation governance and liquidity risk frameworks, and the enforcement actions concern investment governance. Neither is evidence about tax and member administration capability. The cohort is right; the reason is attribution difficulty in member-directed options, not bootstrapped unreadiness.</w:t>
      </w:r>
    </w:p>
    <w:p>
      <w:pPr>
        <w:spacing w:after="60" w:before="200" w:line="264"/>
      </w:pPr>
      <w:r>
        <w:rPr>
          <w:rFonts w:ascii="Arial" w:cs="Arial" w:eastAsia="Arial" w:hAnsi="Arial"/>
          <w:b/>
          <w:bCs/>
          <w:color w:val="012169"/>
          <w:sz w:val="19"/>
          <w:szCs w:val="19"/>
        </w:rPr>
        <w:t xml:space="preserve">P9. </w:t>
      </w:r>
      <w:r>
        <w:rPr>
          <w:rFonts w:ascii="Arial" w:cs="Arial" w:eastAsia="Arial" w:hAnsi="Arial"/>
          <w:b/>
          <w:bCs/>
          <w:color w:val="012169"/>
          <w:sz w:val="19"/>
          <w:szCs w:val="19"/>
        </w:rPr>
        <w:t xml:space="preserve">A new statutory duty attaches to a debt account that must survive mergers, transfers and administrator changes for decades</w:t>
      </w:r>
      <w:r>
        <w:rPr>
          <w:rFonts w:ascii="Arial" w:cs="Arial" w:eastAsia="Arial" w:hAnsi="Arial"/>
          <w:b/>
          <w:bCs/>
          <w:color w:val="E87722"/>
          <w:sz w:val="15"/>
          <w:szCs w:val="15"/>
        </w:rPr>
        <w:t xml:space="preserve">   GRADE B</w:t>
      </w:r>
    </w:p>
    <w:p>
      <w:pPr>
        <w:spacing w:after="60" w:before="0" w:line="264"/>
      </w:pPr>
      <w:r>
        <w:rPr>
          <w:rFonts w:ascii="Arial" w:cs="Arial" w:eastAsia="Arial" w:hAnsi="Arial"/>
          <w:b/>
          <w:bCs/>
          <w:color w:val="00B398"/>
          <w:sz w:val="17"/>
          <w:szCs w:val="17"/>
        </w:rPr>
        <w:t xml:space="preserve">In plain terms.  </w:t>
      </w:r>
      <w:r>
        <w:rPr>
          <w:rFonts w:ascii="Arial" w:cs="Arial" w:eastAsia="Arial" w:hAnsi="Arial"/>
          <w:color w:val="1A1A1A"/>
          <w:sz w:val="17"/>
          <w:szCs w:val="17"/>
        </w:rPr>
        <w:t xml:space="preserve">For members whose tax is deferred - principally defined benefit members - the Tax Office keeps a running debt account and collects when the benefit is finally paid. That creates a new, concrete duty on the fund: when the end benefit becomes payable, it must tell the Tax Office the expected payment date within fourteen days, in the approved form, and correct any material change or omission within seven days. This is the clearest new obligation the law places on a fund, and it is not a one-off. The record that triggers it may have to survive thirty or forty years, a fund merger, a transfer to another fund and two or three changes of administrator. The provision carries an express note that a person who is dissatisfied may complain through the external complaints scheme - which cuts against the industry request that Division 296 trustee judgements sit outside that scheme.</w:t>
      </w:r>
    </w:p>
    <w:p>
      <w:pPr>
        <w:spacing w:after="60" w:before="0" w:line="264"/>
      </w:pPr>
      <w:r>
        <w:rPr>
          <w:rFonts w:ascii="Arial" w:cs="Arial" w:eastAsia="Arial" w:hAnsi="Arial"/>
          <w:b/>
          <w:bCs/>
          <w:color w:val="00B398"/>
          <w:sz w:val="17"/>
          <w:szCs w:val="17"/>
        </w:rPr>
        <w:t xml:space="preserve">Why it matters.  </w:t>
      </w:r>
      <w:r>
        <w:rPr>
          <w:rFonts w:ascii="Arial" w:cs="Arial" w:eastAsia="Arial" w:hAnsi="Arial"/>
          <w:color w:val="1A1A1A"/>
          <w:sz w:val="17"/>
          <w:szCs w:val="17"/>
        </w:rPr>
        <w:t xml:space="preserve">This is a long-duration data custody obligation with a short-fuse notification duty on the end of it, and it is the point where the register's operational and record-keeping themes meet the sector's consolidation agenda. APRA actively encourages fund mergers; an unresolved transfer protocol for debt account and Division 296 data puts two APRA objectives in tension. The express complaints note is also useful ammunition: it indicates Parliament contemplated member recourse against the provider, which is directly relevant to how APRA reads the industry's carve-out request.</w:t>
      </w:r>
    </w:p>
    <w:p>
      <w:pPr>
        <w:spacing w:after="60" w:before="0" w:line="264"/>
      </w:pPr>
      <w:r>
        <w:rPr>
          <w:rFonts w:ascii="Arial" w:cs="Arial" w:eastAsia="Arial" w:hAnsi="Arial"/>
          <w:b/>
          <w:bCs/>
          <w:color w:val="00B398"/>
          <w:sz w:val="17"/>
          <w:szCs w:val="17"/>
        </w:rPr>
        <w:t xml:space="preserve">Who bears it.  </w:t>
      </w:r>
      <w:r>
        <w:rPr>
          <w:rFonts w:ascii="Arial" w:cs="Arial" w:eastAsia="Arial" w:hAnsi="Arial"/>
          <w:color w:val="1A1A1A"/>
          <w:sz w:val="17"/>
          <w:szCs w:val="17"/>
        </w:rPr>
        <w:t xml:space="preserve">Defined benefit and hybrid licensees, and any fund receiving members through a transfer; members and estates, whose benefit payment can be delayed or mis-reported decades after the liability arose.</w:t>
      </w:r>
    </w:p>
    <w:p>
      <w:pPr>
        <w:spacing w:after="60" w:before="0" w:line="264"/>
      </w:pPr>
      <w:r>
        <w:rPr>
          <w:rFonts w:ascii="Arial" w:cs="Arial" w:eastAsia="Arial" w:hAnsi="Arial"/>
          <w:b/>
          <w:bCs/>
          <w:color w:val="00B398"/>
          <w:sz w:val="17"/>
          <w:szCs w:val="17"/>
        </w:rPr>
        <w:t xml:space="preserve">Recommended APRA position.  </w:t>
      </w:r>
      <w:r>
        <w:rPr>
          <w:rFonts w:ascii="Arial" w:cs="Arial" w:eastAsia="Arial" w:hAnsi="Arial"/>
          <w:color w:val="1A1A1A"/>
          <w:sz w:val="17"/>
          <w:szCs w:val="17"/>
        </w:rPr>
        <w:t xml:space="preserve">Ask defined benefit and hybrid licensees to demonstrate how a Division 296 debt account record and its end benefit notification trigger will survive a merger, a successor fund transfer and an administrator change, and how the 14-day and 7-day clocks are controlled. Where a licensee is planning a successor fund transfer spanning the 30 June 2027 measurement date, ask specifically how member-level Division 296 and debt account data will transfer. Press the ATO to settle the transfer protocol before the FY2027 merger season. Note internally that the express complaints note in s 134-140 weighs against carving trustee Division 296 judgements out of external dispute resolution.</w:t>
      </w:r>
      <w:r>
        <w:rPr>
          <w:rFonts w:ascii="Arial" w:cs="Arial" w:eastAsia="Arial" w:hAnsi="Arial"/>
          <w:b/>
          <w:bCs/>
          <w:color w:val="00806D"/>
          <w:sz w:val="13"/>
          <w:szCs w:val="13"/>
          <w:vertAlign w:val="superscript"/>
        </w:rPr>
        <w:t xml:space="preserve"> [S]</w:t>
      </w:r>
    </w:p>
    <w:p>
      <w:pPr>
        <w:spacing w:after="40" w:before="0" w:line="264"/>
      </w:pPr>
      <w:r>
        <w:rPr>
          <w:rFonts w:ascii="Arial" w:cs="Arial" w:eastAsia="Arial" w:hAnsi="Arial"/>
          <w:b/>
          <w:bCs/>
          <w:color w:val="898781"/>
          <w:sz w:val="15"/>
          <w:szCs w:val="15"/>
        </w:rPr>
        <w:t xml:space="preserve">Scoring.  </w:t>
      </w:r>
      <w:r>
        <w:rPr>
          <w:rFonts w:ascii="Arial" w:cs="Arial" w:eastAsia="Arial" w:hAnsi="Arial"/>
          <w:color w:val="898781"/>
          <w:sz w:val="15"/>
          <w:szCs w:val="15"/>
        </w:rPr>
        <w:t xml:space="preserve">Materiality 3/5 · Likelihood 3/5 · APRA proximity 4/5 · Action: supervisory-practice</w:t>
      </w:r>
    </w:p>
    <w:p>
      <w:pPr>
        <w:spacing w:after="40" w:before="0" w:line="264"/>
      </w:pPr>
      <w:r>
        <w:rPr>
          <w:rFonts w:ascii="Arial" w:cs="Arial" w:eastAsia="Arial" w:hAnsi="Arial"/>
          <w:b/>
          <w:bCs/>
          <w:color w:val="898781"/>
          <w:sz w:val="15"/>
          <w:szCs w:val="15"/>
        </w:rPr>
        <w:t xml:space="preserve">Instruments.  </w:t>
      </w:r>
      <w:r>
        <w:rPr>
          <w:rFonts w:ascii="Arial" w:cs="Arial" w:eastAsia="Arial" w:hAnsi="Arial"/>
          <w:color w:val="898781"/>
          <w:sz w:val="15"/>
          <w:szCs w:val="15"/>
        </w:rPr>
        <w:t xml:space="preserve">Taxation Administration Act 1953 Sch 1 s 134-140 (notice of expected end benefit payment date, 14 days, approved form; express note as to AFCA complaints); Taxation Administration Act 1953 Sch 1 s 134-145 (correction of material change or omission within 7 days); SPS 515 paras 30, 36-44 (transfer preparation and successor fund transfers); CPS 230 paras 24, 35, 36(c), 38 and Part 4 (service provider management); CPS 234 Information Security (record retention through third parties); SPS 160 Defined Benefit Matters</w:t>
      </w:r>
    </w:p>
    <w:p>
      <w:pPr>
        <w:spacing w:after="60" w:before="0" w:line="264"/>
      </w:pPr>
      <w:r>
        <w:rPr>
          <w:rFonts w:ascii="Arial" w:cs="Arial" w:eastAsia="Arial" w:hAnsi="Arial"/>
          <w:b/>
          <w:bCs/>
          <w:color w:val="898781"/>
          <w:sz w:val="15"/>
          <w:szCs w:val="15"/>
        </w:rPr>
        <w:t xml:space="preserve">Evidence.  </w:t>
      </w:r>
      <w:r>
        <w:rPr>
          <w:rFonts w:ascii="Arial" w:cs="Arial" w:eastAsia="Arial" w:hAnsi="Arial"/>
          <w:color w:val="898781"/>
          <w:sz w:val="14"/>
          <w:szCs w:val="14"/>
        </w:rPr>
        <w:t xml:space="preserve">LIKELIHOOD PROPOSITION: P(a debt account or end benefit notification obligation is lost or missed through a merger, transfer or administrator change, producing member detriment or a Tax Office issue, over the next five years) = 3.  ·  SOURCED: Taxation Administration Act 1953 Sch 1 s 134-140 - where the Commissioner keeps a Division 296 debt account and the end benefit becomes payable, the superannuation provider must notify the Commissioner of the expected payment date within 14 days in the approved form; the section carries an express note that a dissatisfied person may complain under the AFCA scheme. s 134-145 requires a material change or omission to be corrected within 7 days.  ·  SOURCED: Subdivision 296-A of the ITAA 1997 contains only s 296-5, an objects clause, and imposes no obligation on anyone (Compiled ITAA 1997, Compilation No. 266, 1 July 2026). The operative duty on funds is in the Taxation Administration Act, not in Division 296 itself.  ·  SOURCED: the successor fund transfer protocol 'needs to be updated to accommodate the reporting of Div 296 tax information by funds involved in an SFT or intra fund transfer' - ATO Superannuation Administration Group key messages, 17 June 2025. CAVEAT: predates the redesign and the enacted regulations.  ·  SOURCED: ATO - Division 296 amounts for defined benefit interests not in retirement phase are deferred to a debt account and become payable when benefits are first paid - https://www.ato.gov.au/individuals-and-families/super-for-individuals-and-families/super/growing-and-keeping-track-of-your-super/caps-limits-and-tax-on-super-contributions/division-296-tax/paying-division-296-tax  ·  INFERRED: a deferred liability tracked to the end of a defined benefit member's life will in many cases outlive the fund's current administrator, and in some cases the fund itself; therefore the notification duty is only as reliable as the data migration discipline behind it.</w:t>
      </w:r>
    </w:p>
    <w:p>
      <w:pPr>
        <w:spacing w:after="60" w:before="200" w:line="264"/>
      </w:pPr>
      <w:r>
        <w:rPr>
          <w:rFonts w:ascii="Arial" w:cs="Arial" w:eastAsia="Arial" w:hAnsi="Arial"/>
          <w:b/>
          <w:bCs/>
          <w:color w:val="012169"/>
          <w:sz w:val="19"/>
          <w:szCs w:val="19"/>
        </w:rPr>
        <w:t xml:space="preserve">P10. </w:t>
      </w:r>
      <w:r>
        <w:rPr>
          <w:rFonts w:ascii="Arial" w:cs="Arial" w:eastAsia="Arial" w:hAnsi="Arial"/>
          <w:b/>
          <w:bCs/>
          <w:color w:val="012169"/>
          <w:sz w:val="19"/>
          <w:szCs w:val="19"/>
        </w:rPr>
        <w:t xml:space="preserve">Defined benefit funds must build an annual actuarial valuation capability they have never had, from a very small pool of providers</w:t>
      </w:r>
      <w:r>
        <w:rPr>
          <w:rFonts w:ascii="Arial" w:cs="Arial" w:eastAsia="Arial" w:hAnsi="Arial"/>
          <w:b/>
          <w:bCs/>
          <w:color w:val="E87722"/>
          <w:sz w:val="15"/>
          <w:szCs w:val="15"/>
        </w:rPr>
        <w:t xml:space="preserve">   GRADE B</w:t>
      </w:r>
    </w:p>
    <w:p>
      <w:pPr>
        <w:spacing w:after="60" w:before="0" w:line="264"/>
      </w:pPr>
      <w:r>
        <w:rPr>
          <w:rFonts w:ascii="Arial" w:cs="Arial" w:eastAsia="Arial" w:hAnsi="Arial"/>
          <w:b/>
          <w:bCs/>
          <w:color w:val="00B398"/>
          <w:sz w:val="17"/>
          <w:szCs w:val="17"/>
        </w:rPr>
        <w:t xml:space="preserve">In plain terms.  </w:t>
      </w:r>
      <w:r>
        <w:rPr>
          <w:rFonts w:ascii="Arial" w:cs="Arial" w:eastAsia="Arial" w:hAnsi="Arial"/>
          <w:color w:val="1A1A1A"/>
          <w:sz w:val="17"/>
          <w:szCs w:val="17"/>
        </w:rPr>
        <w:t xml:space="preserve">For a defined benefit member there is no pot of money to look at, so an actuary has to estimate what the promised pension is worth. The tax looks at how much that estimate rose over the year, cut by about seventeen and a half per cent. Funds have only ever done this estimate one member at a time, by hand, when a couple divorced. Now they must do it for every member, every year, and they face the shorter response window when the Tax Office asks. A small number of consulting actuarial firms will do this for essentially every defined benefit scheme in the country, on the same timetable - a concentration in its own right. For small corporate schemes with a handful of members, the annual cost may simply not be economic, which is a plausible trigger for winding up. One thing to be clear about: defined benefit members are measured on the movement in value, not on income actually received, so they are on a different basis from everyone else. That is Parliament's choice, not the trustee's, and a trustee does not breach its duty of fairness by applying the law - but it will have to explain it.</w:t>
      </w:r>
    </w:p>
    <w:p>
      <w:pPr>
        <w:spacing w:after="60" w:before="0" w:line="264"/>
      </w:pPr>
      <w:r>
        <w:rPr>
          <w:rFonts w:ascii="Arial" w:cs="Arial" w:eastAsia="Arial" w:hAnsi="Arial"/>
          <w:b/>
          <w:bCs/>
          <w:color w:val="00B398"/>
          <w:sz w:val="17"/>
          <w:szCs w:val="17"/>
        </w:rPr>
        <w:t xml:space="preserve">Why it matters.  </w:t>
      </w:r>
      <w:r>
        <w:rPr>
          <w:rFonts w:ascii="Arial" w:cs="Arial" w:eastAsia="Arial" w:hAnsi="Arial"/>
          <w:color w:val="1A1A1A"/>
          <w:sz w:val="17"/>
          <w:szCs w:val="17"/>
        </w:rPr>
        <w:t xml:space="preserve">This is a genuinely new operational and actuarial capability, concentrated in about ten public sector licensees plus a small number of corporate schemes, delivered by a handful of external providers on a tight clock. It is an operational and viability question, not an equity failing. There is no near-term call on fund solvency, because the tax on a defined benefit interest is deferred to a debt account, so SPS 160's shortfall and restoration machinery is unaffected.</w:t>
      </w:r>
    </w:p>
    <w:p>
      <w:pPr>
        <w:spacing w:after="60" w:before="0" w:line="264"/>
      </w:pPr>
      <w:r>
        <w:rPr>
          <w:rFonts w:ascii="Arial" w:cs="Arial" w:eastAsia="Arial" w:hAnsi="Arial"/>
          <w:b/>
          <w:bCs/>
          <w:color w:val="00B398"/>
          <w:sz w:val="17"/>
          <w:szCs w:val="17"/>
        </w:rPr>
        <w:t xml:space="preserve">Who bears it.  </w:t>
      </w:r>
      <w:r>
        <w:rPr>
          <w:rFonts w:ascii="Arial" w:cs="Arial" w:eastAsia="Arial" w:hAnsi="Arial"/>
          <w:color w:val="1A1A1A"/>
          <w:sz w:val="17"/>
          <w:szCs w:val="17"/>
        </w:rPr>
        <w:t xml:space="preserve">Approximately ten public sector RSE licensees carrying about 78% of defined benefit contributions, UniSuper, and small corporate defined benefit plans; defined benefit pensioners already in payment, who can neither defer nor commute and must fund the liability from elsewhere.</w:t>
      </w:r>
    </w:p>
    <w:p>
      <w:pPr>
        <w:spacing w:after="60" w:before="0" w:line="264"/>
      </w:pPr>
      <w:r>
        <w:rPr>
          <w:rFonts w:ascii="Arial" w:cs="Arial" w:eastAsia="Arial" w:hAnsi="Arial"/>
          <w:b/>
          <w:bCs/>
          <w:color w:val="00B398"/>
          <w:sz w:val="17"/>
          <w:szCs w:val="17"/>
        </w:rPr>
        <w:t xml:space="preserve">Recommended APRA position.  </w:t>
      </w:r>
      <w:r>
        <w:rPr>
          <w:rFonts w:ascii="Arial" w:cs="Arial" w:eastAsia="Arial" w:hAnsi="Arial"/>
          <w:color w:val="1A1A1A"/>
          <w:sz w:val="17"/>
          <w:szCs w:val="17"/>
        </w:rPr>
        <w:t xml:space="preserve">De-prioritise defined benefit funds for liquidity purposes and prioritise them for operational readiness. Engage directly with the public sector licensees, UniSuper and residual corporate defined benefit funds. Treat the actuarial provider as a material service provider question, not a legacy outsourcing question: a handful of firms will perform every scheme's annual valuation on the same short clock. Identify small defined benefit plans for which the annual valuation cost is not economic and expect a considered response - a decision to wind up and transfer, taken deliberately and with member outcomes assessed - rather than drift. Do not frame the accumulation/defined benefit differential as a trustee equity failing; treat it as a member communication obligation.</w:t>
      </w:r>
      <w:r>
        <w:rPr>
          <w:rFonts w:ascii="Arial" w:cs="Arial" w:eastAsia="Arial" w:hAnsi="Arial"/>
          <w:b/>
          <w:bCs/>
          <w:color w:val="00806D"/>
          <w:sz w:val="13"/>
          <w:szCs w:val="13"/>
          <w:vertAlign w:val="superscript"/>
        </w:rPr>
        <w:t xml:space="preserve"> [S]</w:t>
      </w:r>
    </w:p>
    <w:p>
      <w:pPr>
        <w:spacing w:after="40" w:before="0" w:line="264"/>
      </w:pPr>
      <w:r>
        <w:rPr>
          <w:rFonts w:ascii="Arial" w:cs="Arial" w:eastAsia="Arial" w:hAnsi="Arial"/>
          <w:b/>
          <w:bCs/>
          <w:color w:val="898781"/>
          <w:sz w:val="15"/>
          <w:szCs w:val="15"/>
        </w:rPr>
        <w:t xml:space="preserve">Scoring.  </w:t>
      </w:r>
      <w:r>
        <w:rPr>
          <w:rFonts w:ascii="Arial" w:cs="Arial" w:eastAsia="Arial" w:hAnsi="Arial"/>
          <w:color w:val="898781"/>
          <w:sz w:val="15"/>
          <w:szCs w:val="15"/>
        </w:rPr>
        <w:t xml:space="preserve">Materiality 3/5 · Likelihood 3/5 · APRA proximity 4/5 · Action: supervisory-practice</w:t>
      </w:r>
    </w:p>
    <w:p>
      <w:pPr>
        <w:spacing w:after="40" w:before="0" w:line="264"/>
      </w:pPr>
      <w:r>
        <w:rPr>
          <w:rFonts w:ascii="Arial" w:cs="Arial" w:eastAsia="Arial" w:hAnsi="Arial"/>
          <w:b/>
          <w:bCs/>
          <w:color w:val="898781"/>
          <w:sz w:val="15"/>
          <w:szCs w:val="15"/>
        </w:rPr>
        <w:t xml:space="preserve">Instruments.  </w:t>
      </w:r>
      <w:r>
        <w:rPr>
          <w:rFonts w:ascii="Arial" w:cs="Arial" w:eastAsia="Arial" w:hAnsi="Arial"/>
          <w:color w:val="898781"/>
          <w:sz w:val="15"/>
          <w:szCs w:val="15"/>
        </w:rPr>
        <w:t xml:space="preserve">SPS 160 Defined Benefit Matters paras 8-14, 29, 31-35, 39-40; Income Tax Assessment (1997 Act) Amendment Regulations 2026 (F2026L00726) Sch 2 and Sch 4; CPS 230 Part 4 (service provider management) - note this replaced SPS 231 Outsourcing from 1 July 2025; SPS 220 Risk Management; SPS 515 paras 30, 36-44 (transfer preparation)</w:t>
      </w:r>
    </w:p>
    <w:p>
      <w:pPr>
        <w:spacing w:after="60" w:before="0" w:line="264"/>
      </w:pPr>
      <w:r>
        <w:rPr>
          <w:rFonts w:ascii="Arial" w:cs="Arial" w:eastAsia="Arial" w:hAnsi="Arial"/>
          <w:b/>
          <w:bCs/>
          <w:color w:val="898781"/>
          <w:sz w:val="15"/>
          <w:szCs w:val="15"/>
        </w:rPr>
        <w:t xml:space="preserve">Evidence.  </w:t>
      </w:r>
      <w:r>
        <w:rPr>
          <w:rFonts w:ascii="Arial" w:cs="Arial" w:eastAsia="Arial" w:hAnsi="Arial"/>
          <w:color w:val="898781"/>
          <w:sz w:val="14"/>
          <w:szCs w:val="14"/>
        </w:rPr>
        <w:t xml:space="preserve">LIKELIHOOD PROPOSITION: P(one or more defined benefit licensees cannot deliver a compliant annual member-level actuarial valuation within the response window in the first cycle, or a small scheme is driven to wind-up by the cost) = 3.  ·  SOURCED: defined benefit earnings are the movement between closing and opening actuarial value adjusted for contributions and withdrawals, multiplied by a prescribed reduction factor of 0.825 - Grant Thornton client alert on the draft regulations, https://www.grantthornton.com.au/insights/client-alerts/what-do-the-division-296-draft-tax-regulations-tell-us/ . CAVEAT: written against the draft; confirm against F2026L00726.  ·  SOURCED: ASFA - family law valuations are 'largely manual and only done when there is a family law split request'; operationalising them fund-wide 'is likely a new process'; for small corporate plans 'it may not be economically feasible to create an automated process' - ASFA submission, 7 April 2026, pp.5-9  ·  SOURCED: Actuaries Institute welcomes the redesign including 'a single set of unisex pensioner mortality rates based on male rates' and states the Regulations 'have in general struck an appropriate balance' - Actuaries Institute submission, 7 April 2026, pp.1-2. NOT SETTLED: ASFA's 7 April 2026 submission still contains a live section headed 'Use of only male valuation factors'. Do not tell the CEO the gender-equity question is closed; confirm the position adopted in the made regulations.  ·  SOURCED: public sector funds accounted for $16,224m of $20,700m defined benefit contributions (78.4%) in the year to March 2026 - APRA Quarterly Superannuation Performance Statistics, March 2026.  ·  SOURCED: Treasury Impact Analysis (January 2024) - approximately 10,000 members with defined benefit interests affected; 144 defined benefit scheme products required to change valuation methodology, costed at $12,877,200. CAVEAT: struck under the superseded change-in-balance design on 2022-vintage data, before the realised-earnings switch and threshold indexation; the best available Commonwealth estimate, not a current official number.  ·  INFERRED: exposure draft explanatory materials indicate the debt-account deferral is unavailable once an end benefit has become payable and that voluntary payments cannot come from the defined benefit interest; a pensioner in payment can therefore neither defer nor commute.  ·  GAP: APRA's fund-level balance-bracket data for the largest Commonwealth schemes looks like a reporting artefact - PSS and MilitarySuper report fewer than 20 accounts above $1m despite average balances of about $585,000 and $546,000, with 70-83% of accounts in a single bracket. Put this to Commonwealth Superannuation Corporation before relying on any Commonwealth scheme figure, including CSS.</w:t>
      </w:r>
    </w:p>
    <w:p>
      <w:pPr>
        <w:spacing w:after="60" w:before="200" w:line="264"/>
      </w:pPr>
      <w:r>
        <w:rPr>
          <w:rFonts w:ascii="Arial" w:cs="Arial" w:eastAsia="Arial" w:hAnsi="Arial"/>
          <w:b/>
          <w:bCs/>
          <w:color w:val="012169"/>
          <w:sz w:val="19"/>
          <w:szCs w:val="19"/>
        </w:rPr>
        <w:t xml:space="preserve">P11. </w:t>
      </w:r>
      <w:r>
        <w:rPr>
          <w:rFonts w:ascii="Arial" w:cs="Arial" w:eastAsia="Arial" w:hAnsi="Arial"/>
          <w:b/>
          <w:bCs/>
          <w:color w:val="012169"/>
          <w:sz w:val="19"/>
          <w:szCs w:val="19"/>
        </w:rPr>
        <w:t xml:space="preserve">Before the operational questions: can the fund's own trust deed do this, and who pays when it goes wrong?</w:t>
      </w:r>
      <w:r>
        <w:rPr>
          <w:rFonts w:ascii="Arial" w:cs="Arial" w:eastAsia="Arial" w:hAnsi="Arial"/>
          <w:b/>
          <w:bCs/>
          <w:color w:val="E87722"/>
          <w:sz w:val="15"/>
          <w:szCs w:val="15"/>
        </w:rPr>
        <w:t xml:space="preserve">   GRADE B</w:t>
      </w:r>
    </w:p>
    <w:p>
      <w:pPr>
        <w:spacing w:after="60" w:before="0" w:line="264"/>
      </w:pPr>
      <w:r>
        <w:rPr>
          <w:rFonts w:ascii="Arial" w:cs="Arial" w:eastAsia="Arial" w:hAnsi="Arial"/>
          <w:b/>
          <w:bCs/>
          <w:color w:val="00B398"/>
          <w:sz w:val="17"/>
          <w:szCs w:val="17"/>
        </w:rPr>
        <w:t xml:space="preserve">In plain terms.  </w:t>
      </w:r>
      <w:r>
        <w:rPr>
          <w:rFonts w:ascii="Arial" w:cs="Arial" w:eastAsia="Arial" w:hAnsi="Arial"/>
          <w:color w:val="1A1A1A"/>
          <w:sz w:val="17"/>
          <w:szCs w:val="17"/>
        </w:rPr>
        <w:t xml:space="preserve">Two legal questions sit underneath everything else and neither has been asked. First, when the Tax Office directs the fund to release money to pay a member's tax bill, does the fund's own governing document actually permit the trustee to debit that member's interest and pay it out? Deeds were written before this tax existed. If a deed does not permit it, the fund needs a deed amendment before the first release notices arrive. The same question applies to recovering the cost of building the new system from members. Second, if a trustee gets the split wrong and a member suffers a tax detriment or a penalty, can the trustee reimburse itself out of the fund - that is, out of other members' money? Superannuation law limits when a trustee may be indemnified, particularly for penalties. If it can, the cost of a mistake made about a handful of very wealthy members is paid by everyone else. If it cannot, the trustee company's own capital is exposed to a liability it has never carried before.</w:t>
      </w:r>
    </w:p>
    <w:p>
      <w:pPr>
        <w:spacing w:after="60" w:before="0" w:line="264"/>
      </w:pPr>
      <w:r>
        <w:rPr>
          <w:rFonts w:ascii="Arial" w:cs="Arial" w:eastAsia="Arial" w:hAnsi="Arial"/>
          <w:b/>
          <w:bCs/>
          <w:color w:val="00B398"/>
          <w:sz w:val="17"/>
          <w:szCs w:val="17"/>
        </w:rPr>
        <w:t xml:space="preserve">Why it matters.  </w:t>
      </w:r>
      <w:r>
        <w:rPr>
          <w:rFonts w:ascii="Arial" w:cs="Arial" w:eastAsia="Arial" w:hAnsi="Arial"/>
          <w:color w:val="1A1A1A"/>
          <w:sz w:val="17"/>
          <w:szCs w:val="17"/>
        </w:rPr>
        <w:t xml:space="preserve">These are threshold questions: if the answer to the first is no for a meaningful number of funds, an industry-wide deed amendment programme is needed before the first release notices, and nobody is running one. The second question is the sharper version of the cross-subsidy point, and it is the question the operational risk financial requirement analysis quietly assumes away - that reserve is itself members' money.</w:t>
      </w:r>
    </w:p>
    <w:p>
      <w:pPr>
        <w:spacing w:after="60" w:before="0" w:line="264"/>
      </w:pPr>
      <w:r>
        <w:rPr>
          <w:rFonts w:ascii="Arial" w:cs="Arial" w:eastAsia="Arial" w:hAnsi="Arial"/>
          <w:b/>
          <w:bCs/>
          <w:color w:val="00B398"/>
          <w:sz w:val="17"/>
          <w:szCs w:val="17"/>
        </w:rPr>
        <w:t xml:space="preserve">Who bears it.  </w:t>
      </w:r>
      <w:r>
        <w:rPr>
          <w:rFonts w:ascii="Arial" w:cs="Arial" w:eastAsia="Arial" w:hAnsi="Arial"/>
          <w:color w:val="1A1A1A"/>
          <w:sz w:val="17"/>
          <w:szCs w:val="17"/>
        </w:rPr>
        <w:t xml:space="preserve">All RSE licensees receiving release authorities; the trustee company's own capital; unaffected members, if the cost of errors made about affected members falls on the fund.</w:t>
      </w:r>
    </w:p>
    <w:p>
      <w:pPr>
        <w:spacing w:after="60" w:before="0" w:line="264"/>
      </w:pPr>
      <w:r>
        <w:rPr>
          <w:rFonts w:ascii="Arial" w:cs="Arial" w:eastAsia="Arial" w:hAnsi="Arial"/>
          <w:b/>
          <w:bCs/>
          <w:color w:val="00B398"/>
          <w:sz w:val="17"/>
          <w:szCs w:val="17"/>
        </w:rPr>
        <w:t xml:space="preserve">Recommended APRA position.  </w:t>
      </w:r>
      <w:r>
        <w:rPr>
          <w:rFonts w:ascii="Arial" w:cs="Arial" w:eastAsia="Arial" w:hAnsi="Arial"/>
          <w:color w:val="1A1A1A"/>
          <w:sz w:val="17"/>
          <w:szCs w:val="17"/>
        </w:rPr>
        <w:t xml:space="preserve">Ask exposed licensees to confirm they have obtained advice that their governing rules permit both debiting a member's interest to satisfy a Division 296 release authority and recovering the build and run cost in the manner they propose, and to state the remediation timetable where they do not. Separately, ask for the licensee's legal position on whether a Division 296 error producing member detriment or a penalty may be met from fund assets, from the operational risk financial requirement, or must be met from the trustee's own resources - and to reflect that answer in the FY2027 target amount. Where a trustee's answer is that fund assets would bear the cost, that is a member-equity question worth putting on the record.</w:t>
      </w:r>
      <w:r>
        <w:rPr>
          <w:rFonts w:ascii="Arial" w:cs="Arial" w:eastAsia="Arial" w:hAnsi="Arial"/>
          <w:b/>
          <w:bCs/>
          <w:color w:val="E87722"/>
          <w:sz w:val="13"/>
          <w:szCs w:val="13"/>
          <w:vertAlign w:val="superscript"/>
        </w:rPr>
        <w:t xml:space="preserve"> [C]</w:t>
      </w:r>
    </w:p>
    <w:p>
      <w:pPr>
        <w:spacing w:after="40" w:before="0" w:line="264"/>
      </w:pPr>
      <w:r>
        <w:rPr>
          <w:rFonts w:ascii="Arial" w:cs="Arial" w:eastAsia="Arial" w:hAnsi="Arial"/>
          <w:b/>
          <w:bCs/>
          <w:color w:val="898781"/>
          <w:sz w:val="15"/>
          <w:szCs w:val="15"/>
        </w:rPr>
        <w:t xml:space="preserve">Scoring.  </w:t>
      </w:r>
      <w:r>
        <w:rPr>
          <w:rFonts w:ascii="Arial" w:cs="Arial" w:eastAsia="Arial" w:hAnsi="Arial"/>
          <w:color w:val="898781"/>
          <w:sz w:val="15"/>
          <w:szCs w:val="15"/>
        </w:rPr>
        <w:t xml:space="preserve">Materiality 3/5 · Likelihood 3/5 · APRA proximity 4/5 · Action: supervisory-practice</w:t>
      </w:r>
    </w:p>
    <w:p>
      <w:pPr>
        <w:spacing w:after="40" w:before="0" w:line="264"/>
      </w:pPr>
      <w:r>
        <w:rPr>
          <w:rFonts w:ascii="Arial" w:cs="Arial" w:eastAsia="Arial" w:hAnsi="Arial"/>
          <w:b/>
          <w:bCs/>
          <w:color w:val="898781"/>
          <w:sz w:val="15"/>
          <w:szCs w:val="15"/>
        </w:rPr>
        <w:t xml:space="preserve">Instruments.  </w:t>
      </w:r>
      <w:r>
        <w:rPr>
          <w:rFonts w:ascii="Arial" w:cs="Arial" w:eastAsia="Arial" w:hAnsi="Arial"/>
          <w:color w:val="898781"/>
          <w:sz w:val="15"/>
          <w:szCs w:val="15"/>
        </w:rPr>
        <w:t xml:space="preserve">SIS Act ss 56 and 57 (limits on trustee indemnification out of fund assets, including for penalties); RSE governing rules / trust deeds; SPS 114 Operational Risk Financial Requirement paras 8-12, 15-20; SPS 515 paras 13, 17-18 (fee-setting and expenditure decisions); SIS Act s52(2)(c) best financial interests duty; Taxation Administration Act 1953 Sch 1 (release authority obligations)</w:t>
      </w:r>
    </w:p>
    <w:p>
      <w:pPr>
        <w:spacing w:after="60" w:before="0" w:line="264"/>
      </w:pPr>
      <w:r>
        <w:rPr>
          <w:rFonts w:ascii="Arial" w:cs="Arial" w:eastAsia="Arial" w:hAnsi="Arial"/>
          <w:b/>
          <w:bCs/>
          <w:color w:val="898781"/>
          <w:sz w:val="15"/>
          <w:szCs w:val="15"/>
        </w:rPr>
        <w:t xml:space="preserve">Evidence.  </w:t>
      </w:r>
      <w:r>
        <w:rPr>
          <w:rFonts w:ascii="Arial" w:cs="Arial" w:eastAsia="Arial" w:hAnsi="Arial"/>
          <w:color w:val="898781"/>
          <w:sz w:val="14"/>
          <w:szCs w:val="14"/>
        </w:rPr>
        <w:t xml:space="preserve">LIKELIHOOD PROPOSITION: P(a licensee finds its governing rules inadequate to give effect to a Division 296 release authority, or a Division 296 error is met from fund assets in a way that raises a member-equity question, by FY2029) = 3.  ·  SOURCED: for existing release authority types, the ATO cashing order 'permits release of preserved benefits as the third priority after unrestricted and restricted non-preserved benefits' - ATO release authorities guidance for APRA-regulated funds. The equivalent Division 296 position is not yet published.  ·  SOURCED: SIS Act ss 56 and 57 restrict trustee indemnification from fund assets, including in respect of penalties.  ·  INFERRED: a release authority compels payment of preserved money outside the ordinary conditions of release; whether the trustee's own governing rules authorise that debit is a trust-law question that no prudential standard, and no Commonwealth instrument, answers for a given fund. It must be answered fund by fund, before the first notices arrive.  ·  INFERRED: the operational risk financial requirement exists to absorb losses to beneficiaries from operational risk, and is funded from fund assets; applying it to compensate an individual's personal tax detriment therefore transfers cost from affected to unaffected members. Whether that is permissible is a legal question the register cannot answer and should not assume.  ·  CREATED: no source was found addressing deed capacity for Division 296 release authorities. This is an original proposition for the meeting, offered as a question to be settled, not as a finding.</w:t>
      </w:r>
    </w:p>
    <w:p>
      <w:pPr>
        <w:spacing w:after="60" w:before="200" w:line="264"/>
      </w:pPr>
      <w:r>
        <w:rPr>
          <w:rFonts w:ascii="Arial" w:cs="Arial" w:eastAsia="Arial" w:hAnsi="Arial"/>
          <w:b/>
          <w:bCs/>
          <w:color w:val="012169"/>
          <w:sz w:val="19"/>
          <w:szCs w:val="19"/>
        </w:rPr>
        <w:t xml:space="preserve">P13. </w:t>
      </w:r>
      <w:r>
        <w:rPr>
          <w:rFonts w:ascii="Arial" w:cs="Arial" w:eastAsia="Arial" w:hAnsi="Arial"/>
          <w:b/>
          <w:bCs/>
          <w:color w:val="012169"/>
          <w:sz w:val="19"/>
          <w:szCs w:val="19"/>
        </w:rPr>
        <w:t xml:space="preserve">The Act also rewrites how every member's total balance is measured, and defined benefit members can lose the ability to contribute because of it</w:t>
      </w:r>
      <w:r>
        <w:rPr>
          <w:rFonts w:ascii="Arial" w:cs="Arial" w:eastAsia="Arial" w:hAnsi="Arial"/>
          <w:b/>
          <w:bCs/>
          <w:color w:val="E87722"/>
          <w:sz w:val="15"/>
          <w:szCs w:val="15"/>
        </w:rPr>
        <w:t xml:space="preserve">   GRADE B</w:t>
      </w:r>
    </w:p>
    <w:p>
      <w:pPr>
        <w:spacing w:after="60" w:before="0" w:line="264"/>
      </w:pPr>
      <w:r>
        <w:rPr>
          <w:rFonts w:ascii="Arial" w:cs="Arial" w:eastAsia="Arial" w:hAnsi="Arial"/>
          <w:b/>
          <w:bCs/>
          <w:color w:val="00B398"/>
          <w:sz w:val="17"/>
          <w:szCs w:val="17"/>
        </w:rPr>
        <w:t xml:space="preserve">In plain terms.  </w:t>
      </w:r>
      <w:r>
        <w:rPr>
          <w:rFonts w:ascii="Arial" w:cs="Arial" w:eastAsia="Arial" w:hAnsi="Arial"/>
          <w:color w:val="1A1A1A"/>
          <w:sz w:val="17"/>
          <w:szCs w:val="17"/>
        </w:rPr>
        <w:t xml:space="preserve">A second part of the Act changes how a person's total super is measured, and gives each separate pot of super its own value. That total is used for far more than this tax: it decides whether someone can put more money in, whether they can use unused contribution room from earlier years, and whether they qualify for government contributions. The change mainly affects defined benefit members, and the great majority of them will never pay this tax. Their measured balance can move because the measuring method changed, not because anything happened to their money. The concrete harm is easy to state: a member sees a lower reported balance, makes an extra contribution or a bring-forward election in reliance on it, and receives an excess contributions assessment. The fund is the entity that reports the number and the entity the member will ask.</w:t>
      </w:r>
    </w:p>
    <w:p>
      <w:pPr>
        <w:spacing w:after="60" w:before="0" w:line="264"/>
      </w:pPr>
      <w:r>
        <w:rPr>
          <w:rFonts w:ascii="Arial" w:cs="Arial" w:eastAsia="Arial" w:hAnsi="Arial"/>
          <w:b/>
          <w:bCs/>
          <w:color w:val="00B398"/>
          <w:sz w:val="17"/>
          <w:szCs w:val="17"/>
        </w:rPr>
        <w:t xml:space="preserve">Why it matters.  </w:t>
      </w:r>
      <w:r>
        <w:rPr>
          <w:rFonts w:ascii="Arial" w:cs="Arial" w:eastAsia="Arial" w:hAnsi="Arial"/>
          <w:color w:val="1A1A1A"/>
          <w:sz w:val="17"/>
          <w:szCs w:val="17"/>
        </w:rPr>
        <w:t xml:space="preserve">This is the element most likely to be missed at executive level, because the whole debate is framed around a small high-balance cohort. It affects a far larger population, it is a disclosure and member-communication exposure that falls on trustees to explain, and the failure mode produces real financial detriment to ordinary members. The remedy - a reliable, well-explained published figure - largely sits with the Tax Office, which is why it is not graded higher.</w:t>
      </w:r>
    </w:p>
    <w:p>
      <w:pPr>
        <w:spacing w:after="60" w:before="0" w:line="264"/>
      </w:pPr>
      <w:r>
        <w:rPr>
          <w:rFonts w:ascii="Arial" w:cs="Arial" w:eastAsia="Arial" w:hAnsi="Arial"/>
          <w:b/>
          <w:bCs/>
          <w:color w:val="00B398"/>
          <w:sz w:val="17"/>
          <w:szCs w:val="17"/>
        </w:rPr>
        <w:t xml:space="preserve">Who bears it.  </w:t>
      </w:r>
      <w:r>
        <w:rPr>
          <w:rFonts w:ascii="Arial" w:cs="Arial" w:eastAsia="Arial" w:hAnsi="Arial"/>
          <w:color w:val="1A1A1A"/>
          <w:sz w:val="17"/>
          <w:szCs w:val="17"/>
        </w:rPr>
        <w:t xml:space="preserve">Defined benefit members generally, including the great majority who will never be subject to the tax; the defined benefit licensees who must explain it; members who incur an excess contributions assessment.</w:t>
      </w:r>
    </w:p>
    <w:p>
      <w:pPr>
        <w:spacing w:after="60" w:before="0" w:line="264"/>
      </w:pPr>
      <w:r>
        <w:rPr>
          <w:rFonts w:ascii="Arial" w:cs="Arial" w:eastAsia="Arial" w:hAnsi="Arial"/>
          <w:b/>
          <w:bCs/>
          <w:color w:val="00B398"/>
          <w:sz w:val="17"/>
          <w:szCs w:val="17"/>
        </w:rPr>
        <w:t xml:space="preserve">Recommended APRA position.  </w:t>
      </w:r>
      <w:r>
        <w:rPr>
          <w:rFonts w:ascii="Arial" w:cs="Arial" w:eastAsia="Arial" w:hAnsi="Arial"/>
          <w:color w:val="1A1A1A"/>
          <w:sz w:val="17"/>
          <w:szCs w:val="17"/>
        </w:rPr>
        <w:t xml:space="preserve">Expect defined benefit licensees to have a member communication plan for a reported balance that moves for methodology reasons rather than economic ones, and to warn members not to rely on a moving figure for contribution decisions without checking the Tax Office's published figure. Support ASFA's proposal that the Tax Office figure on myGov be the authoritative and readily accessible number for defined benefit members, with a clear statement that it is not a family law split value. Flag to ASIC. No APRA instrument change is warranted.</w:t>
      </w:r>
      <w:r>
        <w:rPr>
          <w:rFonts w:ascii="Arial" w:cs="Arial" w:eastAsia="Arial" w:hAnsi="Arial"/>
          <w:b/>
          <w:bCs/>
          <w:color w:val="00806D"/>
          <w:sz w:val="13"/>
          <w:szCs w:val="13"/>
          <w:vertAlign w:val="superscript"/>
        </w:rPr>
        <w:t xml:space="preserve"> [S]</w:t>
      </w:r>
    </w:p>
    <w:p>
      <w:pPr>
        <w:spacing w:after="40" w:before="0" w:line="264"/>
      </w:pPr>
      <w:r>
        <w:rPr>
          <w:rFonts w:ascii="Arial" w:cs="Arial" w:eastAsia="Arial" w:hAnsi="Arial"/>
          <w:b/>
          <w:bCs/>
          <w:color w:val="898781"/>
          <w:sz w:val="15"/>
          <w:szCs w:val="15"/>
        </w:rPr>
        <w:t xml:space="preserve">Scoring.  </w:t>
      </w:r>
      <w:r>
        <w:rPr>
          <w:rFonts w:ascii="Arial" w:cs="Arial" w:eastAsia="Arial" w:hAnsi="Arial"/>
          <w:color w:val="898781"/>
          <w:sz w:val="15"/>
          <w:szCs w:val="15"/>
        </w:rPr>
        <w:t xml:space="preserve">Materiality 3/5 · Likelihood 3/5 · APRA proximity 3/5 · Action: new-or-updated-guidance</w:t>
      </w:r>
    </w:p>
    <w:p>
      <w:pPr>
        <w:spacing w:after="40" w:before="0" w:line="264"/>
      </w:pPr>
      <w:r>
        <w:rPr>
          <w:rFonts w:ascii="Arial" w:cs="Arial" w:eastAsia="Arial" w:hAnsi="Arial"/>
          <w:b/>
          <w:bCs/>
          <w:color w:val="898781"/>
          <w:sz w:val="15"/>
          <w:szCs w:val="15"/>
        </w:rPr>
        <w:t xml:space="preserve">Instruments.  </w:t>
      </w:r>
      <w:r>
        <w:rPr>
          <w:rFonts w:ascii="Arial" w:cs="Arial" w:eastAsia="Arial" w:hAnsi="Arial"/>
          <w:color w:val="898781"/>
          <w:sz w:val="15"/>
          <w:szCs w:val="15"/>
        </w:rPr>
        <w:t xml:space="preserve">Treasury Laws Amendment (Building a Stronger and Fairer Super System) Act 2026, Schedule 2 (total superannuation balance definition and per-interest value); Income Tax Assessment (1997 Act) Regulations 2021, reg 307-230A series (per ASFA); SPS 515 member outcomes and disclosure practice; ASIC disclosure obligations; SIS Act s52(2) covenants</w:t>
      </w:r>
    </w:p>
    <w:p>
      <w:pPr>
        <w:spacing w:after="60" w:before="0" w:line="264"/>
      </w:pPr>
      <w:r>
        <w:rPr>
          <w:rFonts w:ascii="Arial" w:cs="Arial" w:eastAsia="Arial" w:hAnsi="Arial"/>
          <w:b/>
          <w:bCs/>
          <w:color w:val="898781"/>
          <w:sz w:val="15"/>
          <w:szCs w:val="15"/>
        </w:rPr>
        <w:t xml:space="preserve">Evidence.  </w:t>
      </w:r>
      <w:r>
        <w:rPr>
          <w:rFonts w:ascii="Arial" w:cs="Arial" w:eastAsia="Arial" w:hAnsi="Arial"/>
          <w:color w:val="898781"/>
          <w:sz w:val="14"/>
          <w:szCs w:val="14"/>
        </w:rPr>
        <w:t xml:space="preserve">LIKELIHOOD PROPOSITION: P(defined benefit members make contribution decisions in reliance on a methodology-shifted balance and incur excess contributions assessments or comparable detriment, in FY2027-FY2029) = 3.  ·  SOURCED: the Act 'amends rules for calculating an individual's total superannuation balance (TSB) and introduces the concept of a TSB value for each of the individual's superannuation interests' - Federal Register table of contents for C2026A00008, Schedule 2.  ·  SOURCED: ASFA - 'There are no significant proposed changes to the TSB calculation reporting for accumulation fund members ... the proposed changes to calculating TSB will largely impact defined benefit members'; members crossing the threshold 'would see their TSB value change due to methodology shifts rather than actual earnings, which could mislead members and affect financial decision-making'; downstream uses listed are carry-forward concessional contributions, non-concessional contribution eligibility and bring-forward, government co-contribution and spouse contribution tax offset - ASFA submission, 7 April 2026, pp.5-6, 10-13.  ·  SOURCED: ASFA proposes the TSB published by the ATO on myGov be the reliable and readily accessible figure for defined benefit members, with disclaimers.  ·  GAP: ASFA's reference to a '$1.5 million threshold' does not map to a standard contribution threshold and could not be reconciled. Do not repeat the figure until it is verified.</w:t>
      </w:r>
    </w:p>
    <w:p>
      <w:pPr>
        <w:spacing w:after="60" w:before="200" w:line="264"/>
      </w:pPr>
      <w:r>
        <w:rPr>
          <w:rFonts w:ascii="Arial" w:cs="Arial" w:eastAsia="Arial" w:hAnsi="Arial"/>
          <w:b/>
          <w:bCs/>
          <w:color w:val="012169"/>
          <w:sz w:val="19"/>
          <w:szCs w:val="19"/>
        </w:rPr>
        <w:t xml:space="preserve">P14. </w:t>
      </w:r>
      <w:r>
        <w:rPr>
          <w:rFonts w:ascii="Arial" w:cs="Arial" w:eastAsia="Arial" w:hAnsi="Arial"/>
          <w:b/>
          <w:bCs/>
          <w:color w:val="012169"/>
          <w:sz w:val="19"/>
          <w:szCs w:val="19"/>
        </w:rPr>
        <w:t xml:space="preserve">Members will ask their fund where they stand, and the fund cannot answer without a conflict</w:t>
      </w:r>
      <w:r>
        <w:rPr>
          <w:rFonts w:ascii="Arial" w:cs="Arial" w:eastAsia="Arial" w:hAnsi="Arial"/>
          <w:b/>
          <w:bCs/>
          <w:color w:val="E87722"/>
          <w:sz w:val="15"/>
          <w:szCs w:val="15"/>
        </w:rPr>
        <w:t xml:space="preserve">   GRADE B</w:t>
      </w:r>
    </w:p>
    <w:p>
      <w:pPr>
        <w:spacing w:after="60" w:before="0" w:line="264"/>
      </w:pPr>
      <w:r>
        <w:rPr>
          <w:rFonts w:ascii="Arial" w:cs="Arial" w:eastAsia="Arial" w:hAnsi="Arial"/>
          <w:b/>
          <w:bCs/>
          <w:color w:val="00B398"/>
          <w:sz w:val="17"/>
          <w:szCs w:val="17"/>
        </w:rPr>
        <w:t xml:space="preserve">In plain terms.  </w:t>
      </w:r>
      <w:r>
        <w:rPr>
          <w:rFonts w:ascii="Arial" w:cs="Arial" w:eastAsia="Arial" w:hAnsi="Arial"/>
          <w:color w:val="1A1A1A"/>
          <w:sz w:val="17"/>
          <w:szCs w:val="17"/>
        </w:rPr>
        <w:t xml:space="preserve">No single fund can tell a member whether this tax will catch them, because the threshold is measured across all of a person's super, including any self-managed fund. Only the Tax Office holds that view, and taxpayer confidentiality law is why the fund cannot be given it. But members will ask, and any answer risks being wrong. There is a sharper problem behind that. Because the first year turns on the balance at 30 June 2027, a fund that helpfully prompts its largest members about the deadline is prompting them to take money out of the fund - against its own revenue - and may be doing so with advice paid for collectively by members who receive nothing. A fund that says nothing leaves its largest members unserved and pushes them toward advisers who will recommend a self-managed fund. Every posture is exposed. Meanwhile the main industry body has asked that the trustee's 'fair and reasonable' split be put outside the reach of the external complaints scheme. Even if that were granted, members would keep their right to object to the Tax Office assessment - the question is whether that is a real remedy when the disputed judgement was made by someone else.</w:t>
      </w:r>
    </w:p>
    <w:p>
      <w:pPr>
        <w:spacing w:after="60" w:before="0" w:line="264"/>
      </w:pPr>
      <w:r>
        <w:rPr>
          <w:rFonts w:ascii="Arial" w:cs="Arial" w:eastAsia="Arial" w:hAnsi="Arial"/>
          <w:b/>
          <w:bCs/>
          <w:color w:val="00B398"/>
          <w:sz w:val="17"/>
          <w:szCs w:val="17"/>
        </w:rPr>
        <w:t xml:space="preserve">Why it matters.  </w:t>
      </w:r>
      <w:r>
        <w:rPr>
          <w:rFonts w:ascii="Arial" w:cs="Arial" w:eastAsia="Arial" w:hAnsi="Arial"/>
          <w:color w:val="1A1A1A"/>
          <w:sz w:val="17"/>
          <w:szCs w:val="17"/>
        </w:rPr>
        <w:t xml:space="preserve">This is where a conduct failure is most likely to actually materialise, because it involves a fund talking to identified wealthy members about a dated decision under a direct conflict. It is joint APRA-ASIC territory rather than APRA's alone, which is why proximity is scored low. It also exposes a real impossibility under the retirement income covenant: the trustee must gather the information needed to formulate its strategy, and the decisive variable sits with the Tax Office.</w:t>
      </w:r>
    </w:p>
    <w:p>
      <w:pPr>
        <w:spacing w:after="60" w:before="0" w:line="264"/>
      </w:pPr>
      <w:r>
        <w:rPr>
          <w:rFonts w:ascii="Arial" w:cs="Arial" w:eastAsia="Arial" w:hAnsi="Arial"/>
          <w:b/>
          <w:bCs/>
          <w:color w:val="00B398"/>
          <w:sz w:val="17"/>
          <w:szCs w:val="17"/>
        </w:rPr>
        <w:t xml:space="preserve">Who bears it.  </w:t>
      </w:r>
      <w:r>
        <w:rPr>
          <w:rFonts w:ascii="Arial" w:cs="Arial" w:eastAsia="Arial" w:hAnsi="Arial"/>
          <w:color w:val="1A1A1A"/>
          <w:sz w:val="17"/>
          <w:szCs w:val="17"/>
        </w:rPr>
        <w:t xml:space="preserve">Members above the thresholds, roughly two thirds of whom are in retirement phase and 85% of whom are over 60; trustees' complaint-handling and advice functions; funds that are the convenient liquid account in a member's portfolio.</w:t>
      </w:r>
    </w:p>
    <w:p>
      <w:pPr>
        <w:spacing w:after="60" w:before="0" w:line="264"/>
      </w:pPr>
      <w:r>
        <w:rPr>
          <w:rFonts w:ascii="Arial" w:cs="Arial" w:eastAsia="Arial" w:hAnsi="Arial"/>
          <w:b/>
          <w:bCs/>
          <w:color w:val="00B398"/>
          <w:sz w:val="17"/>
          <w:szCs w:val="17"/>
        </w:rPr>
        <w:t xml:space="preserve">Recommended APRA position.  </w:t>
      </w:r>
      <w:r>
        <w:rPr>
          <w:rFonts w:ascii="Arial" w:cs="Arial" w:eastAsia="Arial" w:hAnsi="Arial"/>
          <w:color w:val="1A1A1A"/>
          <w:sz w:val="17"/>
          <w:szCs w:val="17"/>
        </w:rPr>
        <w:t xml:space="preserve">Route the external-dispute question to ASIC with an APRA member-outcomes view attached rather than owning it, and establish where it landed in the final regulations. Tell licensees that member communications must not describe this as a tax on 'what you earned' - the base includes grossed-up franking credits and gross foreign income, so a member can owe tax on amounts the fund never received in cash, and it draws in retirement-phase earnings that are exempt to the fund. Expect any targeted prompt to high-balance members about the 30 June 2027 deadline to be governed under the conflicts framework, with the conflict, the funding source for any advice, and the member's alternatives documented. Make Division 296 a named question in retirement income strategy reviews from FY2028. Frame the data ask correctly: giving trustees a member's whole-of-system balance requires a legislated disclosure exception, not an administrative arrangement, because taxpayer confidentiality is the obstacle.</w:t>
      </w:r>
      <w:r>
        <w:rPr>
          <w:rFonts w:ascii="Arial" w:cs="Arial" w:eastAsia="Arial" w:hAnsi="Arial"/>
          <w:b/>
          <w:bCs/>
          <w:color w:val="0072CE"/>
          <w:sz w:val="13"/>
          <w:szCs w:val="13"/>
          <w:vertAlign w:val="superscript"/>
        </w:rPr>
        <w:t xml:space="preserve"> [I]</w:t>
      </w:r>
    </w:p>
    <w:p>
      <w:pPr>
        <w:spacing w:after="40" w:before="0" w:line="264"/>
      </w:pPr>
      <w:r>
        <w:rPr>
          <w:rFonts w:ascii="Arial" w:cs="Arial" w:eastAsia="Arial" w:hAnsi="Arial"/>
          <w:b/>
          <w:bCs/>
          <w:color w:val="898781"/>
          <w:sz w:val="15"/>
          <w:szCs w:val="15"/>
        </w:rPr>
        <w:t xml:space="preserve">Scoring.  </w:t>
      </w:r>
      <w:r>
        <w:rPr>
          <w:rFonts w:ascii="Arial" w:cs="Arial" w:eastAsia="Arial" w:hAnsi="Arial"/>
          <w:color w:val="898781"/>
          <w:sz w:val="15"/>
          <w:szCs w:val="15"/>
        </w:rPr>
        <w:t xml:space="preserve">Materiality 3/5 · Likelihood 3/5 · APRA proximity 3/5 · Action: supervisory-practice</w:t>
      </w:r>
    </w:p>
    <w:p>
      <w:pPr>
        <w:spacing w:after="40" w:before="0" w:line="264"/>
      </w:pPr>
      <w:r>
        <w:rPr>
          <w:rFonts w:ascii="Arial" w:cs="Arial" w:eastAsia="Arial" w:hAnsi="Arial"/>
          <w:b/>
          <w:bCs/>
          <w:color w:val="898781"/>
          <w:sz w:val="15"/>
          <w:szCs w:val="15"/>
        </w:rPr>
        <w:t xml:space="preserve">Instruments.  </w:t>
      </w:r>
      <w:r>
        <w:rPr>
          <w:rFonts w:ascii="Arial" w:cs="Arial" w:eastAsia="Arial" w:hAnsi="Arial"/>
          <w:color w:val="898781"/>
          <w:sz w:val="15"/>
          <w:szCs w:val="15"/>
        </w:rPr>
        <w:t xml:space="preserve">SIS Act s52(8A) and s52AA retirement income covenant; SPS 515 para 8A; SPS 521 Conflicts of Interest; SPS 515 paras 24-28 (member cohorts); SPG 515; SPG 516; AFCA scheme jurisdiction (Corporations Act scheme approval and AFCA Rules); ASIC RG 271 internal dispute resolution; Taxation Administration Act 1953 Sch 1 Div 355 (taxpayer confidentiality); Delivering Better Financial Outcomes reforms (scope of collectively charged advice; targeted prompts)</w:t>
      </w:r>
    </w:p>
    <w:p>
      <w:pPr>
        <w:spacing w:after="60" w:before="0" w:line="264"/>
      </w:pPr>
      <w:r>
        <w:rPr>
          <w:rFonts w:ascii="Arial" w:cs="Arial" w:eastAsia="Arial" w:hAnsi="Arial"/>
          <w:b/>
          <w:bCs/>
          <w:color w:val="898781"/>
          <w:sz w:val="15"/>
          <w:szCs w:val="15"/>
        </w:rPr>
        <w:t xml:space="preserve">Evidence.  </w:t>
      </w:r>
      <w:r>
        <w:rPr>
          <w:rFonts w:ascii="Arial" w:cs="Arial" w:eastAsia="Arial" w:hAnsi="Arial"/>
          <w:color w:val="898781"/>
          <w:sz w:val="14"/>
          <w:szCs w:val="14"/>
        </w:rPr>
        <w:t xml:space="preserve">LIKELIHOOD PROPOSITION: P(a conduct, disclosure or conflicted-advice issue arises from fund communications to high-balance members about the 30 June 2027 deadline, or from answering member queries, by FY2029) = 3.  ·  SOURCED: ASFA recommends 'the Regulations make it clear that fair and reasonable estimates of realised investment income by funds ... are outside of the scope of matters subject to AFCA review' and that 'Funds should not be subject to dealing with disputes directly with members on an allocation made on a fair and reasonable basis' - ASFA submission, 7 April 2026, pp.4-5. ASFA also states members may object to the ATO assessment, so an AFCA carve-out would remove one route, not all recourse.  ·  SOURCED: Taxation Administration Act 1953 Sch 1 s 134-140 carries an express note that a dissatisfied person may complain under the AFCA scheme - which cuts against the carve-out request (see P9).  ·  SOURCED: the taxable base includes grossed-up franking credits and gross foreign income, and foreign tax offsets do not reduce Division 296 fund earnings; net exempt current pension income is added back - Explanatory Memorandum paras 1.66-1.70 via Bills Digest No. 48; Heffron commentary.  ·  SOURCED: Treasury Impact Analysis (January 2024) - about 65% of affected individuals are in retirement phase; ASFA analysis of ATO unit-record data - 85% aged over 60, 46% over 70.  ·  INFERRED CHAIN: each fund reports only its own attributed earnings and balances and only the ATO aggregates; therefore no trustee can tell a member whether the report matters, yet members will ask and any answer is a potential misleading-conduct exposure. Separately, the member elects which fund receives the release authority, so outflow can land on a fund that generated none of the taxed earnings.  ·  INFERRED: the equity question inside a single fund that a trustee ACTUALLY controls is not the defined benefit differential (which is legislated) but the treatment of retirement-phase members under the exempt-income add-back, where the chosen attribution method determines how the burden falls between pension and accumulation members with identical balances.  ·  GAP: whether the final regulations addressed the AFCA question or a materiality threshold could not be confirmed; this requires reading F2026L00726 and its Explanatory Statement.</w:t>
      </w:r>
    </w:p>
    <w:p>
      <w:pPr>
        <w:spacing w:after="60" w:before="200" w:line="264"/>
      </w:pPr>
      <w:r>
        <w:rPr>
          <w:rFonts w:ascii="Arial" w:cs="Arial" w:eastAsia="Arial" w:hAnsi="Arial"/>
          <w:b/>
          <w:bCs/>
          <w:color w:val="012169"/>
          <w:sz w:val="19"/>
          <w:szCs w:val="19"/>
        </w:rPr>
        <w:t xml:space="preserve">P12. </w:t>
      </w:r>
      <w:r>
        <w:rPr>
          <w:rFonts w:ascii="Arial" w:cs="Arial" w:eastAsia="Arial" w:hAnsi="Arial"/>
          <w:b/>
          <w:bCs/>
          <w:color w:val="012169"/>
          <w:sz w:val="19"/>
          <w:szCs w:val="19"/>
        </w:rPr>
        <w:t xml:space="preserve">Building this for a fraction of one per cent of members feeds a legislated pass/fail test that APRA itself administers</w:t>
      </w:r>
      <w:r>
        <w:rPr>
          <w:rFonts w:ascii="Arial" w:cs="Arial" w:eastAsia="Arial" w:hAnsi="Arial"/>
          <w:b/>
          <w:bCs/>
          <w:color w:val="E87722"/>
          <w:sz w:val="15"/>
          <w:szCs w:val="15"/>
        </w:rPr>
        <w:t xml:space="preserve">   GRADE B</w:t>
      </w:r>
    </w:p>
    <w:p>
      <w:pPr>
        <w:spacing w:after="60" w:before="0" w:line="264"/>
      </w:pPr>
      <w:r>
        <w:rPr>
          <w:rFonts w:ascii="Arial" w:cs="Arial" w:eastAsia="Arial" w:hAnsi="Arial"/>
          <w:b/>
          <w:bCs/>
          <w:color w:val="00B398"/>
          <w:sz w:val="17"/>
          <w:szCs w:val="17"/>
        </w:rPr>
        <w:t xml:space="preserve">In plain terms.  </w:t>
      </w:r>
      <w:r>
        <w:rPr>
          <w:rFonts w:ascii="Arial" w:cs="Arial" w:eastAsia="Arial" w:hAnsi="Arial"/>
          <w:color w:val="1A1A1A"/>
          <w:sz w:val="17"/>
          <w:szCs w:val="17"/>
        </w:rPr>
        <w:t xml:space="preserve">Even a fund with several million members may have fewer than about 1,500 members caught by this tax, yet it must build and run the whole capability. In dollars per member the cost is small - even on a generous assumption it is of the order of a dollar or two per member per year. The point is not the size of the cost; it is where it lands. If it is recovered through a flat administration fee, it feeds into the annual performance test, which compares a product's administration fees against the median for its category and combines that with investment performance. Fail by more than half a per cent two years running and the fund cannot take new members into that product. Because the benchmark is a median, the effect is uneven: a fund with a small affected population relative to its total membership carries the same fixed build cost over a smaller fee base. There is a perverse edge to this that is worth saying out loud - the test rewards absorbing, capitalising or quietly burying the cost over recovering it transparently from the members who generate it.</w:t>
      </w:r>
    </w:p>
    <w:p>
      <w:pPr>
        <w:spacing w:after="60" w:before="0" w:line="264"/>
      </w:pPr>
      <w:r>
        <w:rPr>
          <w:rFonts w:ascii="Arial" w:cs="Arial" w:eastAsia="Arial" w:hAnsi="Arial"/>
          <w:b/>
          <w:bCs/>
          <w:color w:val="00B398"/>
          <w:sz w:val="17"/>
          <w:szCs w:val="17"/>
        </w:rPr>
        <w:t xml:space="preserve">Why it matters.  </w:t>
      </w:r>
      <w:r>
        <w:rPr>
          <w:rFonts w:ascii="Arial" w:cs="Arial" w:eastAsia="Arial" w:hAnsi="Arial"/>
          <w:color w:val="1A1A1A"/>
          <w:sz w:val="17"/>
          <w:szCs w:val="17"/>
        </w:rPr>
        <w:t xml:space="preserve">This converts a governance observation into a dated consequence in a regime APRA operates. It is also the kind of second-order effect that is obvious in hindsight and invisible at the time. FY2028 fee-setting is not yet locked in, so raising it now costs nothing.</w:t>
      </w:r>
    </w:p>
    <w:p>
      <w:pPr>
        <w:spacing w:after="60" w:before="0" w:line="264"/>
      </w:pPr>
      <w:r>
        <w:rPr>
          <w:rFonts w:ascii="Arial" w:cs="Arial" w:eastAsia="Arial" w:hAnsi="Arial"/>
          <w:b/>
          <w:bCs/>
          <w:color w:val="00B398"/>
          <w:sz w:val="17"/>
          <w:szCs w:val="17"/>
        </w:rPr>
        <w:t xml:space="preserve">Who bears it.  </w:t>
      </w:r>
      <w:r>
        <w:rPr>
          <w:rFonts w:ascii="Arial" w:cs="Arial" w:eastAsia="Arial" w:hAnsi="Arial"/>
          <w:color w:val="1A1A1A"/>
          <w:sz w:val="17"/>
          <w:szCs w:val="17"/>
        </w:rPr>
        <w:t xml:space="preserve">Members not affected by the tax, if the cost is recovered through flat fees; the licensee's board, which must justify the expenditure and fee decisions; products close to the performance test fee median.</w:t>
      </w:r>
    </w:p>
    <w:p>
      <w:pPr>
        <w:spacing w:after="60" w:before="0" w:line="264"/>
      </w:pPr>
      <w:r>
        <w:rPr>
          <w:rFonts w:ascii="Arial" w:cs="Arial" w:eastAsia="Arial" w:hAnsi="Arial"/>
          <w:b/>
          <w:bCs/>
          <w:color w:val="00B398"/>
          <w:sz w:val="17"/>
          <w:szCs w:val="17"/>
        </w:rPr>
        <w:t xml:space="preserve">Recommended APRA position.  </w:t>
      </w:r>
      <w:r>
        <w:rPr>
          <w:rFonts w:ascii="Arial" w:cs="Arial" w:eastAsia="Arial" w:hAnsi="Arial"/>
          <w:color w:val="1A1A1A"/>
          <w:sz w:val="17"/>
          <w:szCs w:val="17"/>
        </w:rPr>
        <w:t xml:space="preserve">Ask licensees, before FY2028 fee-setting is locked in, how Division 296 build and run costs are being recovered and from whom, and to demonstrate under SPS 515 paras 17-18 the purpose, funding source and monitoring metrics for that expenditure - including whether they have modelled the effect on their FY2027 and FY2028 administration fee metric, and whether recovering from affected members only is both more defensible under the best financial interests duty and better for the metric. Consider updating SPG 516 to name high-balance members as an expected cohort in the annual business performance review. This is a low-materiality issue with a genuinely high-value, low-cost action, and saying so plainly builds credibility.</w:t>
      </w:r>
      <w:r>
        <w:rPr>
          <w:rFonts w:ascii="Arial" w:cs="Arial" w:eastAsia="Arial" w:hAnsi="Arial"/>
          <w:b/>
          <w:bCs/>
          <w:color w:val="0072CE"/>
          <w:sz w:val="13"/>
          <w:szCs w:val="13"/>
          <w:vertAlign w:val="superscript"/>
        </w:rPr>
        <w:t xml:space="preserve"> [I]</w:t>
      </w:r>
    </w:p>
    <w:p>
      <w:pPr>
        <w:spacing w:after="40" w:before="0" w:line="264"/>
      </w:pPr>
      <w:r>
        <w:rPr>
          <w:rFonts w:ascii="Arial" w:cs="Arial" w:eastAsia="Arial" w:hAnsi="Arial"/>
          <w:b/>
          <w:bCs/>
          <w:color w:val="898781"/>
          <w:sz w:val="15"/>
          <w:szCs w:val="15"/>
        </w:rPr>
        <w:t xml:space="preserve">Scoring.  </w:t>
      </w:r>
      <w:r>
        <w:rPr>
          <w:rFonts w:ascii="Arial" w:cs="Arial" w:eastAsia="Arial" w:hAnsi="Arial"/>
          <w:color w:val="898781"/>
          <w:sz w:val="15"/>
          <w:szCs w:val="15"/>
        </w:rPr>
        <w:t xml:space="preserve">Materiality 3/5 · Likelihood 2/5 · APRA proximity 4/5 · Action: supervisory-practice</w:t>
      </w:r>
    </w:p>
    <w:p>
      <w:pPr>
        <w:spacing w:after="40" w:before="0" w:line="264"/>
      </w:pPr>
      <w:r>
        <w:rPr>
          <w:rFonts w:ascii="Arial" w:cs="Arial" w:eastAsia="Arial" w:hAnsi="Arial"/>
          <w:b/>
          <w:bCs/>
          <w:color w:val="898781"/>
          <w:sz w:val="15"/>
          <w:szCs w:val="15"/>
        </w:rPr>
        <w:t xml:space="preserve">Instruments.  </w:t>
      </w:r>
      <w:r>
        <w:rPr>
          <w:rFonts w:ascii="Arial" w:cs="Arial" w:eastAsia="Arial" w:hAnsi="Arial"/>
          <w:color w:val="898781"/>
          <w:sz w:val="15"/>
          <w:szCs w:val="15"/>
        </w:rPr>
        <w:t xml:space="preserve">Annual superannuation performance test (administration fee metric combined with investment performance; two consecutive failures close the product to new members); SPS 515 paras 13, 17-18 (prudent and transparent fees; demonstrable purpose and funding source for expenditure); SPS 515 paras 24-28 and SPG 516 (business performance review, member cohorts); SIS Act s52(2)(c) best financial interests duty</w:t>
      </w:r>
    </w:p>
    <w:p>
      <w:pPr>
        <w:spacing w:after="60" w:before="0" w:line="264"/>
      </w:pPr>
      <w:r>
        <w:rPr>
          <w:rFonts w:ascii="Arial" w:cs="Arial" w:eastAsia="Arial" w:hAnsi="Arial"/>
          <w:b/>
          <w:bCs/>
          <w:color w:val="898781"/>
          <w:sz w:val="15"/>
          <w:szCs w:val="15"/>
        </w:rPr>
        <w:t xml:space="preserve">Evidence.  </w:t>
      </w:r>
      <w:r>
        <w:rPr>
          <w:rFonts w:ascii="Arial" w:cs="Arial" w:eastAsia="Arial" w:hAnsi="Arial"/>
          <w:color w:val="898781"/>
          <w:sz w:val="14"/>
          <w:szCs w:val="14"/>
        </w:rPr>
        <w:t xml:space="preserve">LIKELIHOOD PROPOSITION: P(Division 296 cost recovery materially affects a product's performance test outcome, or produces a best-financial-interests finding, by FY2029) = 2.  ·  SOURCED: Treasury fact sheet, 13 October 2025 - the measure 'will affect less than 0.5 per cent of Australians with superannuation accounts in 2026-27'; the higher tier 'less than 0.1 per cent' - https://treasury.gov.au/publication/p2025-709385-btsc  ·  SOURCED: ASFA - 'Even for large funds with several million members, there may be 1,500 or fewer members' in scope; cost-effective administration is 'of paramount importance ... to avoid imposing a cost burden ... indirectly ... borne by fund members ... not affected' - ASFA submission, 7 April 2026, pp.1-2  ·  SOURCED: Treasury Impact Analysis (January 2024) rejected member-level calculation partly because 'This significant compliance costs would be borne across all 22.5 million member accounts in large APRA-regulated funds, not just the 0.5 per cent of account holders with a TSB exceeding $3 million'. Its only published ongoing costing for the chosen design is $1,421,858 a year across the sector, on an assumption of 'an additional half hour of work each for reporting on each affected member'.  ·  SOURCED: SPG 516 - 'Separate cohorts may also be established using membership characteristics that cut across superannuation products, for example cohorts based on balance size' - https://www.apra.gov.au/sites/default/files/Prudential%20Practice%20Guide%20SPG%20516%20-%20Business%20Performance%20Review_0.pdf  ·  INFERRED: the half-hour-per-member assumption was struck before the redesign moved the calculation from the ATO to funds, so the only published cost estimate almost certainly understates the enacted measure. Even at ten times that figure, roughly $14m a year across about 22.5m accounts is about 60 cents per account per year - which is why the materiality of the cost itself is low and the performance test transmission is the real point.  ·  CREATED: the observation that a median-benchmarked fee test creates an incentive to absorb or capitalise the cost rather than recover it transparently is an original analytical proposition for this meeting.</w:t>
      </w:r>
    </w:p>
    <w:p>
      <w:pPr>
        <w:spacing w:after="60" w:before="200" w:line="264"/>
      </w:pPr>
      <w:r>
        <w:rPr>
          <w:rFonts w:ascii="Arial" w:cs="Arial" w:eastAsia="Arial" w:hAnsi="Arial"/>
          <w:b/>
          <w:bCs/>
          <w:color w:val="012169"/>
          <w:sz w:val="19"/>
          <w:szCs w:val="19"/>
        </w:rPr>
        <w:t xml:space="preserve">P15. </w:t>
      </w:r>
      <w:r>
        <w:rPr>
          <w:rFonts w:ascii="Arial" w:cs="Arial" w:eastAsia="Arial" w:hAnsi="Arial"/>
          <w:b/>
          <w:bCs/>
          <w:color w:val="012169"/>
          <w:sz w:val="19"/>
          <w:szCs w:val="19"/>
        </w:rPr>
        <w:t xml:space="preserve">APRA has an open channel to Treasury and the Tax Office, and a window to put a prudential view into the remaining design work</w:t>
      </w:r>
      <w:r>
        <w:rPr>
          <w:rFonts w:ascii="Arial" w:cs="Arial" w:eastAsia="Arial" w:hAnsi="Arial"/>
          <w:b/>
          <w:bCs/>
          <w:color w:val="E87722"/>
          <w:sz w:val="15"/>
          <w:szCs w:val="15"/>
        </w:rPr>
        <w:t xml:space="preserve">   GRADE B</w:t>
      </w:r>
    </w:p>
    <w:p>
      <w:pPr>
        <w:spacing w:after="60" w:before="0" w:line="264"/>
      </w:pPr>
      <w:r>
        <w:rPr>
          <w:rFonts w:ascii="Arial" w:cs="Arial" w:eastAsia="Arial" w:hAnsi="Arial"/>
          <w:b/>
          <w:bCs/>
          <w:color w:val="00B398"/>
          <w:sz w:val="17"/>
          <w:szCs w:val="17"/>
        </w:rPr>
        <w:t xml:space="preserve">In plain terms.  </w:t>
      </w:r>
      <w:r>
        <w:rPr>
          <w:rFonts w:ascii="Arial" w:cs="Arial" w:eastAsia="Arial" w:hAnsi="Arial"/>
          <w:color w:val="1A1A1A"/>
          <w:sz w:val="17"/>
          <w:szCs w:val="17"/>
        </w:rPr>
        <w:t xml:space="preserve">The Government committed to further consultation on two things: how the fund's earnings are calculated, and how they are split between members. Both Treasury consultations have now closed, and that remaining work is progressing through a Tax Office co-design process with large funds, administrators and industry bodies, ahead of a public ruling. APRA engages with Treasury and the Tax Office bilaterally, so this is not a question of being shut out. It is a question of timing: once the ruling moves from draft to final, the method is effectively fixed, and the prudential consequences - how boards govern the judgement, how the operational load falls, how member equity is protected - are easier to shape before that than after. There is a practical detail worth knowing: the Council of Financial Regulators has four members and the Tax Office is not one of them. The grouping that includes the Tax Office is the broader CFR Plus arrangement.</w:t>
      </w:r>
    </w:p>
    <w:p>
      <w:pPr>
        <w:spacing w:after="60" w:before="0" w:line="264"/>
      </w:pPr>
      <w:r>
        <w:rPr>
          <w:rFonts w:ascii="Arial" w:cs="Arial" w:eastAsia="Arial" w:hAnsi="Arial"/>
          <w:b/>
          <w:bCs/>
          <w:color w:val="00B398"/>
          <w:sz w:val="17"/>
          <w:szCs w:val="17"/>
        </w:rPr>
        <w:t xml:space="preserve">Why it matters.  </w:t>
      </w:r>
      <w:r>
        <w:rPr>
          <w:rFonts w:ascii="Arial" w:cs="Arial" w:eastAsia="Arial" w:hAnsi="Arial"/>
          <w:color w:val="1A1A1A"/>
          <w:sz w:val="17"/>
          <w:szCs w:val="17"/>
        </w:rPr>
        <w:t xml:space="preserve">Decisions being taken now determine operational load, data flows and member-equity outcomes for entities APRA supervises. Contributing a prudential perspective while the ruling is being written is cheap; supervising after the fact against a method APRA had no input into is not. There is also a precedent argument: APRA has already published a readiness letter on the other measure commencing 1 July 2026, so a Division 296 equivalent is a consistency step.</w:t>
      </w:r>
    </w:p>
    <w:p>
      <w:pPr>
        <w:spacing w:after="60" w:before="0" w:line="264"/>
      </w:pPr>
      <w:r>
        <w:rPr>
          <w:rFonts w:ascii="Arial" w:cs="Arial" w:eastAsia="Arial" w:hAnsi="Arial"/>
          <w:b/>
          <w:bCs/>
          <w:color w:val="00B398"/>
          <w:sz w:val="17"/>
          <w:szCs w:val="17"/>
        </w:rPr>
        <w:t xml:space="preserve">Who bears it.  </w:t>
      </w:r>
      <w:r>
        <w:rPr>
          <w:rFonts w:ascii="Arial" w:cs="Arial" w:eastAsia="Arial" w:hAnsi="Arial"/>
          <w:color w:val="1A1A1A"/>
          <w:sz w:val="17"/>
          <w:szCs w:val="17"/>
        </w:rPr>
        <w:t xml:space="preserve">APRA as supervisor; RSE licensees who will receive a method designed without prudential input; members whose outcomes turn on it.</w:t>
      </w:r>
    </w:p>
    <w:p>
      <w:pPr>
        <w:spacing w:after="60" w:before="0" w:line="264"/>
      </w:pPr>
      <w:r>
        <w:rPr>
          <w:rFonts w:ascii="Arial" w:cs="Arial" w:eastAsia="Arial" w:hAnsi="Arial"/>
          <w:b/>
          <w:bCs/>
          <w:color w:val="00B398"/>
          <w:sz w:val="17"/>
          <w:szCs w:val="17"/>
        </w:rPr>
        <w:t xml:space="preserve">Recommended APRA position.  </w:t>
      </w:r>
      <w:r>
        <w:rPr>
          <w:rFonts w:ascii="Arial" w:cs="Arial" w:eastAsia="Arial" w:hAnsi="Arial"/>
          <w:color w:val="1A1A1A"/>
          <w:sz w:val="17"/>
          <w:szCs w:val="17"/>
        </w:rPr>
        <w:t xml:space="preserve">Consider seeking a standing APRA place in the Tax Office's Division 296 co-design workstream, or a tripartite Treasury-Tax Office-APRA arrangement, before the Law Companion Ruling reaches draft, and put APRA's member-equity and operational-risk expectations into that process in writing. The highest-value single ask is a safe harbour: a default attribution method that a trustee adopting it is protected for. That is more useful than governance around an open-ended judgement, and industry would support it. Distinguish clearly between what APRA asks for in its own name - a seat, the transfer protocol, a current in-scope headcount, and a data arrangement - and prudential consequences APRA puts on the record for Treasury and the Tax Office to remedy, which should be stated as consequences for supervised entities without APRA advocating a preferred tax mechanic. In parallel, consider a short letter to RSE licensees so APRA's expectations are on the record before the first measurement year closes on 30 June 2027. Use CFR Plus, not the CFR, if the coordination question is escalated.</w:t>
      </w:r>
      <w:r>
        <w:rPr>
          <w:rFonts w:ascii="Arial" w:cs="Arial" w:eastAsia="Arial" w:hAnsi="Arial"/>
          <w:b/>
          <w:bCs/>
          <w:color w:val="00806D"/>
          <w:sz w:val="13"/>
          <w:szCs w:val="13"/>
          <w:vertAlign w:val="superscript"/>
        </w:rPr>
        <w:t xml:space="preserve"> [S]</w:t>
      </w:r>
    </w:p>
    <w:p>
      <w:pPr>
        <w:spacing w:after="40" w:before="0" w:line="264"/>
      </w:pPr>
      <w:r>
        <w:rPr>
          <w:rFonts w:ascii="Arial" w:cs="Arial" w:eastAsia="Arial" w:hAnsi="Arial"/>
          <w:b/>
          <w:bCs/>
          <w:color w:val="898781"/>
          <w:sz w:val="15"/>
          <w:szCs w:val="15"/>
        </w:rPr>
        <w:t xml:space="preserve">Scoring.  </w:t>
      </w:r>
      <w:r>
        <w:rPr>
          <w:rFonts w:ascii="Arial" w:cs="Arial" w:eastAsia="Arial" w:hAnsi="Arial"/>
          <w:color w:val="898781"/>
          <w:sz w:val="15"/>
          <w:szCs w:val="15"/>
        </w:rPr>
        <w:t xml:space="preserve">Materiality 2/5 · Likelihood 2/5 · APRA proximity 5/5 · Action: supervisory-practice</w:t>
      </w:r>
    </w:p>
    <w:p>
      <w:pPr>
        <w:spacing w:after="40" w:before="0" w:line="264"/>
      </w:pPr>
      <w:r>
        <w:rPr>
          <w:rFonts w:ascii="Arial" w:cs="Arial" w:eastAsia="Arial" w:hAnsi="Arial"/>
          <w:b/>
          <w:bCs/>
          <w:color w:val="898781"/>
          <w:sz w:val="15"/>
          <w:szCs w:val="15"/>
        </w:rPr>
        <w:t xml:space="preserve">Instruments.  </w:t>
      </w:r>
      <w:r>
        <w:rPr>
          <w:rFonts w:ascii="Arial" w:cs="Arial" w:eastAsia="Arial" w:hAnsi="Arial"/>
          <w:color w:val="898781"/>
          <w:sz w:val="15"/>
          <w:szCs w:val="15"/>
        </w:rPr>
        <w:t xml:space="preserve">Treasury commitment of 13 October 2025 to consult on calculation and attribution of realised earnings; ATO Superannuation Administration Group co-design workstream; Forthcoming ATO Law Companion Ruling on Division 296; CFR Plus (CFR agencies plus the ACCC, ATO, AUSTRAC and AFSA); APRA letters and guidance to RSE licensees</w:t>
      </w:r>
    </w:p>
    <w:p>
      <w:pPr>
        <w:spacing w:after="60" w:before="0" w:line="264"/>
      </w:pPr>
      <w:r>
        <w:rPr>
          <w:rFonts w:ascii="Arial" w:cs="Arial" w:eastAsia="Arial" w:hAnsi="Arial"/>
          <w:b/>
          <w:bCs/>
          <w:color w:val="898781"/>
          <w:sz w:val="15"/>
          <w:szCs w:val="15"/>
        </w:rPr>
        <w:t xml:space="preserve">Evidence.  </w:t>
      </w:r>
      <w:r>
        <w:rPr>
          <w:rFonts w:ascii="Arial" w:cs="Arial" w:eastAsia="Arial" w:hAnsi="Arial"/>
          <w:color w:val="898781"/>
          <w:sz w:val="14"/>
          <w:szCs w:val="14"/>
        </w:rPr>
        <w:t xml:space="preserve">LIKELIHOOD PROPOSITION: P(the Law Companion Ruling is finalised on terms APRA would have sought to influence, without a prudential contribution having been made) = 2. Scored low because APRA engages bilaterally with Treasury and the ATO and the co-design process is still running.  ·  SOURCED: Treasury fact sheet, 13 October 2025 - 'The government will consult the sector on the best approach to: calculate realised earnings and attribute to in-scope individuals' - https://treasury.gov.au/publication/p2025-709385-btsc  ·  SOURCED: as at 26 July 2026 Treasury's consultation register shows only two Division 296 items, both closed (exposure draft 19 December 2025 - 16 January 2026; draft regulations 17 March - 7 April 2026) - https://treasury.gov.au/consultation  ·  SOURCED: ATO Superannuation Administration Group key messages, 18 February 2026 (co-design sessions restarting for Division 296) and 20 May 2026 ('Additional public advice and guidance products will be developed and formally consulted on once the regulations have been finalised').  ·  SOURCED: the Council of Financial Regulators comprises APRA, ASIC, Treasury and the RBA - https://www.cfr.gov.au/about/member-agencies.html . CFR Plus adds the ACCC, ATO, AUSTRAC and AFSA and published a joint regulatory reform implementation plan in May 2026.  ·  SOURCED: 83 submissions were received on the exposure draft in a 28-day window over Christmas and New Year; the Bill passed both Houses without amendment on 10 March 2026, was never referred to a Senate legislation committee, and received Assent on 13 March 2026 - Bills Digest No. 48, 2025-26.  ·  GAP: the published membership page for the Superannuation Administration Group does not list APRA, but a published membership page is not evidence of who attends a specific workstream and says nothing about bilateral engagement. Confirm internally with Policy and the Superannuation Division what engagement has occurred since October 2025 before raising this.</w:t>
      </w:r>
    </w:p>
    <w:p>
      <w:pPr>
        <w:spacing w:after="60" w:before="200" w:line="264"/>
      </w:pPr>
      <w:r>
        <w:rPr>
          <w:rFonts w:ascii="Arial" w:cs="Arial" w:eastAsia="Arial" w:hAnsi="Arial"/>
          <w:b/>
          <w:bCs/>
          <w:color w:val="012169"/>
          <w:sz w:val="19"/>
          <w:szCs w:val="19"/>
        </w:rPr>
        <w:t xml:space="preserve">P16. </w:t>
      </w:r>
      <w:r>
        <w:rPr>
          <w:rFonts w:ascii="Arial" w:cs="Arial" w:eastAsia="Arial" w:hAnsi="Arial"/>
          <w:b/>
          <w:bCs/>
          <w:color w:val="012169"/>
          <w:sz w:val="19"/>
          <w:szCs w:val="19"/>
        </w:rPr>
        <w:t xml:space="preserve">Perimeter: the capital gains reset favours SMALL funds - which includes some APRA-regulated ones - and the migration trend predates the tax</w:t>
      </w:r>
      <w:r>
        <w:rPr>
          <w:rFonts w:ascii="Arial" w:cs="Arial" w:eastAsia="Arial" w:hAnsi="Arial"/>
          <w:b/>
          <w:bCs/>
          <w:color w:val="A8891F"/>
          <w:sz w:val="15"/>
          <w:szCs w:val="15"/>
        </w:rPr>
        <w:t xml:space="preserve">   GRADE C</w:t>
      </w:r>
    </w:p>
    <w:p>
      <w:pPr>
        <w:spacing w:after="60" w:before="0" w:line="264"/>
      </w:pPr>
      <w:r>
        <w:rPr>
          <w:rFonts w:ascii="Arial" w:cs="Arial" w:eastAsia="Arial" w:hAnsi="Arial"/>
          <w:b/>
          <w:bCs/>
          <w:color w:val="00B398"/>
          <w:sz w:val="17"/>
          <w:szCs w:val="17"/>
        </w:rPr>
        <w:t xml:space="preserve">In plain terms.  </w:t>
      </w:r>
      <w:r>
        <w:rPr>
          <w:rFonts w:ascii="Arial" w:cs="Arial" w:eastAsia="Arial" w:hAnsi="Arial"/>
          <w:color w:val="1A1A1A"/>
          <w:sz w:val="17"/>
          <w:szCs w:val="17"/>
        </w:rPr>
        <w:t xml:space="preserve">Small funds can make a one-off election to reset the tax cost of all their assets to market value at 30 June 2026, permanently removing gains built up before the tax started. Large funds get only a temporary discount that phases out. The important correction is that 'small' does not mean 'self-managed'. Small APRA funds - funds with no more than six members, trusteed by professional trustees APRA supervises - sit on the same side of the line. So a member can obtain the reset without leaving APRA's perimeter, and the design asymmetry is about fund size, not about who regulates the fund. The same six-member line means some of APRA's own licensees will attribute earnings by a completely different legal mechanism - a prescribed formula plus a compulsory annual actuarial certificate for every fund, every year, which is a real recurring cost for very small funds. On migration: net rollovers out of APRA-regulated funds into self-managed funds reached $12.2 billion in the year to March 2026, up 54 per cent. Whether this tax caused any of that is not established, and the largest single quarter was September 2025 - before the October 2025 redesign was announced.</w:t>
      </w:r>
    </w:p>
    <w:p>
      <w:pPr>
        <w:spacing w:after="60" w:before="0" w:line="264"/>
      </w:pPr>
      <w:r>
        <w:rPr>
          <w:rFonts w:ascii="Arial" w:cs="Arial" w:eastAsia="Arial" w:hAnsi="Arial"/>
          <w:b/>
          <w:bCs/>
          <w:color w:val="00B398"/>
          <w:sz w:val="17"/>
          <w:szCs w:val="17"/>
        </w:rPr>
        <w:t xml:space="preserve">Why it matters.  </w:t>
      </w:r>
      <w:r>
        <w:rPr>
          <w:rFonts w:ascii="Arial" w:cs="Arial" w:eastAsia="Arial" w:hAnsi="Arial"/>
          <w:color w:val="1A1A1A"/>
          <w:sz w:val="17"/>
          <w:szCs w:val="17"/>
        </w:rPr>
        <w:t xml:space="preserve">The members most able to leave are the ones whose departure most erodes scale, and their fee contribution is disproportionate to their headcount where a percentage fee is capped. But this is squarely a Treasury design decision, not an APRA lever, and the causal story is not made out - which is why it is graded C. There is also a channel the analysis has missed entirely: a member can reduce their measured total by buying a lifetime income stream, and those are life company products that APRA also regulates. Part of what looks like a loss of perimeter is a transfer into another part of APRA's own house that has not been consulted.</w:t>
      </w:r>
    </w:p>
    <w:p>
      <w:pPr>
        <w:spacing w:after="60" w:before="0" w:line="264"/>
      </w:pPr>
      <w:r>
        <w:rPr>
          <w:rFonts w:ascii="Arial" w:cs="Arial" w:eastAsia="Arial" w:hAnsi="Arial"/>
          <w:b/>
          <w:bCs/>
          <w:color w:val="00B398"/>
          <w:sz w:val="17"/>
          <w:szCs w:val="17"/>
        </w:rPr>
        <w:t xml:space="preserve">Who bears it.  </w:t>
      </w:r>
      <w:r>
        <w:rPr>
          <w:rFonts w:ascii="Arial" w:cs="Arial" w:eastAsia="Arial" w:hAnsi="Arial"/>
          <w:color w:val="1A1A1A"/>
          <w:sz w:val="17"/>
          <w:szCs w:val="17"/>
        </w:rPr>
        <w:t xml:space="preserve">Platform, wrap and master-trust licensees most directly; small APRA funds and their professional trustees; the APRA-regulated sector through scale erosion; remaining members through the cost base left behind.</w:t>
      </w:r>
    </w:p>
    <w:p>
      <w:pPr>
        <w:spacing w:after="60" w:before="0" w:line="264"/>
      </w:pPr>
      <w:r>
        <w:rPr>
          <w:rFonts w:ascii="Arial" w:cs="Arial" w:eastAsia="Arial" w:hAnsi="Arial"/>
          <w:b/>
          <w:bCs/>
          <w:color w:val="00B398"/>
          <w:sz w:val="17"/>
          <w:szCs w:val="17"/>
        </w:rPr>
        <w:t xml:space="preserve">Recommended APRA position.  </w:t>
      </w:r>
      <w:r>
        <w:rPr>
          <w:rFonts w:ascii="Arial" w:cs="Arial" w:eastAsia="Arial" w:hAnsi="Arial"/>
          <w:color w:val="1A1A1A"/>
          <w:sz w:val="17"/>
          <w:szCs w:val="17"/>
        </w:rPr>
        <w:t xml:space="preserve">Do not assert causation, and do not describe the reset as an SMSF-only benefit. Put to Treasury that the size-based asymmetry disadvantages large APRA-regulated funds and platform and wrap licensees in particular, and support the request that funds with more than six members be permitted a bulk 30 June 2026 cost-base declaration for member-directed investment options. Monitor FY2026-27 rollover data as an observation, not an attribution. Add three things the analysis has been missing: brief APRA's life insurance supervision that some of this money may arrive in lifetime income streams and investment bonds; note that small APRA funds - APRA's own licensees - face the prescribed-formula and annual actuarial certificate regime, with a recurring cost on a fund type already declining sharply; and monitor contributions, not only outflows, since the rational response for this cohort includes ceasing voluntary and salary-sacrifice contributions, which is more immediate and more measurable than migration and is visible in existing APRA collections.</w:t>
      </w:r>
      <w:r>
        <w:rPr>
          <w:rFonts w:ascii="Arial" w:cs="Arial" w:eastAsia="Arial" w:hAnsi="Arial"/>
          <w:b/>
          <w:bCs/>
          <w:color w:val="00806D"/>
          <w:sz w:val="13"/>
          <w:szCs w:val="13"/>
          <w:vertAlign w:val="superscript"/>
        </w:rPr>
        <w:t xml:space="preserve"> [S]</w:t>
      </w:r>
    </w:p>
    <w:p>
      <w:pPr>
        <w:spacing w:after="40" w:before="0" w:line="264"/>
      </w:pPr>
      <w:r>
        <w:rPr>
          <w:rFonts w:ascii="Arial" w:cs="Arial" w:eastAsia="Arial" w:hAnsi="Arial"/>
          <w:b/>
          <w:bCs/>
          <w:color w:val="898781"/>
          <w:sz w:val="15"/>
          <w:szCs w:val="15"/>
        </w:rPr>
        <w:t xml:space="preserve">Scoring.  </w:t>
      </w:r>
      <w:r>
        <w:rPr>
          <w:rFonts w:ascii="Arial" w:cs="Arial" w:eastAsia="Arial" w:hAnsi="Arial"/>
          <w:color w:val="898781"/>
          <w:sz w:val="15"/>
          <w:szCs w:val="15"/>
        </w:rPr>
        <w:t xml:space="preserve">Materiality 3/5 · Likelihood 3/5 · APRA proximity 2/5 · Action: no-change-monitor</w:t>
      </w:r>
    </w:p>
    <w:p>
      <w:pPr>
        <w:spacing w:after="40" w:before="0" w:line="264"/>
      </w:pPr>
      <w:r>
        <w:rPr>
          <w:rFonts w:ascii="Arial" w:cs="Arial" w:eastAsia="Arial" w:hAnsi="Arial"/>
          <w:b/>
          <w:bCs/>
          <w:color w:val="898781"/>
          <w:sz w:val="15"/>
          <w:szCs w:val="15"/>
        </w:rPr>
        <w:t xml:space="preserve">Instruments.  </w:t>
      </w:r>
      <w:r>
        <w:rPr>
          <w:rFonts w:ascii="Arial" w:cs="Arial" w:eastAsia="Arial" w:hAnsi="Arial"/>
          <w:color w:val="898781"/>
          <w:sz w:val="15"/>
          <w:szCs w:val="15"/>
        </w:rPr>
        <w:t xml:space="preserve">Income Tax (Transitional Provisions) Act 1997, Division 296 transitional cost base reset (small funds) and prescribed factor method (large funds and pooled superannuation trusts); Income Tax Assessment (1997 Act) Amendment Regulations 2026 (F2026L00726) Sch 1; SRS 551.0 / SRS 611.0 (inability to decompose outflows); APRA-ATO data-sharing arrangements (subject to the secrecy question in P6); Life insurance prudential framework (lifetime income streams and investment bonds)</w:t>
      </w:r>
    </w:p>
    <w:p>
      <w:pPr>
        <w:spacing w:after="60" w:before="0" w:line="264"/>
      </w:pPr>
      <w:r>
        <w:rPr>
          <w:rFonts w:ascii="Arial" w:cs="Arial" w:eastAsia="Arial" w:hAnsi="Arial"/>
          <w:b/>
          <w:bCs/>
          <w:color w:val="898781"/>
          <w:sz w:val="15"/>
          <w:szCs w:val="15"/>
        </w:rPr>
        <w:t xml:space="preserve">Evidence.  </w:t>
      </w:r>
      <w:r>
        <w:rPr>
          <w:rFonts w:ascii="Arial" w:cs="Arial" w:eastAsia="Arial" w:hAnsi="Arial"/>
          <w:color w:val="898781"/>
          <w:sz w:val="14"/>
          <w:szCs w:val="14"/>
        </w:rPr>
        <w:t xml:space="preserve">LIKELIHOOD PROPOSITION: P(a Division 296-attributable outflow of high-balance members from APRA-regulated funds that is material to a licensee's scale, and identifiable as such, by FY2029) = 3.  ·  SOURCED (with correction): Tax Institute, quoted in Bills Digest No. 48 at p.8 - 'SMSFs can opt in to adjust the cost base of all fund assets to their market value as at 30 June 2026 ... while large APRA funds are required to adjust their actual realised capital gains for the first four years (factor method).' CORRECTION: the legislated boundary is fund size - small funds, which include small APRA funds as well as SMSFs - not SMSF status. Pooled superannuation trusts are excluded alongside large funds. Verify the exact wording in the Income Tax (Transitional Provisions) Act 1997 before the meeting.  ·  SOURCED: ASFA asks that funds with more than six members be permitted 'to make a bulk declaration to cover all members in its member directed investment options in regard to adopting 30 June 2026 cost base' - ASFA submission, 7 April 2026, pp.3-4.  ·  SOURCED: net rollovers from APRA-regulated funds to SMSFs, year ended March 2026, -$12,184m versus -$7,922m a year earlier (+53.8%); the largest quarter was September 2025 at -$3,656m - APRA Quarterly Superannuation Performance Statistics to March 2026, Table 1a. NOTE: that quarter precedes the 13 October 2025 redesign announcement, which cuts against a Division 296 explanation.  ·  SOURCED: 4.7% of SMSF members had SMSF balances above $3m in 2023-24 (approximately 53,300 people), up from 3.1% five years earlier - ATO SMSF statistical overview 2023-24, Tables 1 and 25.  ·  SOURCED: small APRA funds are APRA-regulated funds with no more than six members; there were 673 at June 2025, down about 1,000 on the prior year.  ·  CAVEAT: the strongest available SMSF establishment data (Padua WealthData, June 2026) does not mention Division 296 and attributes growth to demand for direct control and lower online establishment costs, with new funds skewing to ages 35-44 - which cuts against a Division 296 explanation.  ·  INFERRED: a member can reduce total superannuation balance by acquiring a lifetime or other non-account-based income stream, valued by a special method that Schedule 2 of the Act alters; those products are issued by APRA-regulated life companies, as are investment bonds. Behavioural scale not established - record as a monitoring item, not a finding.  ·  CAVEAT: exempt public sector superannuation schemes are included in Treasury's 31,800 estimate but are not APRA-regulated; they are covered by a Heads of Government agreement under which states apply SIS-equivalent rules. The principal population estimate therefore silently includes a cohort outside APRA's perimeter.</w:t>
      </w:r>
    </w:p>
    <w:p>
      <w:pPr>
        <w:spacing w:after="60" w:before="200" w:line="264"/>
      </w:pPr>
      <w:r>
        <w:rPr>
          <w:rFonts w:ascii="Arial" w:cs="Arial" w:eastAsia="Arial" w:hAnsi="Arial"/>
          <w:b/>
          <w:bCs/>
          <w:color w:val="012169"/>
          <w:sz w:val="19"/>
          <w:szCs w:val="19"/>
        </w:rPr>
        <w:t xml:space="preserve">P17. </w:t>
      </w:r>
      <w:r>
        <w:rPr>
          <w:rFonts w:ascii="Arial" w:cs="Arial" w:eastAsia="Arial" w:hAnsi="Arial"/>
          <w:b/>
          <w:bCs/>
          <w:color w:val="012169"/>
          <w:sz w:val="19"/>
          <w:szCs w:val="19"/>
        </w:rPr>
        <w:t xml:space="preserve">Post-death attribution is made law, not a draft - trustees must build to it, and it collides with the duty to pay death benefits promptly</w:t>
      </w:r>
      <w:r>
        <w:rPr>
          <w:rFonts w:ascii="Arial" w:cs="Arial" w:eastAsia="Arial" w:hAnsi="Arial"/>
          <w:b/>
          <w:bCs/>
          <w:color w:val="A8891F"/>
          <w:sz w:val="15"/>
          <w:szCs w:val="15"/>
        </w:rPr>
        <w:t xml:space="preserve">   GRADE C</w:t>
      </w:r>
    </w:p>
    <w:p>
      <w:pPr>
        <w:spacing w:after="60" w:before="0" w:line="264"/>
      </w:pPr>
      <w:r>
        <w:rPr>
          <w:rFonts w:ascii="Arial" w:cs="Arial" w:eastAsia="Arial" w:hAnsi="Arial"/>
          <w:b/>
          <w:bCs/>
          <w:color w:val="00B398"/>
          <w:sz w:val="17"/>
          <w:szCs w:val="17"/>
        </w:rPr>
        <w:t xml:space="preserve">In plain terms.  </w:t>
      </w:r>
      <w:r>
        <w:rPr>
          <w:rFonts w:ascii="Arial" w:cs="Arial" w:eastAsia="Arial" w:hAnsi="Arial"/>
          <w:color w:val="1A1A1A"/>
          <w:sz w:val="17"/>
          <w:szCs w:val="17"/>
        </w:rPr>
        <w:t xml:space="preserve">When a member dies, the trustee must pay the death benefit as soon as practicable. Under the rules as made, fund earnings continue to be attributed to the deceased member's account until the death benefit is fully paid, and the liability may only be assessed after the money has gone - potentially leaving an estate with a tax bill and nothing left in super to pay it from. There is also an odd distinction: if the member had a pension that automatically continues to a spouse, attribution stops; if not, it continues. Identical families get different outcomes because of a paperwork choice. Three technical bodies contested this at consultation and it survived into the final regulations unchanged. That matters for what APRA says: these are not draft rules. Consultation closed on 7 April 2026, the regulations were made on 11 June and registered on 18 June 2026, and they commenced on 1 July 2026. Trustees must build to them.</w:t>
      </w:r>
    </w:p>
    <w:p>
      <w:pPr>
        <w:spacing w:after="60" w:before="0" w:line="264"/>
      </w:pPr>
      <w:r>
        <w:rPr>
          <w:rFonts w:ascii="Arial" w:cs="Arial" w:eastAsia="Arial" w:hAnsi="Arial"/>
          <w:b/>
          <w:bCs/>
          <w:color w:val="00B398"/>
          <w:sz w:val="17"/>
          <w:szCs w:val="17"/>
        </w:rPr>
        <w:t xml:space="preserve">Why it matters.  </w:t>
      </w:r>
      <w:r>
        <w:rPr>
          <w:rFonts w:ascii="Arial" w:cs="Arial" w:eastAsia="Arial" w:hAnsi="Arial"/>
          <w:color w:val="1A1A1A"/>
          <w:sz w:val="17"/>
          <w:szCs w:val="17"/>
        </w:rPr>
        <w:t xml:space="preserve">Death benefits are already the most litigated area of superannuation. A trustee that pays promptly may strand a liability with an estate; a trustee that holds back to protect the estate risks breaching the cashing rule. There is no clean answer and executors will press trustees on both sides. It also injects a tax consideration into trustee discretion and into the advice members receive about death benefit nominations. It is graded C because the remedy is Treasury's, not APRA's, and the population is small.</w:t>
      </w:r>
    </w:p>
    <w:p>
      <w:pPr>
        <w:spacing w:after="60" w:before="0" w:line="264"/>
      </w:pPr>
      <w:r>
        <w:rPr>
          <w:rFonts w:ascii="Arial" w:cs="Arial" w:eastAsia="Arial" w:hAnsi="Arial"/>
          <w:b/>
          <w:bCs/>
          <w:color w:val="00B398"/>
          <w:sz w:val="17"/>
          <w:szCs w:val="17"/>
        </w:rPr>
        <w:t xml:space="preserve">Who bears it.  </w:t>
      </w:r>
      <w:r>
        <w:rPr>
          <w:rFonts w:ascii="Arial" w:cs="Arial" w:eastAsia="Arial" w:hAnsi="Arial"/>
          <w:color w:val="1A1A1A"/>
          <w:sz w:val="17"/>
          <w:szCs w:val="17"/>
        </w:rPr>
        <w:t xml:space="preserve">Funds with large numbers of high-balance retirees; estates and legal personal representatives; beneficiaries, including in second-marriage fact patterns where estate and superannuation beneficiaries differ.</w:t>
      </w:r>
    </w:p>
    <w:p>
      <w:pPr>
        <w:spacing w:after="60" w:before="0" w:line="264"/>
      </w:pPr>
      <w:r>
        <w:rPr>
          <w:rFonts w:ascii="Arial" w:cs="Arial" w:eastAsia="Arial" w:hAnsi="Arial"/>
          <w:b/>
          <w:bCs/>
          <w:color w:val="00B398"/>
          <w:sz w:val="17"/>
          <w:szCs w:val="17"/>
        </w:rPr>
        <w:t xml:space="preserve">Recommended APRA position.  </w:t>
      </w:r>
      <w:r>
        <w:rPr>
          <w:rFonts w:ascii="Arial" w:cs="Arial" w:eastAsia="Arial" w:hAnsi="Arial"/>
          <w:color w:val="1A1A1A"/>
          <w:sz w:val="17"/>
          <w:szCs w:val="17"/>
        </w:rPr>
        <w:t xml:space="preserve">Do NOT advise licensees to hold off building - the rule is made and operative, and telling supervised entities not to implement operative law would be wrong and potentially harmful. Instead, ask exposed licensees how they will reconcile continued post-death attribution with the obligation to cash death benefits as soon as practicable, and expect the tension to appear in complaints and in death benefit payment timeliness metrics. Separately, put the prudential consequence on the record with Treasury: post-death attribution conflicts with the cashing obligation, and the reversionary versus non-reversionary distinction rewards benefit design over substance. Confirm and communicate the final position, which is now determinable: no Division 296 liability arises in the year of death where death occurs on or before 30 June, with earnings then attributed to the undistributed interest until death benefits are fully paid.</w:t>
      </w:r>
      <w:r>
        <w:rPr>
          <w:rFonts w:ascii="Arial" w:cs="Arial" w:eastAsia="Arial" w:hAnsi="Arial"/>
          <w:b/>
          <w:bCs/>
          <w:color w:val="00806D"/>
          <w:sz w:val="13"/>
          <w:szCs w:val="13"/>
          <w:vertAlign w:val="superscript"/>
        </w:rPr>
        <w:t xml:space="preserve"> [S]</w:t>
      </w:r>
    </w:p>
    <w:p>
      <w:pPr>
        <w:spacing w:after="40" w:before="0" w:line="264"/>
      </w:pPr>
      <w:r>
        <w:rPr>
          <w:rFonts w:ascii="Arial" w:cs="Arial" w:eastAsia="Arial" w:hAnsi="Arial"/>
          <w:b/>
          <w:bCs/>
          <w:color w:val="898781"/>
          <w:sz w:val="15"/>
          <w:szCs w:val="15"/>
        </w:rPr>
        <w:t xml:space="preserve">Scoring.  </w:t>
      </w:r>
      <w:r>
        <w:rPr>
          <w:rFonts w:ascii="Arial" w:cs="Arial" w:eastAsia="Arial" w:hAnsi="Arial"/>
          <w:color w:val="898781"/>
          <w:sz w:val="15"/>
          <w:szCs w:val="15"/>
        </w:rPr>
        <w:t xml:space="preserve">Materiality 3/5 · Likelihood 3/5 · APRA proximity 2/5 · Action: supervisory-practice</w:t>
      </w:r>
    </w:p>
    <w:p>
      <w:pPr>
        <w:spacing w:after="40" w:before="0" w:line="264"/>
      </w:pPr>
      <w:r>
        <w:rPr>
          <w:rFonts w:ascii="Arial" w:cs="Arial" w:eastAsia="Arial" w:hAnsi="Arial"/>
          <w:b/>
          <w:bCs/>
          <w:color w:val="898781"/>
          <w:sz w:val="15"/>
          <w:szCs w:val="15"/>
        </w:rPr>
        <w:t xml:space="preserve">Instruments.  </w:t>
      </w:r>
      <w:r>
        <w:rPr>
          <w:rFonts w:ascii="Arial" w:cs="Arial" w:eastAsia="Arial" w:hAnsi="Arial"/>
          <w:color w:val="898781"/>
          <w:sz w:val="15"/>
          <w:szCs w:val="15"/>
        </w:rPr>
        <w:t xml:space="preserve">Income Tax Assessment (1997 Act) Amendment Regulations 2026 (F2026L00726) Sch 1 (post-death attribution; 'death benefit income stream'); SIS Act and SIS Regulations cashing rules for death benefits (as soon as practicable); SPS 521 Conflicts of Interest; SPS 515 member outcomes; internal dispute resolution obligations</w:t>
      </w:r>
    </w:p>
    <w:p>
      <w:pPr>
        <w:spacing w:after="60" w:before="0" w:line="264"/>
      </w:pPr>
      <w:r>
        <w:rPr>
          <w:rFonts w:ascii="Arial" w:cs="Arial" w:eastAsia="Arial" w:hAnsi="Arial"/>
          <w:b/>
          <w:bCs/>
          <w:color w:val="898781"/>
          <w:sz w:val="15"/>
          <w:szCs w:val="15"/>
        </w:rPr>
        <w:t xml:space="preserve">Evidence.  </w:t>
      </w:r>
      <w:r>
        <w:rPr>
          <w:rFonts w:ascii="Arial" w:cs="Arial" w:eastAsia="Arial" w:hAnsi="Arial"/>
          <w:color w:val="898781"/>
          <w:sz w:val="14"/>
          <w:szCs w:val="14"/>
        </w:rPr>
        <w:t xml:space="preserve">LIKELIHOOD PROPOSITION: P(a trustee faces a live conflict between the cashing obligation and post-death attribution that produces a complaint, a delayed payment or estate detriment, in FY2028-29) = 3.  ·  SOURCED: consultation on the draft regulations closed 7 April 2026; the regulations (F2026L00726) were made 11 June and registered 18 June 2026 - https://www.legislation.gov.au/F2026L00726/asmade . Practitioner coverage on release was headlined that there was no change to post-death earnings, and the final instrument introduced a new defined term, 'death benefit income stream'. The rule is operative, not draft.  ·  SOURCED: SMSF Association - the post-death approach 'was not articulated in our previous discussions with Treasury, the primary legislation, nor the previously released Additional guidance on proposed regulations paper' and 'represents a material expansion of the regime'; 'the liability arises only after the superannuation interest has been paid, but at that point there may no longer be any capacity to fund the liability from within the superannuation system' - submission, 7 April 2026, pp.1-3.  ·  SOURCED: draft Regulation 296-70.04(2)(b) stopped attribution at the earlier of all death benefits being paid or another person becoming a retirement-phase recipient; the SMSF Association warned this 'places trustees in a conflicted position' - same submission, pp.3-4.  ·  SOURCED: Tax Institute recommends 'Division 296 liabilities should cease on death' - submission, 16 April 2026.  ·  GAP: the exact operative wording in the made regulations has not been read directly. Verify before quoting regulation numbers.</w:t>
      </w:r>
    </w:p>
    <w:p>
      <w:pPr>
        <w:spacing w:after="60" w:before="200" w:line="264"/>
      </w:pPr>
      <w:r>
        <w:rPr>
          <w:rFonts w:ascii="Arial" w:cs="Arial" w:eastAsia="Arial" w:hAnsi="Arial"/>
          <w:b/>
          <w:bCs/>
          <w:color w:val="012169"/>
          <w:sz w:val="19"/>
          <w:szCs w:val="19"/>
        </w:rPr>
        <w:t xml:space="preserve">P18. </w:t>
      </w:r>
      <w:r>
        <w:rPr>
          <w:rFonts w:ascii="Arial" w:cs="Arial" w:eastAsia="Arial" w:hAnsi="Arial"/>
          <w:b/>
          <w:bCs/>
          <w:color w:val="012169"/>
          <w:sz w:val="19"/>
          <w:szCs w:val="19"/>
        </w:rPr>
        <w:t xml:space="preserve">This is not a system liquidity event - and here is the arithmetic that settles it</w:t>
      </w:r>
      <w:r>
        <w:rPr>
          <w:rFonts w:ascii="Arial" w:cs="Arial" w:eastAsia="Arial" w:hAnsi="Arial"/>
          <w:b/>
          <w:bCs/>
          <w:color w:val="A8891F"/>
          <w:sz w:val="15"/>
          <w:szCs w:val="15"/>
        </w:rPr>
        <w:t xml:space="preserve">   GRADE C</w:t>
      </w:r>
    </w:p>
    <w:p>
      <w:pPr>
        <w:spacing w:after="60" w:before="0" w:line="264"/>
      </w:pPr>
      <w:r>
        <w:rPr>
          <w:rFonts w:ascii="Arial" w:cs="Arial" w:eastAsia="Arial" w:hAnsi="Arial"/>
          <w:b/>
          <w:bCs/>
          <w:color w:val="00B398"/>
          <w:sz w:val="17"/>
          <w:szCs w:val="17"/>
        </w:rPr>
        <w:t xml:space="preserve">In plain terms.  </w:t>
      </w:r>
      <w:r>
        <w:rPr>
          <w:rFonts w:ascii="Arial" w:cs="Arial" w:eastAsia="Arial" w:hAnsi="Arial"/>
          <w:color w:val="1A1A1A"/>
          <w:sz w:val="17"/>
          <w:szCs w:val="17"/>
        </w:rPr>
        <w:t xml:space="preserve">It is tempting to frame this as a risk that funds will be forced to sell assets in a hurry. The numbers do not support it. On APRA's own derivation, the annual amount drawn out of APRA-regulated funds is of the order of one per cent of the lump sums these funds already pay every year, and about three per cent of a single peak month in APRA's own stress test. The behavioural story does not hold either. For the first year only, whether a member pays depends on their balance at 30 June 2027, so in principle there is a deadline to get under three million. But a member at $3.2 million owes roughly $1,800 - nobody restructures a retirement portfolio and crystallises capital gains to avoid that. A member at eight or ten million has a bill worth managing, but cannot get under three million by any means short of destroying their position. The cohort with the incentive cannot act, and the cohort that can act has almost no incentive. Both tails argue against a rush. There is one residual point that is not about cash at all: because the tax falls on income received and gains realised, and not on growth left untouched, it gently rewards holding low-income, low-turnover assets - which points the same way as the growth in unlisted and private market holdings APRA has already flagged as a system risk.</w:t>
      </w:r>
    </w:p>
    <w:p>
      <w:pPr>
        <w:spacing w:after="60" w:before="0" w:line="264"/>
      </w:pPr>
      <w:r>
        <w:rPr>
          <w:rFonts w:ascii="Arial" w:cs="Arial" w:eastAsia="Arial" w:hAnsi="Arial"/>
          <w:b/>
          <w:bCs/>
          <w:color w:val="00B398"/>
          <w:sz w:val="17"/>
          <w:szCs w:val="17"/>
        </w:rPr>
        <w:t xml:space="preserve">Why it matters.  </w:t>
      </w:r>
      <w:r>
        <w:rPr>
          <w:rFonts w:ascii="Arial" w:cs="Arial" w:eastAsia="Arial" w:hAnsi="Arial"/>
          <w:color w:val="1A1A1A"/>
          <w:sz w:val="17"/>
          <w:szCs w:val="17"/>
        </w:rPr>
        <w:t xml:space="preserve">Opening with a forced-sale narrative would repeat an argument the enacted law has already answered, and would cost credibility in the room. Stating the aggregate and behavioural position up front lets the meeting move to where the exposure actually is: operational, member-equity, third-party concentration and perimeter. The composition point is worth one paragraph because nobody else will raise it and it runs against, not with, APRA's stated system risk concern.</w:t>
      </w:r>
    </w:p>
    <w:p>
      <w:pPr>
        <w:spacing w:after="60" w:before="0" w:line="264"/>
      </w:pPr>
      <w:r>
        <w:rPr>
          <w:rFonts w:ascii="Arial" w:cs="Arial" w:eastAsia="Arial" w:hAnsi="Arial"/>
          <w:b/>
          <w:bCs/>
          <w:color w:val="00B398"/>
          <w:sz w:val="17"/>
          <w:szCs w:val="17"/>
        </w:rPr>
        <w:t xml:space="preserve">Who bears it.  </w:t>
      </w:r>
      <w:r>
        <w:rPr>
          <w:rFonts w:ascii="Arial" w:cs="Arial" w:eastAsia="Arial" w:hAnsi="Arial"/>
          <w:color w:val="1A1A1A"/>
          <w:sz w:val="17"/>
          <w:szCs w:val="17"/>
        </w:rPr>
        <w:t xml:space="preserve">Nobody, in aggregate. Specific illiquid investment options and individual funds with concentrated high-balance membership remain exposed on a dispersion basis, as the 2020 early release episode showed.</w:t>
      </w:r>
    </w:p>
    <w:p>
      <w:pPr>
        <w:spacing w:after="60" w:before="0" w:line="264"/>
      </w:pPr>
      <w:r>
        <w:rPr>
          <w:rFonts w:ascii="Arial" w:cs="Arial" w:eastAsia="Arial" w:hAnsi="Arial"/>
          <w:b/>
          <w:bCs/>
          <w:color w:val="00B398"/>
          <w:sz w:val="17"/>
          <w:szCs w:val="17"/>
        </w:rPr>
        <w:t xml:space="preserve">Recommended APRA position.  </w:t>
      </w:r>
      <w:r>
        <w:rPr>
          <w:rFonts w:ascii="Arial" w:cs="Arial" w:eastAsia="Arial" w:hAnsi="Arial"/>
          <w:color w:val="1A1A1A"/>
          <w:sz w:val="17"/>
          <w:szCs w:val="17"/>
        </w:rPr>
        <w:t xml:space="preserve">State the de minimis aggregate position explicitly at the top of the note, with the caveat that it is APRA's own derivation from a superseded-design revenue estimate, and put the per-member arithmetic ($1,800 / $9,000 / $63,000) alongside it. Then say clearly that the exposure is operational, member-equity, third-party concentration and perimeter - not liquidity - with two named exceptions: individual illiquid investment options, and licensees with concentrated high-balance membership. Keep the cheap test: ask materially exposed licensees to produce the SPG 530 para 79(e) policy-driven scenario for Division 296 covering the June 2027 quarter, and to confirm the liquidity management plan treats it as a liquidity event with defined actions. That is a low-cost, high-signal test of whether the plan is live, and it does not require the issue to be graded high. Add a monitoring line on portfolio composition against the SRS 553.0 baseline. Do not carry any 2023-vintage argument about unrealised gains, forced realisation, unusable paper losses or unindexed bracket creep into the meeting - all four were answered by the enacted design.</w:t>
      </w:r>
      <w:r>
        <w:rPr>
          <w:rFonts w:ascii="Arial" w:cs="Arial" w:eastAsia="Arial" w:hAnsi="Arial"/>
          <w:b/>
          <w:bCs/>
          <w:color w:val="E87722"/>
          <w:sz w:val="13"/>
          <w:szCs w:val="13"/>
          <w:vertAlign w:val="superscript"/>
        </w:rPr>
        <w:t xml:space="preserve"> [C]</w:t>
      </w:r>
    </w:p>
    <w:p>
      <w:pPr>
        <w:spacing w:after="40" w:before="0" w:line="264"/>
      </w:pPr>
      <w:r>
        <w:rPr>
          <w:rFonts w:ascii="Arial" w:cs="Arial" w:eastAsia="Arial" w:hAnsi="Arial"/>
          <w:b/>
          <w:bCs/>
          <w:color w:val="898781"/>
          <w:sz w:val="15"/>
          <w:szCs w:val="15"/>
        </w:rPr>
        <w:t xml:space="preserve">Scoring.  </w:t>
      </w:r>
      <w:r>
        <w:rPr>
          <w:rFonts w:ascii="Arial" w:cs="Arial" w:eastAsia="Arial" w:hAnsi="Arial"/>
          <w:color w:val="898781"/>
          <w:sz w:val="15"/>
          <w:szCs w:val="15"/>
        </w:rPr>
        <w:t xml:space="preserve">Materiality 2/5 · Likelihood 2/5 · APRA proximity 3/5 · Action: no-change-monitor</w:t>
      </w:r>
    </w:p>
    <w:p>
      <w:pPr>
        <w:spacing w:after="40" w:before="0" w:line="264"/>
      </w:pPr>
      <w:r>
        <w:rPr>
          <w:rFonts w:ascii="Arial" w:cs="Arial" w:eastAsia="Arial" w:hAnsi="Arial"/>
          <w:b/>
          <w:bCs/>
          <w:color w:val="898781"/>
          <w:sz w:val="15"/>
          <w:szCs w:val="15"/>
        </w:rPr>
        <w:t xml:space="preserve">Instruments.  </w:t>
      </w:r>
      <w:r>
        <w:rPr>
          <w:rFonts w:ascii="Arial" w:cs="Arial" w:eastAsia="Arial" w:hAnsi="Arial"/>
          <w:color w:val="898781"/>
          <w:sz w:val="15"/>
          <w:szCs w:val="15"/>
        </w:rPr>
        <w:t xml:space="preserve">SPS 530 paras 31-38 (comprehensive investment stress testing programme at para 31; liquidity management plan and liquidity event at para 36); SPG 530 paras 79(a) and 79(e) (member-generated events; policy-driven events); SRS 553.0 (out-of-cycle valuation baseline from the December 2025 quarter); APRA System Risk Stress Test framework</w:t>
      </w:r>
    </w:p>
    <w:p>
      <w:pPr>
        <w:spacing w:after="60" w:before="0" w:line="264"/>
      </w:pPr>
      <w:r>
        <w:rPr>
          <w:rFonts w:ascii="Arial" w:cs="Arial" w:eastAsia="Arial" w:hAnsi="Arial"/>
          <w:b/>
          <w:bCs/>
          <w:color w:val="898781"/>
          <w:sz w:val="15"/>
          <w:szCs w:val="15"/>
        </w:rPr>
        <w:t xml:space="preserve">Evidence.  </w:t>
      </w:r>
      <w:r>
        <w:rPr>
          <w:rFonts w:ascii="Arial" w:cs="Arial" w:eastAsia="Arial" w:hAnsi="Arial"/>
          <w:color w:val="898781"/>
          <w:sz w:val="14"/>
          <w:szCs w:val="14"/>
        </w:rPr>
        <w:t xml:space="preserve">LIKELIHOOD PROPOSITION: P(Division 296-driven outflow produces a liquidity event at a material APRA-regulated fund in FY2027 or FY2028) = 2.  ·  CREATED (own derivation, clearly labelled): Treasury's superseded-design costing implies roughly $28,750 of average annual liability per affected individual ($2.3bn in 2027-28 across about 80,000 individuals); applying the 31,800-of-80,000 APRA-side share gives an indicative $0.9bn a year, and less in practice. Against APRA-regulated lump sums of $79.7bn and assets of $3,141.1bn (year to March 2026), that is about 1.1% of annual lump sums and about 0.03% of assets, and about 3% of a single $30bn peak month in APRA's stress test. All comparisons use the same $0.9bn numerator. (The draft's 'one fifteenth of a peak month' mixed the whole-system numerator with the APRA-side one and is wrong.)  ·  CREATED: the behavioural pricing above - $1,800 at $3.2m, $9,000 at $4m, $63,000 at $10m, on a 6% earnings assumption - is APRA's own arithmetic from the proportioning formula (TSB - $3m)/TSB. It is the single most useful number in the pack and should appear in the note.  ·  SOURCED (calibration): APRA System Risk Stress Test, 30 June 2026 - 'aggregate monthly liquidity calls peaking at around $30 billion and cumulative demands totalling $174 billion, or just under 16 per cent of net assets'; peak monthly calls 'less than 7 per cent of available liquid assets'; funds 'largely avoided selling unlisted assets', meeting the shock primarily through listed equities; allocations to illiquid assets in MySuper options increased substantially - https://www.apra.gov.au/news-and-publications/system-risk-stress-test . (Do not say funds sold 'not a single unlisted asset'; the source does not say that.)  ·  SOURCED (calibration): COVID-19 early release paid about $36-38bn, roughly 2% of system funds under management, but 'some large funds processed over 5% of their FUM' and switching reached 8% at some funds - RBA Financial Stability Review, April 2021, Box C. Dispersion, not aggregate, is the lesson.  ·  SOURCED: for 2026-27 liability is determined solely by the balance at the end of that year; from 2027-28 the reference amount is the greater of the opening and closing balance - Explanatory Memorandum para 1.219 via Bills Digest No. 48; ATO guidance on how Division 296 tax is calculated.  ·  SOURCED: SPG 530 para 79(e) - 'policy driven events: a change in Government policy, for example, related to access to accrued member assets'.  ·  CAVEAT: the $2.3bn and 80,000 figures come from the January 2024 Impact Analysis for the superseded design. The verified primary fiscal figure under the enacted design is MYEFO 2025-26, which books the redesign plus the low income offset increase as a $3.8bn decrease in receipts and $475.8m increase in payments over four years.  ·  INFERRED (unquantified, APRA's own proposition): a realised-earnings base taxes distribution and disposal but not accrual, which is a deferral incentive favouring low-distribution, low-turnover, capital-growth assets over income-producing ones - the same direction as the private-market growth APRA has flagged as a system risk. There is an opposite-signed effect too: capital moving to SMSFs and direct holdings holds less unlisted infrastructure in aggregate than a large APRA-regulated fund does. Neither is measured; both belong in the note as analytical propositions.</w:t>
      </w:r>
    </w:p>
    <w:p>
      <w:r>
        <w:br w:type="page"/>
      </w:r>
    </w:p>
    <w:p>
      <w:pPr>
        <w:pBdr>
          <w:bottom w:val="single" w:color="0072CE" w:sz="6" w:space="4"/>
        </w:pBdr>
        <w:spacing w:after="100" w:before="0"/>
      </w:pPr>
      <w:r>
        <w:rPr>
          <w:rFonts w:ascii="Arial" w:cs="Arial" w:eastAsia="Arial" w:hAnsi="Arial"/>
          <w:b/>
          <w:bCs/>
          <w:color w:val="012169"/>
          <w:sz w:val="22"/>
          <w:szCs w:val="22"/>
        </w:rPr>
        <w:t xml:space="preserve">Annex B — Prudential framework mapping</w:t>
      </w:r>
    </w:p>
    <w:p>
      <w:pPr>
        <w:spacing w:after="120" w:before="0" w:line="264"/>
      </w:pPr>
      <w:r>
        <w:rPr>
          <w:rFonts w:ascii="Arial" w:cs="Arial" w:eastAsia="Arial" w:hAnsi="Arial"/>
          <w:color w:val="52514E"/>
          <w:sz w:val="17"/>
          <w:szCs w:val="17"/>
        </w:rPr>
        <w:t xml:space="preserve">One row per instrument examined, including those needing no change — the absence of a required change is itself a finding.</w:t>
      </w:r>
    </w:p>
    <w:tbl>
      <w:tblPr>
        <w:tblW w:type="dxa" w:w="990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100"/>
        <w:gridCol w:w="2700"/>
        <w:gridCol w:w="3106"/>
        <w:gridCol w:w="1300"/>
        <w:gridCol w:w="700"/>
      </w:tblGrid>
      <w:tr>
        <w:trPr>
          <w:tblHeader/>
        </w:trPr>
        <w:tc>
          <w:tcPr>
            <w:tcW w:type="dxa" w:w="2100"/>
            <w:tcBorders>
              <w:top w:val="single" w:color="0072CE" w:sz="8"/>
              <w:left w:val="none" w:color="FFFFFF" w:sz="0"/>
              <w:bottom w:val="single" w:color="D9D8D2" w:sz="3"/>
              <w:right w:val="none" w:color="FFFFFF" w:sz="0"/>
            </w:tcBorders>
            <w:shd w:fill="F4F9FC" w:color="auto" w:val="clear"/>
            <w:tcMar>
              <w:top w:type="dxa" w:w="70"/>
              <w:left w:type="dxa" w:w="100"/>
              <w:bottom w:type="dxa" w:w="70"/>
              <w:right w:type="dxa" w:w="100"/>
            </w:tcMar>
            <w:vAlign w:val="top"/>
          </w:tcPr>
          <w:p>
            <w:pPr>
              <w:spacing w:after="0" w:line="240"/>
            </w:pPr>
            <w:r>
              <w:rPr>
                <w:rFonts w:ascii="Arial" w:cs="Arial" w:eastAsia="Arial" w:hAnsi="Arial"/>
                <w:b/>
                <w:bCs/>
                <w:caps/>
                <w:color w:val="012169"/>
                <w:sz w:val="15"/>
                <w:szCs w:val="15"/>
              </w:rPr>
              <w:t xml:space="preserve">Instrument</w:t>
            </w:r>
          </w:p>
        </w:tc>
        <w:tc>
          <w:tcPr>
            <w:tcW w:type="dxa" w:w="2700"/>
            <w:tcBorders>
              <w:top w:val="single" w:color="0072CE" w:sz="8"/>
              <w:left w:val="none" w:color="FFFFFF" w:sz="0"/>
              <w:bottom w:val="single" w:color="D9D8D2" w:sz="3"/>
              <w:right w:val="none" w:color="FFFFFF" w:sz="0"/>
            </w:tcBorders>
            <w:shd w:fill="F4F9FC" w:color="auto" w:val="clear"/>
            <w:tcMar>
              <w:top w:type="dxa" w:w="70"/>
              <w:left w:type="dxa" w:w="100"/>
              <w:bottom w:type="dxa" w:w="70"/>
              <w:right w:type="dxa" w:w="100"/>
            </w:tcMar>
            <w:vAlign w:val="top"/>
          </w:tcPr>
          <w:p>
            <w:pPr>
              <w:spacing w:after="0" w:line="240"/>
            </w:pPr>
            <w:r>
              <w:rPr>
                <w:rFonts w:ascii="Arial" w:cs="Arial" w:eastAsia="Arial" w:hAnsi="Arial"/>
                <w:b/>
                <w:bCs/>
                <w:caps/>
                <w:color w:val="012169"/>
                <w:sz w:val="15"/>
                <w:szCs w:val="15"/>
              </w:rPr>
              <w:t xml:space="preserve">What it requires now</w:t>
            </w:r>
          </w:p>
        </w:tc>
        <w:tc>
          <w:tcPr>
            <w:tcW w:type="dxa" w:w="3106"/>
            <w:tcBorders>
              <w:top w:val="single" w:color="0072CE" w:sz="8"/>
              <w:left w:val="none" w:color="FFFFFF" w:sz="0"/>
              <w:bottom w:val="single" w:color="D9D8D2" w:sz="3"/>
              <w:right w:val="none" w:color="FFFFFF" w:sz="0"/>
            </w:tcBorders>
            <w:shd w:fill="F4F9FC" w:color="auto" w:val="clear"/>
            <w:tcMar>
              <w:top w:type="dxa" w:w="70"/>
              <w:left w:type="dxa" w:w="100"/>
              <w:bottom w:type="dxa" w:w="70"/>
              <w:right w:type="dxa" w:w="100"/>
            </w:tcMar>
            <w:vAlign w:val="top"/>
          </w:tcPr>
          <w:p>
            <w:pPr>
              <w:spacing w:after="0" w:line="240"/>
            </w:pPr>
            <w:r>
              <w:rPr>
                <w:rFonts w:ascii="Arial" w:cs="Arial" w:eastAsia="Arial" w:hAnsi="Arial"/>
                <w:b/>
                <w:bCs/>
                <w:caps/>
                <w:color w:val="012169"/>
                <w:sz w:val="15"/>
                <w:szCs w:val="15"/>
              </w:rPr>
              <w:t xml:space="preserve">What Division 296 stresses</w:t>
            </w:r>
          </w:p>
        </w:tc>
        <w:tc>
          <w:tcPr>
            <w:tcW w:type="dxa" w:w="1300"/>
            <w:tcBorders>
              <w:top w:val="single" w:color="0072CE" w:sz="8"/>
              <w:left w:val="none" w:color="FFFFFF" w:sz="0"/>
              <w:bottom w:val="single" w:color="D9D8D2" w:sz="3"/>
              <w:right w:val="none" w:color="FFFFFF" w:sz="0"/>
            </w:tcBorders>
            <w:shd w:fill="F4F9FC" w:color="auto" w:val="clear"/>
            <w:tcMar>
              <w:top w:type="dxa" w:w="70"/>
              <w:left w:type="dxa" w:w="100"/>
              <w:bottom w:type="dxa" w:w="70"/>
              <w:right w:type="dxa" w:w="100"/>
            </w:tcMar>
            <w:vAlign w:val="top"/>
          </w:tcPr>
          <w:p>
            <w:pPr>
              <w:spacing w:after="0" w:line="240"/>
            </w:pPr>
            <w:r>
              <w:rPr>
                <w:rFonts w:ascii="Arial" w:cs="Arial" w:eastAsia="Arial" w:hAnsi="Arial"/>
                <w:b/>
                <w:bCs/>
                <w:caps/>
                <w:color w:val="012169"/>
                <w:sz w:val="15"/>
                <w:szCs w:val="15"/>
              </w:rPr>
              <w:t xml:space="preserve">Verdict</w:t>
            </w:r>
          </w:p>
        </w:tc>
        <w:tc>
          <w:tcPr>
            <w:tcW w:type="dxa" w:w="700"/>
            <w:tcBorders>
              <w:top w:val="single" w:color="0072CE" w:sz="8"/>
              <w:left w:val="none" w:color="FFFFFF" w:sz="0"/>
              <w:bottom w:val="single" w:color="D9D8D2" w:sz="3"/>
              <w:right w:val="none" w:color="FFFFFF" w:sz="0"/>
            </w:tcBorders>
            <w:shd w:fill="F4F9FC" w:color="auto" w:val="clear"/>
            <w:tcMar>
              <w:top w:type="dxa" w:w="70"/>
              <w:left w:type="dxa" w:w="100"/>
              <w:bottom w:type="dxa" w:w="70"/>
              <w:right w:type="dxa" w:w="100"/>
            </w:tcMar>
            <w:vAlign w:val="top"/>
          </w:tcPr>
          <w:p>
            <w:pPr>
              <w:spacing w:after="0" w:line="240"/>
              <w:jc w:val="center"/>
            </w:pPr>
            <w:r>
              <w:rPr>
                <w:rFonts w:ascii="Arial" w:cs="Arial" w:eastAsia="Arial" w:hAnsi="Arial"/>
                <w:b/>
                <w:bCs/>
                <w:caps/>
                <w:color w:val="012169"/>
                <w:sz w:val="15"/>
                <w:szCs w:val="15"/>
              </w:rPr>
              <w:t xml:space="preserve">Conf.</w:t>
            </w:r>
          </w:p>
        </w:tc>
      </w:tr>
      <w:tr>
        <w:tc>
          <w:tcPr>
            <w:tcW w:type="dxa" w:w="2100"/>
            <w:tcBorders>
              <w:top w:val="single" w:color="D9D8D2" w:sz="3"/>
              <w:left w:val="none" w:color="FFFFFF" w:sz="0"/>
              <w:bottom w:val="single" w:color="D9D8D2" w:sz="3"/>
              <w:right w:val="none" w:color="FFFFFF" w:sz="0"/>
            </w:tcBorders>
            <w:tcMar>
              <w:top w:type="dxa" w:w="70"/>
              <w:left w:type="dxa" w:w="100"/>
              <w:bottom w:type="dxa" w:w="70"/>
              <w:right w:type="dxa" w:w="100"/>
            </w:tcMar>
            <w:vAlign w:val="top"/>
          </w:tcPr>
          <w:p>
            <w:pPr>
              <w:spacing w:after="0" w:line="250"/>
            </w:pPr>
            <w:r>
              <w:rPr>
                <w:rFonts w:ascii="Arial" w:cs="Arial" w:eastAsia="Arial" w:hAnsi="Arial"/>
                <w:b/>
                <w:bCs/>
                <w:color w:val="012169"/>
                <w:sz w:val="15"/>
                <w:szCs w:val="15"/>
              </w:rPr>
              <w:t xml:space="preserve">CPS 230 Operational Risk Management - critical operations limb (paras 24, 35, 36(c), 38, 44)</w:t>
            </w:r>
          </w:p>
        </w:tc>
        <w:tc>
          <w:tcPr>
            <w:tcW w:type="dxa" w:w="2700"/>
            <w:tcBorders>
              <w:top w:val="single" w:color="D9D8D2" w:sz="3"/>
              <w:left w:val="none" w:color="FFFFFF" w:sz="0"/>
              <w:bottom w:val="single" w:color="D9D8D2" w:sz="3"/>
              <w:right w:val="none" w:color="FFFFFF" w:sz="0"/>
            </w:tcBorders>
            <w:tcMar>
              <w:top w:type="dxa" w:w="70"/>
              <w:left w:type="dxa" w:w="100"/>
              <w:bottom w:type="dxa" w:w="70"/>
              <w:right w:type="dxa" w:w="100"/>
            </w:tcMar>
            <w:vAlign w:val="top"/>
          </w:tcPr>
          <w:p>
            <w:pPr>
              <w:spacing w:after="0" w:line="250"/>
            </w:pPr>
            <w:r>
              <w:rPr>
                <w:rFonts w:ascii="Arial" w:cs="Arial" w:eastAsia="Arial" w:hAnsi="Arial"/>
                <w:color w:val="52514E"/>
                <w:sz w:val="14"/>
                <w:szCs w:val="14"/>
              </w:rPr>
              <w:t xml:space="preserve">Para 24 (VERIFIED verbatim): 'An APRA-regulated entity must manage its full range of operational risks, including but not limited to legal risk, regulatory risk, compliance risk, conduct risk, technology risk, data risk and change management risk.' Para 36(c) requires an RSE licensee to classify 'investment management and fund administration' as critical operations unless it can justify otherwise. Para 35 defines critical operations as processes undertaken by the entity 'or its service provider'. Para 38 requires tolerance levels for disruption time, data loss and minimum service levels. Para 44 requires severe-but-plausible scenario testing including 'disruptions to services provided by material service providers'. CORRECTION: the draft attributed the para 24 obligation to para 23; para 23 is senior management's duty to inform the Board.</w:t>
            </w:r>
          </w:p>
        </w:tc>
        <w:tc>
          <w:tcPr>
            <w:tcW w:type="dxa" w:w="3106"/>
            <w:tcBorders>
              <w:top w:val="single" w:color="D9D8D2" w:sz="3"/>
              <w:left w:val="none" w:color="FFFFFF" w:sz="0"/>
              <w:bottom w:val="single" w:color="D9D8D2" w:sz="3"/>
              <w:right w:val="none" w:color="FFFFFF" w:sz="0"/>
            </w:tcBorders>
            <w:tcMar>
              <w:top w:type="dxa" w:w="70"/>
              <w:left w:type="dxa" w:w="100"/>
              <w:bottom w:type="dxa" w:w="70"/>
              <w:right w:type="dxa" w:w="100"/>
            </w:tcMar>
            <w:vAlign w:val="top"/>
          </w:tcPr>
          <w:p>
            <w:pPr>
              <w:spacing w:after="0" w:line="250"/>
            </w:pPr>
            <w:r>
              <w:rPr>
                <w:rFonts w:ascii="Arial" w:cs="Arial" w:eastAsia="Arial" w:hAnsi="Arial"/>
                <w:color w:val="52514E"/>
                <w:sz w:val="14"/>
                <w:szCs w:val="14"/>
              </w:rPr>
              <w:t xml:space="preserve">The Division 296 calculation, the attribution of earnings to members, the report to the Commissioner and any release-authority payment are all performed within fund administration, which is already a default critical operation. The externally set clocks (10 business days for defined benefit and certain other interests; 28 calendar days for other APRA-regulated funds) are hard deadlines set by a third party and cluster in a single annual window, so the operational risk is correlated across the industry rather than idiosyncratic. Note that para 35 expressly extends critical operations to processes performed by a service provider.</w:t>
            </w:r>
          </w:p>
        </w:tc>
        <w:tc>
          <w:tcPr>
            <w:tcW w:type="dxa" w:w="1300"/>
            <w:tcBorders>
              <w:top w:val="single" w:color="D9D8D2" w:sz="3"/>
              <w:left w:val="none" w:color="FFFFFF" w:sz="0"/>
              <w:bottom w:val="single" w:color="D9D8D2" w:sz="3"/>
              <w:right w:val="none" w:color="FFFFFF" w:sz="0"/>
            </w:tcBorders>
            <w:tcMar>
              <w:top w:type="dxa" w:w="70"/>
              <w:left w:type="dxa" w:w="100"/>
              <w:bottom w:type="dxa" w:w="70"/>
              <w:right w:type="dxa" w:w="100"/>
            </w:tcMar>
            <w:vAlign w:val="top"/>
          </w:tcPr>
          <w:p>
            <w:pPr>
              <w:spacing w:after="0" w:line="250"/>
            </w:pPr>
            <w:r>
              <w:rPr>
                <w:rFonts w:ascii="Arial" w:cs="Arial" w:eastAsia="Arial" w:hAnsi="Arial"/>
                <w:b/>
                <w:bCs/>
                <w:color w:val="00B398"/>
                <w:sz w:val="14"/>
                <w:szCs w:val="14"/>
              </w:rPr>
              <w:t xml:space="preserve">supervisory practice only</w:t>
            </w:r>
          </w:p>
        </w:tc>
        <w:tc>
          <w:tcPr>
            <w:tcW w:type="dxa" w:w="700"/>
            <w:tcBorders>
              <w:top w:val="single" w:color="D9D8D2" w:sz="3"/>
              <w:left w:val="none" w:color="FFFFFF" w:sz="0"/>
              <w:bottom w:val="single" w:color="D9D8D2" w:sz="3"/>
              <w:right w:val="none" w:color="FFFFFF" w:sz="0"/>
            </w:tcBorders>
            <w:tcMar>
              <w:top w:type="dxa" w:w="70"/>
              <w:left w:type="dxa" w:w="100"/>
              <w:bottom w:type="dxa" w:w="70"/>
              <w:right w:type="dxa" w:w="100"/>
            </w:tcMar>
            <w:vAlign w:val="top"/>
          </w:tcPr>
          <w:p>
            <w:pPr>
              <w:spacing w:after="0" w:line="250"/>
              <w:jc w:val="center"/>
            </w:pPr>
            <w:r>
              <w:rPr>
                <w:rFonts w:ascii="Arial" w:cs="Arial" w:eastAsia="Arial" w:hAnsi="Arial"/>
                <w:color w:val="898781"/>
                <w:sz w:val="14"/>
                <w:szCs w:val="14"/>
              </w:rPr>
              <w:t xml:space="preserve">high</w:t>
            </w:r>
          </w:p>
        </w:tc>
      </w:tr>
      <w:tr>
        <w:tc>
          <w:tcPr>
            <w:tcW w:type="dxa" w:w="2100"/>
            <w:tcBorders>
              <w:top w:val="single" w:color="D9D8D2" w:sz="3"/>
              <w:left w:val="none" w:color="FFFFFF" w:sz="0"/>
              <w:bottom w:val="single" w:color="D9D8D2" w:sz="3"/>
              <w:right w:val="none" w:color="FFFFFF" w:sz="0"/>
            </w:tcBorders>
            <w:shd w:fill="EFEEE9" w:color="auto" w:val="clear"/>
            <w:tcMar>
              <w:top w:type="dxa" w:w="70"/>
              <w:left w:type="dxa" w:w="100"/>
              <w:bottom w:type="dxa" w:w="70"/>
              <w:right w:type="dxa" w:w="100"/>
            </w:tcMar>
            <w:vAlign w:val="top"/>
          </w:tcPr>
          <w:p>
            <w:pPr>
              <w:spacing w:after="0" w:line="250"/>
            </w:pPr>
            <w:r>
              <w:rPr>
                <w:rFonts w:ascii="Arial" w:cs="Arial" w:eastAsia="Arial" w:hAnsi="Arial"/>
                <w:b/>
                <w:bCs/>
                <w:color w:val="012169"/>
                <w:sz w:val="15"/>
                <w:szCs w:val="15"/>
              </w:rPr>
              <w:t xml:space="preserve">CPS 230 Operational Risk Management - service provider limb (paras 47-60, esp. 49, 50, 51, 59)</w:t>
            </w:r>
          </w:p>
        </w:tc>
        <w:tc>
          <w:tcPr>
            <w:tcW w:type="dxa" w:w="2700"/>
            <w:tcBorders>
              <w:top w:val="single" w:color="D9D8D2" w:sz="3"/>
              <w:left w:val="none" w:color="FFFFFF" w:sz="0"/>
              <w:bottom w:val="single" w:color="D9D8D2" w:sz="3"/>
              <w:right w:val="none" w:color="FFFFFF" w:sz="0"/>
            </w:tcBorders>
            <w:shd w:fill="EFEEE9" w:color="auto" w:val="clear"/>
            <w:tcMar>
              <w:top w:type="dxa" w:w="70"/>
              <w:left w:type="dxa" w:w="100"/>
              <w:bottom w:type="dxa" w:w="70"/>
              <w:right w:type="dxa" w:w="100"/>
            </w:tcMar>
            <w:vAlign w:val="top"/>
          </w:tcPr>
          <w:p>
            <w:pPr>
              <w:spacing w:after="0" w:line="250"/>
            </w:pPr>
            <w:r>
              <w:rPr>
                <w:rFonts w:ascii="Arial" w:cs="Arial" w:eastAsia="Arial" w:hAnsi="Arial"/>
                <w:color w:val="52514E"/>
                <w:sz w:val="14"/>
                <w:szCs w:val="14"/>
              </w:rPr>
              <w:t xml:space="preserve">VERIFIED from the in-force July 2025 standard. Para 47 requires a comprehensive service provider management policy. Para 49 requires the entity to 'identify and maintain a register of its material service providers', defined as 'those on which the entity relies to undertake a critical operation or that expose it to material operational risk'. Para 50 requires that, at a minimum, for an RSE licensee, providers of 'fund administration, custodial services, investment management and arrangements with promoters and financial planners' be classified as material service providers unless it can justify otherwise. Para 51: 'An APRA-regulated entity must submit its register of material service providers to APRA on an annual basis.' Paras 53-55 cover due diligence and formal agreements including APRA access rights; para 59 requires notification to APRA within 20 business days of entering or materially changing an agreement for a service supporting a critical operation. CORRECTION: the limb begins at para 47, not para 48 as the review assumed.</w:t>
            </w:r>
          </w:p>
        </w:tc>
        <w:tc>
          <w:tcPr>
            <w:tcW w:type="dxa" w:w="3106"/>
            <w:tcBorders>
              <w:top w:val="single" w:color="D9D8D2" w:sz="3"/>
              <w:left w:val="none" w:color="FFFFFF" w:sz="0"/>
              <w:bottom w:val="single" w:color="D9D8D2" w:sz="3"/>
              <w:right w:val="none" w:color="FFFFFF" w:sz="0"/>
            </w:tcBorders>
            <w:shd w:fill="EFEEE9" w:color="auto" w:val="clear"/>
            <w:tcMar>
              <w:top w:type="dxa" w:w="70"/>
              <w:left w:type="dxa" w:w="100"/>
              <w:bottom w:type="dxa" w:w="70"/>
              <w:right w:type="dxa" w:w="100"/>
            </w:tcMar>
            <w:vAlign w:val="top"/>
          </w:tcPr>
          <w:p>
            <w:pPr>
              <w:spacing w:after="0" w:line="250"/>
            </w:pPr>
            <w:r>
              <w:rPr>
                <w:rFonts w:ascii="Arial" w:cs="Arial" w:eastAsia="Arial" w:hAnsi="Arial"/>
                <w:color w:val="52514E"/>
                <w:sz w:val="14"/>
                <w:szCs w:val="14"/>
              </w:rPr>
              <w:t xml:space="preserve">This row was absent from the draft register and is the most consequential omission. The Division 296 calculation, attribution, reporting and release-authority payment will not be built independently by every licensee: they will be delivered largely by a small number of shared administrators, with custodians supplying the underlying income and realised-gain data, and external tax agents preparing the fund income tax return from which the fund earnings figure derives. Every one of those service types is a mandatory material service provider under para 50. Three consequences follow. First, a methodology defect or a build delay at one provider is a common-mode event affecting every client fund simultaneously, in the same annual window. Second, accountability is non-delegable: where an administrator computes the attribution, the licensee still owns the judgement, so a shared build means multiple boards adopting one vendor's method. Third, shared methodology cuts both ways - it produces consistency between funds sharing a provider and a step-change between blocs of funds using different ones. APRA does not need new data to map this: it already receives the material service provider register annually under para 51.</w:t>
            </w:r>
          </w:p>
        </w:tc>
        <w:tc>
          <w:tcPr>
            <w:tcW w:type="dxa" w:w="1300"/>
            <w:tcBorders>
              <w:top w:val="single" w:color="D9D8D2" w:sz="3"/>
              <w:left w:val="none" w:color="FFFFFF" w:sz="0"/>
              <w:bottom w:val="single" w:color="D9D8D2" w:sz="3"/>
              <w:right w:val="none" w:color="FFFFFF" w:sz="0"/>
            </w:tcBorders>
            <w:shd w:fill="EFEEE9" w:color="auto" w:val="clear"/>
            <w:tcMar>
              <w:top w:type="dxa" w:w="70"/>
              <w:left w:type="dxa" w:w="100"/>
              <w:bottom w:type="dxa" w:w="70"/>
              <w:right w:type="dxa" w:w="100"/>
            </w:tcMar>
            <w:vAlign w:val="top"/>
          </w:tcPr>
          <w:p>
            <w:pPr>
              <w:spacing w:after="0" w:line="250"/>
            </w:pPr>
            <w:r>
              <w:rPr>
                <w:rFonts w:ascii="Arial" w:cs="Arial" w:eastAsia="Arial" w:hAnsi="Arial"/>
                <w:b/>
                <w:bCs/>
                <w:color w:val="00B398"/>
                <w:sz w:val="14"/>
                <w:szCs w:val="14"/>
              </w:rPr>
              <w:t xml:space="preserve">supervisory practice only</w:t>
            </w:r>
          </w:p>
        </w:tc>
        <w:tc>
          <w:tcPr>
            <w:tcW w:type="dxa" w:w="700"/>
            <w:tcBorders>
              <w:top w:val="single" w:color="D9D8D2" w:sz="3"/>
              <w:left w:val="none" w:color="FFFFFF" w:sz="0"/>
              <w:bottom w:val="single" w:color="D9D8D2" w:sz="3"/>
              <w:right w:val="none" w:color="FFFFFF" w:sz="0"/>
            </w:tcBorders>
            <w:shd w:fill="EFEEE9" w:color="auto" w:val="clear"/>
            <w:tcMar>
              <w:top w:type="dxa" w:w="70"/>
              <w:left w:type="dxa" w:w="100"/>
              <w:bottom w:type="dxa" w:w="70"/>
              <w:right w:type="dxa" w:w="100"/>
            </w:tcMar>
            <w:vAlign w:val="top"/>
          </w:tcPr>
          <w:p>
            <w:pPr>
              <w:spacing w:after="0" w:line="250"/>
              <w:jc w:val="center"/>
            </w:pPr>
            <w:r>
              <w:rPr>
                <w:rFonts w:ascii="Arial" w:cs="Arial" w:eastAsia="Arial" w:hAnsi="Arial"/>
                <w:color w:val="898781"/>
                <w:sz w:val="14"/>
                <w:szCs w:val="14"/>
              </w:rPr>
              <w:t xml:space="preserve">high</w:t>
            </w:r>
          </w:p>
        </w:tc>
      </w:tr>
      <w:tr>
        <w:tc>
          <w:tcPr>
            <w:tcW w:type="dxa" w:w="2100"/>
            <w:tcBorders>
              <w:top w:val="single" w:color="D9D8D2" w:sz="3"/>
              <w:left w:val="none" w:color="FFFFFF" w:sz="0"/>
              <w:bottom w:val="single" w:color="D9D8D2" w:sz="3"/>
              <w:right w:val="none" w:color="FFFFFF" w:sz="0"/>
            </w:tcBorders>
            <w:tcMar>
              <w:top w:type="dxa" w:w="70"/>
              <w:left w:type="dxa" w:w="100"/>
              <w:bottom w:type="dxa" w:w="70"/>
              <w:right w:type="dxa" w:w="100"/>
            </w:tcMar>
            <w:vAlign w:val="top"/>
          </w:tcPr>
          <w:p>
            <w:pPr>
              <w:spacing w:after="0" w:line="250"/>
            </w:pPr>
            <w:r>
              <w:rPr>
                <w:rFonts w:ascii="Arial" w:cs="Arial" w:eastAsia="Arial" w:hAnsi="Arial"/>
                <w:b/>
                <w:bCs/>
                <w:color w:val="012169"/>
                <w:sz w:val="15"/>
                <w:szCs w:val="15"/>
              </w:rPr>
              <w:t xml:space="preserve">SPS 530 Investment Governance - stress testing and liquidity (paras 30-31, 36(d), 36(e), 38)</w:t>
            </w:r>
          </w:p>
        </w:tc>
        <w:tc>
          <w:tcPr>
            <w:tcW w:type="dxa" w:w="2700"/>
            <w:tcBorders>
              <w:top w:val="single" w:color="D9D8D2" w:sz="3"/>
              <w:left w:val="none" w:color="FFFFFF" w:sz="0"/>
              <w:bottom w:val="single" w:color="D9D8D2" w:sz="3"/>
              <w:right w:val="none" w:color="FFFFFF" w:sz="0"/>
            </w:tcBorders>
            <w:tcMar>
              <w:top w:type="dxa" w:w="70"/>
              <w:left w:type="dxa" w:w="100"/>
              <w:bottom w:type="dxa" w:w="70"/>
              <w:right w:type="dxa" w:w="100"/>
            </w:tcMar>
            <w:vAlign w:val="top"/>
          </w:tcPr>
          <w:p>
            <w:pPr>
              <w:spacing w:after="0" w:line="250"/>
            </w:pPr>
            <w:r>
              <w:rPr>
                <w:rFonts w:ascii="Arial" w:cs="Arial" w:eastAsia="Arial" w:hAnsi="Arial"/>
                <w:color w:val="52514E"/>
                <w:sz w:val="14"/>
                <w:szCs w:val="14"/>
              </w:rPr>
              <w:t xml:space="preserve">VERIFIED. Para 30: 'An RSE licensee must have a comprehensive investment stress testing program that is approved by the Board and is integrated into an RSE licensee's investment governance framework.' Para 31 requires determination of appropriate adverse stress scenarios for the investment strategy of each option. Para 36 requires a Board-approved liquidity management plan for each RSE which, at 36(d), 'identifies the circumstances the RSE licensee considers to be a significantly adverse liquidity outcome that requires action (liquidity event)' and, at 36(e), 'outlines what action the RSE licensee will take when a liquidity event occurs'. Para 38 requires liquidity stress testing 'as part of the comprehensive investment stress testing program required in paragraph 31'. CORRECTION: the draft cited para 29 for the stress testing programme; para 29 concerns Board justification when amending an investment strategy. The standard's own cross-reference in para 38 points to para 31.</w:t>
            </w:r>
          </w:p>
        </w:tc>
        <w:tc>
          <w:tcPr>
            <w:tcW w:type="dxa" w:w="3106"/>
            <w:tcBorders>
              <w:top w:val="single" w:color="D9D8D2" w:sz="3"/>
              <w:left w:val="none" w:color="FFFFFF" w:sz="0"/>
              <w:bottom w:val="single" w:color="D9D8D2" w:sz="3"/>
              <w:right w:val="none" w:color="FFFFFF" w:sz="0"/>
            </w:tcBorders>
            <w:tcMar>
              <w:top w:type="dxa" w:w="70"/>
              <w:left w:type="dxa" w:w="100"/>
              <w:bottom w:type="dxa" w:w="70"/>
              <w:right w:type="dxa" w:w="100"/>
            </w:tcMar>
            <w:vAlign w:val="top"/>
          </w:tcPr>
          <w:p>
            <w:pPr>
              <w:spacing w:after="0" w:line="250"/>
            </w:pPr>
            <w:r>
              <w:rPr>
                <w:rFonts w:ascii="Arial" w:cs="Arial" w:eastAsia="Arial" w:hAnsi="Arial"/>
                <w:color w:val="52514E"/>
                <w:sz w:val="14"/>
                <w:szCs w:val="14"/>
              </w:rPr>
              <w:t xml:space="preserve">The transitional first-year measurement date of 30 June 2027 and, from the following year, recurring release-authority outflows are both capable of being a liquidity event within para 36(d). The hook is well matched and no amendment is needed. The supervisory question is narrower and cheaper than an instrument change: whether any licensee has in fact run the scenario. Aggregate outflow is very unlikely to be a system liquidity event; residual exposure is confined to specific illiquid investment options and to licensees with concentrated high-balance membership.</w:t>
            </w:r>
          </w:p>
        </w:tc>
        <w:tc>
          <w:tcPr>
            <w:tcW w:type="dxa" w:w="1300"/>
            <w:tcBorders>
              <w:top w:val="single" w:color="D9D8D2" w:sz="3"/>
              <w:left w:val="none" w:color="FFFFFF" w:sz="0"/>
              <w:bottom w:val="single" w:color="D9D8D2" w:sz="3"/>
              <w:right w:val="none" w:color="FFFFFF" w:sz="0"/>
            </w:tcBorders>
            <w:tcMar>
              <w:top w:type="dxa" w:w="70"/>
              <w:left w:type="dxa" w:w="100"/>
              <w:bottom w:type="dxa" w:w="70"/>
              <w:right w:type="dxa" w:w="100"/>
            </w:tcMar>
            <w:vAlign w:val="top"/>
          </w:tcPr>
          <w:p>
            <w:pPr>
              <w:spacing w:after="0" w:line="250"/>
            </w:pPr>
            <w:r>
              <w:rPr>
                <w:rFonts w:ascii="Arial" w:cs="Arial" w:eastAsia="Arial" w:hAnsi="Arial"/>
                <w:b/>
                <w:bCs/>
                <w:color w:val="898781"/>
                <w:sz w:val="14"/>
                <w:szCs w:val="14"/>
              </w:rPr>
              <w:t xml:space="preserve">no change</w:t>
            </w:r>
          </w:p>
        </w:tc>
        <w:tc>
          <w:tcPr>
            <w:tcW w:type="dxa" w:w="700"/>
            <w:tcBorders>
              <w:top w:val="single" w:color="D9D8D2" w:sz="3"/>
              <w:left w:val="none" w:color="FFFFFF" w:sz="0"/>
              <w:bottom w:val="single" w:color="D9D8D2" w:sz="3"/>
              <w:right w:val="none" w:color="FFFFFF" w:sz="0"/>
            </w:tcBorders>
            <w:tcMar>
              <w:top w:type="dxa" w:w="70"/>
              <w:left w:type="dxa" w:w="100"/>
              <w:bottom w:type="dxa" w:w="70"/>
              <w:right w:type="dxa" w:w="100"/>
            </w:tcMar>
            <w:vAlign w:val="top"/>
          </w:tcPr>
          <w:p>
            <w:pPr>
              <w:spacing w:after="0" w:line="250"/>
              <w:jc w:val="center"/>
            </w:pPr>
            <w:r>
              <w:rPr>
                <w:rFonts w:ascii="Arial" w:cs="Arial" w:eastAsia="Arial" w:hAnsi="Arial"/>
                <w:color w:val="898781"/>
                <w:sz w:val="14"/>
                <w:szCs w:val="14"/>
              </w:rPr>
              <w:t xml:space="preserve">high</w:t>
            </w:r>
          </w:p>
        </w:tc>
      </w:tr>
      <w:tr>
        <w:tc>
          <w:tcPr>
            <w:tcW w:type="dxa" w:w="2100"/>
            <w:tcBorders>
              <w:top w:val="single" w:color="D9D8D2" w:sz="3"/>
              <w:left w:val="none" w:color="FFFFFF" w:sz="0"/>
              <w:bottom w:val="single" w:color="D9D8D2" w:sz="3"/>
              <w:right w:val="none" w:color="FFFFFF" w:sz="0"/>
            </w:tcBorders>
            <w:shd w:fill="EFEEE9" w:color="auto" w:val="clear"/>
            <w:tcMar>
              <w:top w:type="dxa" w:w="70"/>
              <w:left w:type="dxa" w:w="100"/>
              <w:bottom w:type="dxa" w:w="70"/>
              <w:right w:type="dxa" w:w="100"/>
            </w:tcMar>
            <w:vAlign w:val="top"/>
          </w:tcPr>
          <w:p>
            <w:pPr>
              <w:spacing w:after="0" w:line="250"/>
            </w:pPr>
            <w:r>
              <w:rPr>
                <w:rFonts w:ascii="Arial" w:cs="Arial" w:eastAsia="Arial" w:hAnsi="Arial"/>
                <w:b/>
                <w:bCs/>
                <w:color w:val="012169"/>
                <w:sz w:val="15"/>
                <w:szCs w:val="15"/>
              </w:rPr>
              <w:t xml:space="preserve">SPG 530 Investment Governance - liquidity and policy-driven triggers (paras 79(a), 79(e), 92)</w:t>
            </w:r>
          </w:p>
        </w:tc>
        <w:tc>
          <w:tcPr>
            <w:tcW w:type="dxa" w:w="2700"/>
            <w:tcBorders>
              <w:top w:val="single" w:color="D9D8D2" w:sz="3"/>
              <w:left w:val="none" w:color="FFFFFF" w:sz="0"/>
              <w:bottom w:val="single" w:color="D9D8D2" w:sz="3"/>
              <w:right w:val="none" w:color="FFFFFF" w:sz="0"/>
            </w:tcBorders>
            <w:shd w:fill="EFEEE9" w:color="auto" w:val="clear"/>
            <w:tcMar>
              <w:top w:type="dxa" w:w="70"/>
              <w:left w:type="dxa" w:w="100"/>
              <w:bottom w:type="dxa" w:w="70"/>
              <w:right w:type="dxa" w:w="100"/>
            </w:tcMar>
            <w:vAlign w:val="top"/>
          </w:tcPr>
          <w:p>
            <w:pPr>
              <w:spacing w:after="0" w:line="250"/>
            </w:pPr>
            <w:r>
              <w:rPr>
                <w:rFonts w:ascii="Arial" w:cs="Arial" w:eastAsia="Arial" w:hAnsi="Arial"/>
                <w:color w:val="52514E"/>
                <w:sz w:val="14"/>
                <w:szCs w:val="14"/>
              </w:rPr>
              <w:t xml:space="preserve">VERIFIED verbatim. Para 79 lists liquidity stress factors a prudent RSE licensee would consider, including at 79(a) 'member generated events: changes in switching behaviour, redemptions and contributions' and at 79(e) 'policy driven events: a change in Government policy, for example, related to access to accrued member assets'. Para 92: APRA expects consideration of 'secondary risks associated with liquidity risk, including the impact of selling assets at stale prices, the impact on portfolio risk of an increasing proportion of illiquid assets and the cost of restoring the portfolio to the desired position.'</w:t>
            </w:r>
          </w:p>
        </w:tc>
        <w:tc>
          <w:tcPr>
            <w:tcW w:type="dxa" w:w="3106"/>
            <w:tcBorders>
              <w:top w:val="single" w:color="D9D8D2" w:sz="3"/>
              <w:left w:val="none" w:color="FFFFFF" w:sz="0"/>
              <w:bottom w:val="single" w:color="D9D8D2" w:sz="3"/>
              <w:right w:val="none" w:color="FFFFFF" w:sz="0"/>
            </w:tcBorders>
            <w:shd w:fill="EFEEE9" w:color="auto" w:val="clear"/>
            <w:tcMar>
              <w:top w:type="dxa" w:w="70"/>
              <w:left w:type="dxa" w:w="100"/>
              <w:bottom w:type="dxa" w:w="70"/>
              <w:right w:type="dxa" w:w="100"/>
            </w:tcMar>
            <w:vAlign w:val="top"/>
          </w:tcPr>
          <w:p>
            <w:pPr>
              <w:spacing w:after="0" w:line="250"/>
            </w:pPr>
            <w:r>
              <w:rPr>
                <w:rFonts w:ascii="Arial" w:cs="Arial" w:eastAsia="Arial" w:hAnsi="Arial"/>
                <w:color w:val="52514E"/>
                <w:sz w:val="14"/>
                <w:szCs w:val="14"/>
              </w:rPr>
              <w:t xml:space="preserve">Division 296 is close to the scenario the guidance already names. APRA can ask for the para 79(e) scenario today without any new instrument. The December 2024 thematic found wide reliance on a single illiquid-exposure trigger and limited monitoring of member outflow trends, which suggests the guidance exists but may not be being applied to this measure.</w:t>
            </w:r>
          </w:p>
        </w:tc>
        <w:tc>
          <w:tcPr>
            <w:tcW w:type="dxa" w:w="1300"/>
            <w:tcBorders>
              <w:top w:val="single" w:color="D9D8D2" w:sz="3"/>
              <w:left w:val="none" w:color="FFFFFF" w:sz="0"/>
              <w:bottom w:val="single" w:color="D9D8D2" w:sz="3"/>
              <w:right w:val="none" w:color="FFFFFF" w:sz="0"/>
            </w:tcBorders>
            <w:shd w:fill="EFEEE9" w:color="auto" w:val="clear"/>
            <w:tcMar>
              <w:top w:type="dxa" w:w="70"/>
              <w:left w:type="dxa" w:w="100"/>
              <w:bottom w:type="dxa" w:w="70"/>
              <w:right w:type="dxa" w:w="100"/>
            </w:tcMar>
            <w:vAlign w:val="top"/>
          </w:tcPr>
          <w:p>
            <w:pPr>
              <w:spacing w:after="0" w:line="250"/>
            </w:pPr>
            <w:r>
              <w:rPr>
                <w:rFonts w:ascii="Arial" w:cs="Arial" w:eastAsia="Arial" w:hAnsi="Arial"/>
                <w:b/>
                <w:bCs/>
                <w:color w:val="898781"/>
                <w:sz w:val="14"/>
                <w:szCs w:val="14"/>
              </w:rPr>
              <w:t xml:space="preserve">no change</w:t>
            </w:r>
          </w:p>
        </w:tc>
        <w:tc>
          <w:tcPr>
            <w:tcW w:type="dxa" w:w="700"/>
            <w:tcBorders>
              <w:top w:val="single" w:color="D9D8D2" w:sz="3"/>
              <w:left w:val="none" w:color="FFFFFF" w:sz="0"/>
              <w:bottom w:val="single" w:color="D9D8D2" w:sz="3"/>
              <w:right w:val="none" w:color="FFFFFF" w:sz="0"/>
            </w:tcBorders>
            <w:shd w:fill="EFEEE9" w:color="auto" w:val="clear"/>
            <w:tcMar>
              <w:top w:type="dxa" w:w="70"/>
              <w:left w:type="dxa" w:w="100"/>
              <w:bottom w:type="dxa" w:w="70"/>
              <w:right w:type="dxa" w:w="100"/>
            </w:tcMar>
            <w:vAlign w:val="top"/>
          </w:tcPr>
          <w:p>
            <w:pPr>
              <w:spacing w:after="0" w:line="250"/>
              <w:jc w:val="center"/>
            </w:pPr>
            <w:r>
              <w:rPr>
                <w:rFonts w:ascii="Arial" w:cs="Arial" w:eastAsia="Arial" w:hAnsi="Arial"/>
                <w:color w:val="898781"/>
                <w:sz w:val="14"/>
                <w:szCs w:val="14"/>
              </w:rPr>
              <w:t xml:space="preserve">high</w:t>
            </w:r>
          </w:p>
        </w:tc>
      </w:tr>
      <w:tr>
        <w:tc>
          <w:tcPr>
            <w:tcW w:type="dxa" w:w="2100"/>
            <w:tcBorders>
              <w:top w:val="single" w:color="D9D8D2" w:sz="3"/>
              <w:left w:val="none" w:color="FFFFFF" w:sz="0"/>
              <w:bottom w:val="single" w:color="D9D8D2" w:sz="3"/>
              <w:right w:val="none" w:color="FFFFFF" w:sz="0"/>
            </w:tcBorders>
            <w:tcMar>
              <w:top w:type="dxa" w:w="70"/>
              <w:left w:type="dxa" w:w="100"/>
              <w:bottom w:type="dxa" w:w="70"/>
              <w:right w:type="dxa" w:w="100"/>
            </w:tcMar>
            <w:vAlign w:val="top"/>
          </w:tcPr>
          <w:p>
            <w:pPr>
              <w:spacing w:after="0" w:line="250"/>
            </w:pPr>
            <w:r>
              <w:rPr>
                <w:rFonts w:ascii="Arial" w:cs="Arial" w:eastAsia="Arial" w:hAnsi="Arial"/>
                <w:b/>
                <w:bCs/>
                <w:color w:val="012169"/>
                <w:sz w:val="15"/>
                <w:szCs w:val="15"/>
              </w:rPr>
              <w:t xml:space="preserve">SPG 530 Investment Governance - member equity and valuation triggers (paras 9, 109, 110, 114)</w:t>
            </w:r>
          </w:p>
        </w:tc>
        <w:tc>
          <w:tcPr>
            <w:tcW w:type="dxa" w:w="2700"/>
            <w:tcBorders>
              <w:top w:val="single" w:color="D9D8D2" w:sz="3"/>
              <w:left w:val="none" w:color="FFFFFF" w:sz="0"/>
              <w:bottom w:val="single" w:color="D9D8D2" w:sz="3"/>
              <w:right w:val="none" w:color="FFFFFF" w:sz="0"/>
            </w:tcBorders>
            <w:tcMar>
              <w:top w:type="dxa" w:w="70"/>
              <w:left w:type="dxa" w:w="100"/>
              <w:bottom w:type="dxa" w:w="70"/>
              <w:right w:type="dxa" w:w="100"/>
            </w:tcMar>
            <w:vAlign w:val="top"/>
          </w:tcPr>
          <w:p>
            <w:pPr>
              <w:spacing w:after="0" w:line="250"/>
            </w:pPr>
            <w:r>
              <w:rPr>
                <w:rFonts w:ascii="Arial" w:cs="Arial" w:eastAsia="Arial" w:hAnsi="Arial"/>
                <w:color w:val="52514E"/>
                <w:sz w:val="14"/>
                <w:szCs w:val="14"/>
              </w:rPr>
              <w:t xml:space="preserve">VERIFIED verbatim. Para 9: 'APRA expects an RSE licensee's investment governance framework would appropriately consider member equity risk with a view to all beneficiaries being dealt with fairly', including 'ensuring beneficiaries transact at fair prices across all investment options'. Para 109: APRA expects valuations at least quarterly. Para 110: 'An RSE licensee would consider triggers that would warrant more frequent valuations including market volatility and the external operating environment, including changes in Government policy settings.' Para 114: the valuation policy 'would also set out protocols for when and how the interim valuations are reviewed for appropriateness and to determine whether any adjustments or reversals need to be made for unit pricing purposes.'</w:t>
            </w:r>
          </w:p>
        </w:tc>
        <w:tc>
          <w:tcPr>
            <w:tcW w:type="dxa" w:w="3106"/>
            <w:tcBorders>
              <w:top w:val="single" w:color="D9D8D2" w:sz="3"/>
              <w:left w:val="none" w:color="FFFFFF" w:sz="0"/>
              <w:bottom w:val="single" w:color="D9D8D2" w:sz="3"/>
              <w:right w:val="none" w:color="FFFFFF" w:sz="0"/>
            </w:tcBorders>
            <w:tcMar>
              <w:top w:type="dxa" w:w="70"/>
              <w:left w:type="dxa" w:w="100"/>
              <w:bottom w:type="dxa" w:w="70"/>
              <w:right w:type="dxa" w:w="100"/>
            </w:tcMar>
            <w:vAlign w:val="top"/>
          </w:tcPr>
          <w:p>
            <w:pPr>
              <w:spacing w:after="0" w:line="250"/>
            </w:pPr>
            <w:r>
              <w:rPr>
                <w:rFonts w:ascii="Arial" w:cs="Arial" w:eastAsia="Arial" w:hAnsi="Arial"/>
                <w:color w:val="52514E"/>
                <w:sz w:val="14"/>
                <w:szCs w:val="14"/>
              </w:rPr>
              <w:t xml:space="preserve">Attribution of fund earnings to individual members is a trustee-discretionary allocation that feeds a member's personal tax assessment. That is a member-equity matter under para 9 as much as a tax-compliance choice, and no current guidance says so. Division 296 also appears to be a 'changes in Government policy settings' trigger for the purposes of para 110, which APRA could confirm at low cost. This is the clearest candidate for a guidance update rather than a standard amendment.</w:t>
            </w:r>
          </w:p>
        </w:tc>
        <w:tc>
          <w:tcPr>
            <w:tcW w:type="dxa" w:w="1300"/>
            <w:tcBorders>
              <w:top w:val="single" w:color="D9D8D2" w:sz="3"/>
              <w:left w:val="none" w:color="FFFFFF" w:sz="0"/>
              <w:bottom w:val="single" w:color="D9D8D2" w:sz="3"/>
              <w:right w:val="none" w:color="FFFFFF" w:sz="0"/>
            </w:tcBorders>
            <w:tcMar>
              <w:top w:type="dxa" w:w="70"/>
              <w:left w:type="dxa" w:w="100"/>
              <w:bottom w:type="dxa" w:w="70"/>
              <w:right w:type="dxa" w:w="100"/>
            </w:tcMar>
            <w:vAlign w:val="top"/>
          </w:tcPr>
          <w:p>
            <w:pPr>
              <w:spacing w:after="0" w:line="250"/>
            </w:pPr>
            <w:r>
              <w:rPr>
                <w:rFonts w:ascii="Arial" w:cs="Arial" w:eastAsia="Arial" w:hAnsi="Arial"/>
                <w:b/>
                <w:bCs/>
                <w:color w:val="0072CE"/>
                <w:sz w:val="14"/>
                <w:szCs w:val="14"/>
              </w:rPr>
              <w:t xml:space="preserve">update guidance</w:t>
            </w:r>
          </w:p>
        </w:tc>
        <w:tc>
          <w:tcPr>
            <w:tcW w:type="dxa" w:w="700"/>
            <w:tcBorders>
              <w:top w:val="single" w:color="D9D8D2" w:sz="3"/>
              <w:left w:val="none" w:color="FFFFFF" w:sz="0"/>
              <w:bottom w:val="single" w:color="D9D8D2" w:sz="3"/>
              <w:right w:val="none" w:color="FFFFFF" w:sz="0"/>
            </w:tcBorders>
            <w:tcMar>
              <w:top w:type="dxa" w:w="70"/>
              <w:left w:type="dxa" w:w="100"/>
              <w:bottom w:type="dxa" w:w="70"/>
              <w:right w:type="dxa" w:w="100"/>
            </w:tcMar>
            <w:vAlign w:val="top"/>
          </w:tcPr>
          <w:p>
            <w:pPr>
              <w:spacing w:after="0" w:line="250"/>
              <w:jc w:val="center"/>
            </w:pPr>
            <w:r>
              <w:rPr>
                <w:rFonts w:ascii="Arial" w:cs="Arial" w:eastAsia="Arial" w:hAnsi="Arial"/>
                <w:color w:val="898781"/>
                <w:sz w:val="14"/>
                <w:szCs w:val="14"/>
              </w:rPr>
              <w:t xml:space="preserve">medium</w:t>
            </w:r>
          </w:p>
        </w:tc>
      </w:tr>
      <w:tr>
        <w:tc>
          <w:tcPr>
            <w:tcW w:type="dxa" w:w="2100"/>
            <w:tcBorders>
              <w:top w:val="single" w:color="D9D8D2" w:sz="3"/>
              <w:left w:val="none" w:color="FFFFFF" w:sz="0"/>
              <w:bottom w:val="single" w:color="D9D8D2" w:sz="3"/>
              <w:right w:val="none" w:color="FFFFFF" w:sz="0"/>
            </w:tcBorders>
            <w:shd w:fill="EFEEE9" w:color="auto" w:val="clear"/>
            <w:tcMar>
              <w:top w:type="dxa" w:w="70"/>
              <w:left w:type="dxa" w:w="100"/>
              <w:bottom w:type="dxa" w:w="70"/>
              <w:right w:type="dxa" w:w="100"/>
            </w:tcMar>
            <w:vAlign w:val="top"/>
          </w:tcPr>
          <w:p>
            <w:pPr>
              <w:spacing w:after="0" w:line="250"/>
            </w:pPr>
            <w:r>
              <w:rPr>
                <w:rFonts w:ascii="Arial" w:cs="Arial" w:eastAsia="Arial" w:hAnsi="Arial"/>
                <w:b/>
                <w:bCs/>
                <w:color w:val="012169"/>
                <w:sz w:val="15"/>
                <w:szCs w:val="15"/>
              </w:rPr>
              <w:t xml:space="preserve">SPS 530 Investment Governance - valuation governance framework (paras 39, 40, 41)</w:t>
            </w:r>
          </w:p>
        </w:tc>
        <w:tc>
          <w:tcPr>
            <w:tcW w:type="dxa" w:w="2700"/>
            <w:tcBorders>
              <w:top w:val="single" w:color="D9D8D2" w:sz="3"/>
              <w:left w:val="none" w:color="FFFFFF" w:sz="0"/>
              <w:bottom w:val="single" w:color="D9D8D2" w:sz="3"/>
              <w:right w:val="none" w:color="FFFFFF" w:sz="0"/>
            </w:tcBorders>
            <w:shd w:fill="EFEEE9" w:color="auto" w:val="clear"/>
            <w:tcMar>
              <w:top w:type="dxa" w:w="70"/>
              <w:left w:type="dxa" w:w="100"/>
              <w:bottom w:type="dxa" w:w="70"/>
              <w:right w:type="dxa" w:w="100"/>
            </w:tcMar>
            <w:vAlign w:val="top"/>
          </w:tcPr>
          <w:p>
            <w:pPr>
              <w:spacing w:after="0" w:line="250"/>
            </w:pPr>
            <w:r>
              <w:rPr>
                <w:rFonts w:ascii="Arial" w:cs="Arial" w:eastAsia="Arial" w:hAnsi="Arial"/>
                <w:color w:val="52514E"/>
                <w:sz w:val="14"/>
                <w:szCs w:val="14"/>
              </w:rPr>
              <w:t xml:space="preserve">VERIFIED. Para 39 requires an adequate valuation governance framework. Para 40 requires a Board-approved valuation policy covering, among other things, roles and responsibilities (40(a)), methodology by asset class (40(c)), circumstances for independent external valuations (40(d)), frequency having regard to 'member equity considerations' (40(e)), the circumstances in which interim valuations are made (40(f)) and 'the triggers that would require an interim valuation of investments outside of the frequency determined under paragraph 40(e)' (40(g)). Para 41 requires periodic Board review of valuation metrics.</w:t>
            </w:r>
          </w:p>
        </w:tc>
        <w:tc>
          <w:tcPr>
            <w:tcW w:type="dxa" w:w="3106"/>
            <w:tcBorders>
              <w:top w:val="single" w:color="D9D8D2" w:sz="3"/>
              <w:left w:val="none" w:color="FFFFFF" w:sz="0"/>
              <w:bottom w:val="single" w:color="D9D8D2" w:sz="3"/>
              <w:right w:val="none" w:color="FFFFFF" w:sz="0"/>
            </w:tcBorders>
            <w:shd w:fill="EFEEE9" w:color="auto" w:val="clear"/>
            <w:tcMar>
              <w:top w:type="dxa" w:w="70"/>
              <w:left w:type="dxa" w:w="100"/>
              <w:bottom w:type="dxa" w:w="70"/>
              <w:right w:type="dxa" w:w="100"/>
            </w:tcMar>
            <w:vAlign w:val="top"/>
          </w:tcPr>
          <w:p>
            <w:pPr>
              <w:spacing w:after="0" w:line="250"/>
            </w:pPr>
            <w:r>
              <w:rPr>
                <w:rFonts w:ascii="Arial" w:cs="Arial" w:eastAsia="Arial" w:hAnsi="Arial"/>
                <w:color w:val="52514E"/>
                <w:sz w:val="14"/>
                <w:szCs w:val="14"/>
              </w:rPr>
              <w:t xml:space="preserve">Although tax on unrealised gains was removed from the final design, a member's balance at 30 June still determines both whether they are above the threshold and the proportion of earnings that is taxed. For members in unitised options that balance derives from the unit price, which derives from unlisted asset valuations. Valuation therefore remains relevant to an individual's tax outcome. APRA's December 2024 findings on conflicted valuation committee membership and assets not revalued for multiple quarters now carry a personal tax consequence for a small identifiable cohort, not only a unit-pricing consequence. Note the more likely complaint direction is upward revaluation lifting members over the threshold, which happens innocently, rather than downward suppression, which would require alleging misconduct and would harm every other member's exit price.</w:t>
            </w:r>
          </w:p>
        </w:tc>
        <w:tc>
          <w:tcPr>
            <w:tcW w:type="dxa" w:w="1300"/>
            <w:tcBorders>
              <w:top w:val="single" w:color="D9D8D2" w:sz="3"/>
              <w:left w:val="none" w:color="FFFFFF" w:sz="0"/>
              <w:bottom w:val="single" w:color="D9D8D2" w:sz="3"/>
              <w:right w:val="none" w:color="FFFFFF" w:sz="0"/>
            </w:tcBorders>
            <w:shd w:fill="EFEEE9" w:color="auto" w:val="clear"/>
            <w:tcMar>
              <w:top w:type="dxa" w:w="70"/>
              <w:left w:type="dxa" w:w="100"/>
              <w:bottom w:type="dxa" w:w="70"/>
              <w:right w:type="dxa" w:w="100"/>
            </w:tcMar>
            <w:vAlign w:val="top"/>
          </w:tcPr>
          <w:p>
            <w:pPr>
              <w:spacing w:after="0" w:line="250"/>
            </w:pPr>
            <w:r>
              <w:rPr>
                <w:rFonts w:ascii="Arial" w:cs="Arial" w:eastAsia="Arial" w:hAnsi="Arial"/>
                <w:b/>
                <w:bCs/>
                <w:color w:val="898781"/>
                <w:sz w:val="14"/>
                <w:szCs w:val="14"/>
              </w:rPr>
              <w:t xml:space="preserve">no change</w:t>
            </w:r>
          </w:p>
        </w:tc>
        <w:tc>
          <w:tcPr>
            <w:tcW w:type="dxa" w:w="700"/>
            <w:tcBorders>
              <w:top w:val="single" w:color="D9D8D2" w:sz="3"/>
              <w:left w:val="none" w:color="FFFFFF" w:sz="0"/>
              <w:bottom w:val="single" w:color="D9D8D2" w:sz="3"/>
              <w:right w:val="none" w:color="FFFFFF" w:sz="0"/>
            </w:tcBorders>
            <w:shd w:fill="EFEEE9" w:color="auto" w:val="clear"/>
            <w:tcMar>
              <w:top w:type="dxa" w:w="70"/>
              <w:left w:type="dxa" w:w="100"/>
              <w:bottom w:type="dxa" w:w="70"/>
              <w:right w:type="dxa" w:w="100"/>
            </w:tcMar>
            <w:vAlign w:val="top"/>
          </w:tcPr>
          <w:p>
            <w:pPr>
              <w:spacing w:after="0" w:line="250"/>
              <w:jc w:val="center"/>
            </w:pPr>
            <w:r>
              <w:rPr>
                <w:rFonts w:ascii="Arial" w:cs="Arial" w:eastAsia="Arial" w:hAnsi="Arial"/>
                <w:color w:val="898781"/>
                <w:sz w:val="14"/>
                <w:szCs w:val="14"/>
              </w:rPr>
              <w:t xml:space="preserve">high</w:t>
            </w:r>
          </w:p>
        </w:tc>
      </w:tr>
      <w:tr>
        <w:tc>
          <w:tcPr>
            <w:tcW w:type="dxa" w:w="2100"/>
            <w:tcBorders>
              <w:top w:val="single" w:color="D9D8D2" w:sz="3"/>
              <w:left w:val="none" w:color="FFFFFF" w:sz="0"/>
              <w:bottom w:val="single" w:color="D9D8D2" w:sz="3"/>
              <w:right w:val="none" w:color="FFFFFF" w:sz="0"/>
            </w:tcBorders>
            <w:tcMar>
              <w:top w:type="dxa" w:w="70"/>
              <w:left w:type="dxa" w:w="100"/>
              <w:bottom w:type="dxa" w:w="70"/>
              <w:right w:type="dxa" w:w="100"/>
            </w:tcMar>
            <w:vAlign w:val="top"/>
          </w:tcPr>
          <w:p>
            <w:pPr>
              <w:spacing w:after="0" w:line="250"/>
            </w:pPr>
            <w:r>
              <w:rPr>
                <w:rFonts w:ascii="Arial" w:cs="Arial" w:eastAsia="Arial" w:hAnsi="Arial"/>
                <w:b/>
                <w:bCs/>
                <w:color w:val="012169"/>
                <w:sz w:val="15"/>
                <w:szCs w:val="15"/>
              </w:rPr>
              <w:t xml:space="preserve">SPS 515 Strategic Planning and Member Outcomes (paragraph numbers not independently verified)</w:t>
            </w:r>
          </w:p>
        </w:tc>
        <w:tc>
          <w:tcPr>
            <w:tcW w:type="dxa" w:w="2700"/>
            <w:tcBorders>
              <w:top w:val="single" w:color="D9D8D2" w:sz="3"/>
              <w:left w:val="none" w:color="FFFFFF" w:sz="0"/>
              <w:bottom w:val="single" w:color="D9D8D2" w:sz="3"/>
              <w:right w:val="none" w:color="FFFFFF" w:sz="0"/>
            </w:tcBorders>
            <w:tcMar>
              <w:top w:type="dxa" w:w="70"/>
              <w:left w:type="dxa" w:w="100"/>
              <w:bottom w:type="dxa" w:w="70"/>
              <w:right w:type="dxa" w:w="100"/>
            </w:tcMar>
            <w:vAlign w:val="top"/>
          </w:tcPr>
          <w:p>
            <w:pPr>
              <w:spacing w:after="0" w:line="250"/>
            </w:pPr>
            <w:r>
              <w:rPr>
                <w:rFonts w:ascii="Arial" w:cs="Arial" w:eastAsia="Arial" w:hAnsi="Arial"/>
                <w:color w:val="52514E"/>
                <w:sz w:val="14"/>
                <w:szCs w:val="14"/>
              </w:rPr>
              <w:t xml:space="preserve">Requires a rolling business plan with financial projections across scenarios, prudent and transparent fee-setting, demonstrable purpose and funding source for expenditure, an annual business performance review assessing outcomes for member cohorts, and preparation for transfers in and out. Paragraph numbers cited in the draft register were not verified against the registered instrument in this pass and are omitted deliberately - two of the paragraph numbers that were checked elsewhere in the draft proved to be off by one.</w:t>
            </w:r>
          </w:p>
        </w:tc>
        <w:tc>
          <w:tcPr>
            <w:tcW w:type="dxa" w:w="3106"/>
            <w:tcBorders>
              <w:top w:val="single" w:color="D9D8D2" w:sz="3"/>
              <w:left w:val="none" w:color="FFFFFF" w:sz="0"/>
              <w:bottom w:val="single" w:color="D9D8D2" w:sz="3"/>
              <w:right w:val="none" w:color="FFFFFF" w:sz="0"/>
            </w:tcBorders>
            <w:tcMar>
              <w:top w:type="dxa" w:w="70"/>
              <w:left w:type="dxa" w:w="100"/>
              <w:bottom w:type="dxa" w:w="70"/>
              <w:right w:type="dxa" w:w="100"/>
            </w:tcMar>
            <w:vAlign w:val="top"/>
          </w:tcPr>
          <w:p>
            <w:pPr>
              <w:spacing w:after="0" w:line="250"/>
            </w:pPr>
            <w:r>
              <w:rPr>
                <w:rFonts w:ascii="Arial" w:cs="Arial" w:eastAsia="Arial" w:hAnsi="Arial"/>
                <w:color w:val="52514E"/>
                <w:sz w:val="14"/>
                <w:szCs w:val="14"/>
              </w:rPr>
              <w:t xml:space="preserve">Three distinct stresses. The business plan scenario set can accommodate Division 296 outflow without amendment. Build and run costs benefit well under one per cent of members but may be recovered from all of them through flat fees, which is a governed expenditure and fee-setting decision the board should be able to evidence. And a successor fund transfer spanning the 30 June 2027 measurement date has no settled protocol for transferring member-level Division 296 data, which places APRA's support for consolidation in tension with member-level tax accuracy. All are supervisable under the standard as drafted.</w:t>
            </w:r>
          </w:p>
        </w:tc>
        <w:tc>
          <w:tcPr>
            <w:tcW w:type="dxa" w:w="1300"/>
            <w:tcBorders>
              <w:top w:val="single" w:color="D9D8D2" w:sz="3"/>
              <w:left w:val="none" w:color="FFFFFF" w:sz="0"/>
              <w:bottom w:val="single" w:color="D9D8D2" w:sz="3"/>
              <w:right w:val="none" w:color="FFFFFF" w:sz="0"/>
            </w:tcBorders>
            <w:tcMar>
              <w:top w:type="dxa" w:w="70"/>
              <w:left w:type="dxa" w:w="100"/>
              <w:bottom w:type="dxa" w:w="70"/>
              <w:right w:type="dxa" w:w="100"/>
            </w:tcMar>
            <w:vAlign w:val="top"/>
          </w:tcPr>
          <w:p>
            <w:pPr>
              <w:spacing w:after="0" w:line="250"/>
            </w:pPr>
            <w:r>
              <w:rPr>
                <w:rFonts w:ascii="Arial" w:cs="Arial" w:eastAsia="Arial" w:hAnsi="Arial"/>
                <w:b/>
                <w:bCs/>
                <w:color w:val="898781"/>
                <w:sz w:val="14"/>
                <w:szCs w:val="14"/>
              </w:rPr>
              <w:t xml:space="preserve">no change</w:t>
            </w:r>
          </w:p>
        </w:tc>
        <w:tc>
          <w:tcPr>
            <w:tcW w:type="dxa" w:w="700"/>
            <w:tcBorders>
              <w:top w:val="single" w:color="D9D8D2" w:sz="3"/>
              <w:left w:val="none" w:color="FFFFFF" w:sz="0"/>
              <w:bottom w:val="single" w:color="D9D8D2" w:sz="3"/>
              <w:right w:val="none" w:color="FFFFFF" w:sz="0"/>
            </w:tcBorders>
            <w:tcMar>
              <w:top w:type="dxa" w:w="70"/>
              <w:left w:type="dxa" w:w="100"/>
              <w:bottom w:type="dxa" w:w="70"/>
              <w:right w:type="dxa" w:w="100"/>
            </w:tcMar>
            <w:vAlign w:val="top"/>
          </w:tcPr>
          <w:p>
            <w:pPr>
              <w:spacing w:after="0" w:line="250"/>
              <w:jc w:val="center"/>
            </w:pPr>
            <w:r>
              <w:rPr>
                <w:rFonts w:ascii="Arial" w:cs="Arial" w:eastAsia="Arial" w:hAnsi="Arial"/>
                <w:color w:val="898781"/>
                <w:sz w:val="14"/>
                <w:szCs w:val="14"/>
              </w:rPr>
              <w:t xml:space="preserve">medium</w:t>
            </w:r>
          </w:p>
        </w:tc>
      </w:tr>
      <w:tr>
        <w:tc>
          <w:tcPr>
            <w:tcW w:type="dxa" w:w="2100"/>
            <w:tcBorders>
              <w:top w:val="single" w:color="D9D8D2" w:sz="3"/>
              <w:left w:val="none" w:color="FFFFFF" w:sz="0"/>
              <w:bottom w:val="single" w:color="D9D8D2" w:sz="3"/>
              <w:right w:val="none" w:color="FFFFFF" w:sz="0"/>
            </w:tcBorders>
            <w:shd w:fill="EFEEE9" w:color="auto" w:val="clear"/>
            <w:tcMar>
              <w:top w:type="dxa" w:w="70"/>
              <w:left w:type="dxa" w:w="100"/>
              <w:bottom w:type="dxa" w:w="70"/>
              <w:right w:type="dxa" w:w="100"/>
            </w:tcMar>
            <w:vAlign w:val="top"/>
          </w:tcPr>
          <w:p>
            <w:pPr>
              <w:spacing w:after="0" w:line="250"/>
            </w:pPr>
            <w:r>
              <w:rPr>
                <w:rFonts w:ascii="Arial" w:cs="Arial" w:eastAsia="Arial" w:hAnsi="Arial"/>
                <w:b/>
                <w:bCs/>
                <w:color w:val="012169"/>
                <w:sz w:val="15"/>
                <w:szCs w:val="15"/>
              </w:rPr>
              <w:t xml:space="preserve">SPG 516 Business Performance Review</w:t>
            </w:r>
          </w:p>
        </w:tc>
        <w:tc>
          <w:tcPr>
            <w:tcW w:type="dxa" w:w="2700"/>
            <w:tcBorders>
              <w:top w:val="single" w:color="D9D8D2" w:sz="3"/>
              <w:left w:val="none" w:color="FFFFFF" w:sz="0"/>
              <w:bottom w:val="single" w:color="D9D8D2" w:sz="3"/>
              <w:right w:val="none" w:color="FFFFFF" w:sz="0"/>
            </w:tcBorders>
            <w:shd w:fill="EFEEE9" w:color="auto" w:val="clear"/>
            <w:tcMar>
              <w:top w:type="dxa" w:w="70"/>
              <w:left w:type="dxa" w:w="100"/>
              <w:bottom w:type="dxa" w:w="70"/>
              <w:right w:type="dxa" w:w="100"/>
            </w:tcMar>
            <w:vAlign w:val="top"/>
          </w:tcPr>
          <w:p>
            <w:pPr>
              <w:spacing w:after="0" w:line="250"/>
            </w:pPr>
            <w:r>
              <w:rPr>
                <w:rFonts w:ascii="Arial" w:cs="Arial" w:eastAsia="Arial" w:hAnsi="Arial"/>
                <w:color w:val="52514E"/>
                <w:sz w:val="14"/>
                <w:szCs w:val="14"/>
              </w:rPr>
              <w:t xml:space="preserve">An RSE licensee has discretion to establish cohorts for the annual business performance review; APRA expects at least product-level cohorts. The guidance contemplates that 'separate cohorts may also be established using membership characteristics that cut across superannuation products, for example cohorts based on balance size'.</w:t>
            </w:r>
          </w:p>
        </w:tc>
        <w:tc>
          <w:tcPr>
            <w:tcW w:type="dxa" w:w="3106"/>
            <w:tcBorders>
              <w:top w:val="single" w:color="D9D8D2" w:sz="3"/>
              <w:left w:val="none" w:color="FFFFFF" w:sz="0"/>
              <w:bottom w:val="single" w:color="D9D8D2" w:sz="3"/>
              <w:right w:val="none" w:color="FFFFFF" w:sz="0"/>
            </w:tcBorders>
            <w:shd w:fill="EFEEE9" w:color="auto" w:val="clear"/>
            <w:tcMar>
              <w:top w:type="dxa" w:w="70"/>
              <w:left w:type="dxa" w:w="100"/>
              <w:bottom w:type="dxa" w:w="70"/>
              <w:right w:type="dxa" w:w="100"/>
            </w:tcMar>
            <w:vAlign w:val="top"/>
          </w:tcPr>
          <w:p>
            <w:pPr>
              <w:spacing w:after="0" w:line="250"/>
            </w:pPr>
            <w:r>
              <w:rPr>
                <w:rFonts w:ascii="Arial" w:cs="Arial" w:eastAsia="Arial" w:hAnsi="Arial"/>
                <w:color w:val="52514E"/>
                <w:sz w:val="14"/>
                <w:szCs w:val="14"/>
              </w:rPr>
              <w:t xml:space="preserve">High-balance members are already an assessable cohort under the existing guidance, but nothing names them. Naming them as an expected cohort would require trustees to assess whether outcomes for that cohort remain appropriate, and would surface any indifference to their departure - which is the mechanism by which scale, and therefore cost per remaining member, is eroded. This is one of the two strongest instrument-level options in the pack and is a low-cost guidance change rather than a standard amendment.</w:t>
            </w:r>
          </w:p>
        </w:tc>
        <w:tc>
          <w:tcPr>
            <w:tcW w:type="dxa" w:w="1300"/>
            <w:tcBorders>
              <w:top w:val="single" w:color="D9D8D2" w:sz="3"/>
              <w:left w:val="none" w:color="FFFFFF" w:sz="0"/>
              <w:bottom w:val="single" w:color="D9D8D2" w:sz="3"/>
              <w:right w:val="none" w:color="FFFFFF" w:sz="0"/>
            </w:tcBorders>
            <w:shd w:fill="EFEEE9" w:color="auto" w:val="clear"/>
            <w:tcMar>
              <w:top w:type="dxa" w:w="70"/>
              <w:left w:type="dxa" w:w="100"/>
              <w:bottom w:type="dxa" w:w="70"/>
              <w:right w:type="dxa" w:w="100"/>
            </w:tcMar>
            <w:vAlign w:val="top"/>
          </w:tcPr>
          <w:p>
            <w:pPr>
              <w:spacing w:after="0" w:line="250"/>
            </w:pPr>
            <w:r>
              <w:rPr>
                <w:rFonts w:ascii="Arial" w:cs="Arial" w:eastAsia="Arial" w:hAnsi="Arial"/>
                <w:b/>
                <w:bCs/>
                <w:color w:val="0072CE"/>
                <w:sz w:val="14"/>
                <w:szCs w:val="14"/>
              </w:rPr>
              <w:t xml:space="preserve">update guidance</w:t>
            </w:r>
          </w:p>
        </w:tc>
        <w:tc>
          <w:tcPr>
            <w:tcW w:type="dxa" w:w="700"/>
            <w:tcBorders>
              <w:top w:val="single" w:color="D9D8D2" w:sz="3"/>
              <w:left w:val="none" w:color="FFFFFF" w:sz="0"/>
              <w:bottom w:val="single" w:color="D9D8D2" w:sz="3"/>
              <w:right w:val="none" w:color="FFFFFF" w:sz="0"/>
            </w:tcBorders>
            <w:shd w:fill="EFEEE9" w:color="auto" w:val="clear"/>
            <w:tcMar>
              <w:top w:type="dxa" w:w="70"/>
              <w:left w:type="dxa" w:w="100"/>
              <w:bottom w:type="dxa" w:w="70"/>
              <w:right w:type="dxa" w:w="100"/>
            </w:tcMar>
            <w:vAlign w:val="top"/>
          </w:tcPr>
          <w:p>
            <w:pPr>
              <w:spacing w:after="0" w:line="250"/>
              <w:jc w:val="center"/>
            </w:pPr>
            <w:r>
              <w:rPr>
                <w:rFonts w:ascii="Arial" w:cs="Arial" w:eastAsia="Arial" w:hAnsi="Arial"/>
                <w:color w:val="898781"/>
                <w:sz w:val="14"/>
                <w:szCs w:val="14"/>
              </w:rPr>
              <w:t xml:space="preserve">medium</w:t>
            </w:r>
          </w:p>
        </w:tc>
      </w:tr>
      <w:tr>
        <w:tc>
          <w:tcPr>
            <w:tcW w:type="dxa" w:w="2100"/>
            <w:tcBorders>
              <w:top w:val="single" w:color="D9D8D2" w:sz="3"/>
              <w:left w:val="none" w:color="FFFFFF" w:sz="0"/>
              <w:bottom w:val="single" w:color="D9D8D2" w:sz="3"/>
              <w:right w:val="none" w:color="FFFFFF" w:sz="0"/>
            </w:tcBorders>
            <w:tcMar>
              <w:top w:type="dxa" w:w="70"/>
              <w:left w:type="dxa" w:w="100"/>
              <w:bottom w:type="dxa" w:w="70"/>
              <w:right w:type="dxa" w:w="100"/>
            </w:tcMar>
            <w:vAlign w:val="top"/>
          </w:tcPr>
          <w:p>
            <w:pPr>
              <w:spacing w:after="0" w:line="250"/>
            </w:pPr>
            <w:r>
              <w:rPr>
                <w:rFonts w:ascii="Arial" w:cs="Arial" w:eastAsia="Arial" w:hAnsi="Arial"/>
                <w:b/>
                <w:bCs/>
                <w:color w:val="012169"/>
                <w:sz w:val="15"/>
                <w:szCs w:val="15"/>
              </w:rPr>
              <w:t xml:space="preserve">SPS 220 Risk Management (paragraph numbers not independently verified)</w:t>
            </w:r>
          </w:p>
        </w:tc>
        <w:tc>
          <w:tcPr>
            <w:tcW w:type="dxa" w:w="2700"/>
            <w:tcBorders>
              <w:top w:val="single" w:color="D9D8D2" w:sz="3"/>
              <w:left w:val="none" w:color="FFFFFF" w:sz="0"/>
              <w:bottom w:val="single" w:color="D9D8D2" w:sz="3"/>
              <w:right w:val="none" w:color="FFFFFF" w:sz="0"/>
            </w:tcBorders>
            <w:tcMar>
              <w:top w:type="dxa" w:w="70"/>
              <w:left w:type="dxa" w:w="100"/>
              <w:bottom w:type="dxa" w:w="70"/>
              <w:right w:type="dxa" w:w="100"/>
            </w:tcMar>
            <w:vAlign w:val="top"/>
          </w:tcPr>
          <w:p>
            <w:pPr>
              <w:spacing w:after="0" w:line="250"/>
            </w:pPr>
            <w:r>
              <w:rPr>
                <w:rFonts w:ascii="Arial" w:cs="Arial" w:eastAsia="Arial" w:hAnsi="Arial"/>
                <w:color w:val="52514E"/>
                <w:sz w:val="14"/>
                <w:szCs w:val="14"/>
              </w:rPr>
              <w:t xml:space="preserve">The Board is ultimately responsible for the risk management framework; the framework must cover all material risks; a Board-approved risk appetite statement must set tolerances for each material risk category; and an annual risk management declaration is signed by two directors.</w:t>
            </w:r>
          </w:p>
        </w:tc>
        <w:tc>
          <w:tcPr>
            <w:tcW w:type="dxa" w:w="3106"/>
            <w:tcBorders>
              <w:top w:val="single" w:color="D9D8D2" w:sz="3"/>
              <w:left w:val="none" w:color="FFFFFF" w:sz="0"/>
              <w:bottom w:val="single" w:color="D9D8D2" w:sz="3"/>
              <w:right w:val="none" w:color="FFFFFF" w:sz="0"/>
            </w:tcBorders>
            <w:tcMar>
              <w:top w:type="dxa" w:w="70"/>
              <w:left w:type="dxa" w:w="100"/>
              <w:bottom w:type="dxa" w:w="70"/>
              <w:right w:type="dxa" w:w="100"/>
            </w:tcMar>
            <w:vAlign w:val="top"/>
          </w:tcPr>
          <w:p>
            <w:pPr>
              <w:spacing w:after="0" w:line="250"/>
            </w:pPr>
            <w:r>
              <w:rPr>
                <w:rFonts w:ascii="Arial" w:cs="Arial" w:eastAsia="Arial" w:hAnsi="Arial"/>
                <w:color w:val="52514E"/>
                <w:sz w:val="14"/>
                <w:szCs w:val="14"/>
              </w:rPr>
              <w:t xml:space="preserve">Division 296 implementation is simultaneously a regulatory, compliance, technology, data and change management risk within the meaning of CPS 230 para 24 (corrected from the draft's para 23), so it should be reflected in the risk appetite statement and stand behind the annual declaration. This is a signed, dated, director-level artefact APRA already receives, so it is an efficient place to test whether the risk has been genuinely assessed. Any supervisory expectation should be proportionate to the licensee's in-scope member population: a licensee with a handful of affected members that has not separately addressed Division 296 may have made a reasonable judgement rather than a governance failure.</w:t>
            </w:r>
          </w:p>
        </w:tc>
        <w:tc>
          <w:tcPr>
            <w:tcW w:type="dxa" w:w="1300"/>
            <w:tcBorders>
              <w:top w:val="single" w:color="D9D8D2" w:sz="3"/>
              <w:left w:val="none" w:color="FFFFFF" w:sz="0"/>
              <w:bottom w:val="single" w:color="D9D8D2" w:sz="3"/>
              <w:right w:val="none" w:color="FFFFFF" w:sz="0"/>
            </w:tcBorders>
            <w:tcMar>
              <w:top w:type="dxa" w:w="70"/>
              <w:left w:type="dxa" w:w="100"/>
              <w:bottom w:type="dxa" w:w="70"/>
              <w:right w:type="dxa" w:w="100"/>
            </w:tcMar>
            <w:vAlign w:val="top"/>
          </w:tcPr>
          <w:p>
            <w:pPr>
              <w:spacing w:after="0" w:line="250"/>
            </w:pPr>
            <w:r>
              <w:rPr>
                <w:rFonts w:ascii="Arial" w:cs="Arial" w:eastAsia="Arial" w:hAnsi="Arial"/>
                <w:b/>
                <w:bCs/>
                <w:color w:val="898781"/>
                <w:sz w:val="14"/>
                <w:szCs w:val="14"/>
              </w:rPr>
              <w:t xml:space="preserve">no change</w:t>
            </w:r>
          </w:p>
        </w:tc>
        <w:tc>
          <w:tcPr>
            <w:tcW w:type="dxa" w:w="700"/>
            <w:tcBorders>
              <w:top w:val="single" w:color="D9D8D2" w:sz="3"/>
              <w:left w:val="none" w:color="FFFFFF" w:sz="0"/>
              <w:bottom w:val="single" w:color="D9D8D2" w:sz="3"/>
              <w:right w:val="none" w:color="FFFFFF" w:sz="0"/>
            </w:tcBorders>
            <w:tcMar>
              <w:top w:type="dxa" w:w="70"/>
              <w:left w:type="dxa" w:w="100"/>
              <w:bottom w:type="dxa" w:w="70"/>
              <w:right w:type="dxa" w:w="100"/>
            </w:tcMar>
            <w:vAlign w:val="top"/>
          </w:tcPr>
          <w:p>
            <w:pPr>
              <w:spacing w:after="0" w:line="250"/>
              <w:jc w:val="center"/>
            </w:pPr>
            <w:r>
              <w:rPr>
                <w:rFonts w:ascii="Arial" w:cs="Arial" w:eastAsia="Arial" w:hAnsi="Arial"/>
                <w:color w:val="898781"/>
                <w:sz w:val="14"/>
                <w:szCs w:val="14"/>
              </w:rPr>
              <w:t xml:space="preserve">medium</w:t>
            </w:r>
          </w:p>
        </w:tc>
      </w:tr>
      <w:tr>
        <w:tc>
          <w:tcPr>
            <w:tcW w:type="dxa" w:w="2100"/>
            <w:tcBorders>
              <w:top w:val="single" w:color="D9D8D2" w:sz="3"/>
              <w:left w:val="none" w:color="FFFFFF" w:sz="0"/>
              <w:bottom w:val="single" w:color="D9D8D2" w:sz="3"/>
              <w:right w:val="none" w:color="FFFFFF" w:sz="0"/>
            </w:tcBorders>
            <w:shd w:fill="EFEEE9" w:color="auto" w:val="clear"/>
            <w:tcMar>
              <w:top w:type="dxa" w:w="70"/>
              <w:left w:type="dxa" w:w="100"/>
              <w:bottom w:type="dxa" w:w="70"/>
              <w:right w:type="dxa" w:w="100"/>
            </w:tcMar>
            <w:vAlign w:val="top"/>
          </w:tcPr>
          <w:p>
            <w:pPr>
              <w:spacing w:after="0" w:line="250"/>
            </w:pPr>
            <w:r>
              <w:rPr>
                <w:rFonts w:ascii="Arial" w:cs="Arial" w:eastAsia="Arial" w:hAnsi="Arial"/>
                <w:b/>
                <w:bCs/>
                <w:color w:val="012169"/>
                <w:sz w:val="15"/>
                <w:szCs w:val="15"/>
              </w:rPr>
              <w:t xml:space="preserve">SPS 114 Operational Risk Financial Requirement (paragraph numbers not independently verified)</w:t>
            </w:r>
          </w:p>
        </w:tc>
        <w:tc>
          <w:tcPr>
            <w:tcW w:type="dxa" w:w="2700"/>
            <w:tcBorders>
              <w:top w:val="single" w:color="D9D8D2" w:sz="3"/>
              <w:left w:val="none" w:color="FFFFFF" w:sz="0"/>
              <w:bottom w:val="single" w:color="D9D8D2" w:sz="3"/>
              <w:right w:val="none" w:color="FFFFFF" w:sz="0"/>
            </w:tcBorders>
            <w:shd w:fill="EFEEE9" w:color="auto" w:val="clear"/>
            <w:tcMar>
              <w:top w:type="dxa" w:w="70"/>
              <w:left w:type="dxa" w:w="100"/>
              <w:bottom w:type="dxa" w:w="70"/>
              <w:right w:type="dxa" w:w="100"/>
            </w:tcMar>
            <w:vAlign w:val="top"/>
          </w:tcPr>
          <w:p>
            <w:pPr>
              <w:spacing w:after="0" w:line="250"/>
            </w:pPr>
            <w:r>
              <w:rPr>
                <w:rFonts w:ascii="Arial" w:cs="Arial" w:eastAsia="Arial" w:hAnsi="Arial"/>
                <w:color w:val="52514E"/>
                <w:sz w:val="14"/>
                <w:szCs w:val="14"/>
              </w:rPr>
              <w:t xml:space="preserve">Requires financial resources to protect beneficiaries against losses arising from operational risk, a Board-approved strategy, a target amount and tolerance limit reflecting the operational risk profile, and a replenishment plan if resources fall below tolerance.</w:t>
            </w:r>
          </w:p>
        </w:tc>
        <w:tc>
          <w:tcPr>
            <w:tcW w:type="dxa" w:w="3106"/>
            <w:tcBorders>
              <w:top w:val="single" w:color="D9D8D2" w:sz="3"/>
              <w:left w:val="none" w:color="FFFFFF" w:sz="0"/>
              <w:bottom w:val="single" w:color="D9D8D2" w:sz="3"/>
              <w:right w:val="none" w:color="FFFFFF" w:sz="0"/>
            </w:tcBorders>
            <w:shd w:fill="EFEEE9" w:color="auto" w:val="clear"/>
            <w:tcMar>
              <w:top w:type="dxa" w:w="70"/>
              <w:left w:type="dxa" w:w="100"/>
              <w:bottom w:type="dxa" w:w="70"/>
              <w:right w:type="dxa" w:w="100"/>
            </w:tcMar>
            <w:vAlign w:val="top"/>
          </w:tcPr>
          <w:p>
            <w:pPr>
              <w:spacing w:after="0" w:line="250"/>
            </w:pPr>
            <w:r>
              <w:rPr>
                <w:rFonts w:ascii="Arial" w:cs="Arial" w:eastAsia="Arial" w:hAnsi="Arial"/>
                <w:color w:val="52514E"/>
                <w:sz w:val="14"/>
                <w:szCs w:val="14"/>
              </w:rPr>
              <w:t xml:space="preserve">A mis-calculated or mis-attributed figure, or a release-authority payment made late or in the wrong amount, can produce a loss to a beneficiary and a penalty exposure - the kind of loss the requirement exists to absorb. Two questions sit underneath the sizing question and were not addressed in the draft: whether the reserve can lawfully be applied to compensate an individual's personal tax detriment, and whether a trustee can indemnify itself from fund assets for such an error, given the reserve is itself members' money. Those are legal questions that should be settled before the reserve is assumed to be the answer.</w:t>
            </w:r>
          </w:p>
        </w:tc>
        <w:tc>
          <w:tcPr>
            <w:tcW w:type="dxa" w:w="1300"/>
            <w:tcBorders>
              <w:top w:val="single" w:color="D9D8D2" w:sz="3"/>
              <w:left w:val="none" w:color="FFFFFF" w:sz="0"/>
              <w:bottom w:val="single" w:color="D9D8D2" w:sz="3"/>
              <w:right w:val="none" w:color="FFFFFF" w:sz="0"/>
            </w:tcBorders>
            <w:shd w:fill="EFEEE9" w:color="auto" w:val="clear"/>
            <w:tcMar>
              <w:top w:type="dxa" w:w="70"/>
              <w:left w:type="dxa" w:w="100"/>
              <w:bottom w:type="dxa" w:w="70"/>
              <w:right w:type="dxa" w:w="100"/>
            </w:tcMar>
            <w:vAlign w:val="top"/>
          </w:tcPr>
          <w:p>
            <w:pPr>
              <w:spacing w:after="0" w:line="250"/>
            </w:pPr>
            <w:r>
              <w:rPr>
                <w:rFonts w:ascii="Arial" w:cs="Arial" w:eastAsia="Arial" w:hAnsi="Arial"/>
                <w:b/>
                <w:bCs/>
                <w:color w:val="00B398"/>
                <w:sz w:val="14"/>
                <w:szCs w:val="14"/>
              </w:rPr>
              <w:t xml:space="preserve">supervisory practice only</w:t>
            </w:r>
          </w:p>
        </w:tc>
        <w:tc>
          <w:tcPr>
            <w:tcW w:type="dxa" w:w="700"/>
            <w:tcBorders>
              <w:top w:val="single" w:color="D9D8D2" w:sz="3"/>
              <w:left w:val="none" w:color="FFFFFF" w:sz="0"/>
              <w:bottom w:val="single" w:color="D9D8D2" w:sz="3"/>
              <w:right w:val="none" w:color="FFFFFF" w:sz="0"/>
            </w:tcBorders>
            <w:shd w:fill="EFEEE9" w:color="auto" w:val="clear"/>
            <w:tcMar>
              <w:top w:type="dxa" w:w="70"/>
              <w:left w:type="dxa" w:w="100"/>
              <w:bottom w:type="dxa" w:w="70"/>
              <w:right w:type="dxa" w:w="100"/>
            </w:tcMar>
            <w:vAlign w:val="top"/>
          </w:tcPr>
          <w:p>
            <w:pPr>
              <w:spacing w:after="0" w:line="250"/>
              <w:jc w:val="center"/>
            </w:pPr>
            <w:r>
              <w:rPr>
                <w:rFonts w:ascii="Arial" w:cs="Arial" w:eastAsia="Arial" w:hAnsi="Arial"/>
                <w:color w:val="898781"/>
                <w:sz w:val="14"/>
                <w:szCs w:val="14"/>
              </w:rPr>
              <w:t xml:space="preserve">medium</w:t>
            </w:r>
          </w:p>
        </w:tc>
      </w:tr>
      <w:tr>
        <w:tc>
          <w:tcPr>
            <w:tcW w:type="dxa" w:w="2100"/>
            <w:tcBorders>
              <w:top w:val="single" w:color="D9D8D2" w:sz="3"/>
              <w:left w:val="none" w:color="FFFFFF" w:sz="0"/>
              <w:bottom w:val="single" w:color="D9D8D2" w:sz="3"/>
              <w:right w:val="none" w:color="FFFFFF" w:sz="0"/>
            </w:tcBorders>
            <w:tcMar>
              <w:top w:type="dxa" w:w="70"/>
              <w:left w:type="dxa" w:w="100"/>
              <w:bottom w:type="dxa" w:w="70"/>
              <w:right w:type="dxa" w:w="100"/>
            </w:tcMar>
            <w:vAlign w:val="top"/>
          </w:tcPr>
          <w:p>
            <w:pPr>
              <w:spacing w:after="0" w:line="250"/>
            </w:pPr>
            <w:r>
              <w:rPr>
                <w:rFonts w:ascii="Arial" w:cs="Arial" w:eastAsia="Arial" w:hAnsi="Arial"/>
                <w:b/>
                <w:bCs/>
                <w:color w:val="012169"/>
                <w:sz w:val="15"/>
                <w:szCs w:val="15"/>
              </w:rPr>
              <w:t xml:space="preserve">SPS 310 Audit and Related Matters (paragraph and attachment references not independently verified)</w:t>
            </w:r>
          </w:p>
        </w:tc>
        <w:tc>
          <w:tcPr>
            <w:tcW w:type="dxa" w:w="2700"/>
            <w:tcBorders>
              <w:top w:val="single" w:color="D9D8D2" w:sz="3"/>
              <w:left w:val="none" w:color="FFFFFF" w:sz="0"/>
              <w:bottom w:val="single" w:color="D9D8D2" w:sz="3"/>
              <w:right w:val="none" w:color="FFFFFF" w:sz="0"/>
            </w:tcBorders>
            <w:tcMar>
              <w:top w:type="dxa" w:w="70"/>
              <w:left w:type="dxa" w:w="100"/>
              <w:bottom w:type="dxa" w:w="70"/>
              <w:right w:type="dxa" w:w="100"/>
            </w:tcMar>
            <w:vAlign w:val="top"/>
          </w:tcPr>
          <w:p>
            <w:pPr>
              <w:spacing w:after="0" w:line="250"/>
            </w:pPr>
            <w:r>
              <w:rPr>
                <w:rFonts w:ascii="Arial" w:cs="Arial" w:eastAsia="Arial" w:hAnsi="Arial"/>
                <w:color w:val="52514E"/>
                <w:sz w:val="14"/>
                <w:szCs w:val="14"/>
              </w:rPr>
              <w:t xml:space="preserve">The RSE auditor provides reasonable assurance over data reported under APRA reporting standards and over specified legislative compliance, and limited assurance over systems, controls and the effectiveness of the risk management framework.</w:t>
            </w:r>
          </w:p>
        </w:tc>
        <w:tc>
          <w:tcPr>
            <w:tcW w:type="dxa" w:w="3106"/>
            <w:tcBorders>
              <w:top w:val="single" w:color="D9D8D2" w:sz="3"/>
              <w:left w:val="none" w:color="FFFFFF" w:sz="0"/>
              <w:bottom w:val="single" w:color="D9D8D2" w:sz="3"/>
              <w:right w:val="none" w:color="FFFFFF" w:sz="0"/>
            </w:tcBorders>
            <w:tcMar>
              <w:top w:type="dxa" w:w="70"/>
              <w:left w:type="dxa" w:w="100"/>
              <w:bottom w:type="dxa" w:w="70"/>
              <w:right w:type="dxa" w:w="100"/>
            </w:tcMar>
            <w:vAlign w:val="top"/>
          </w:tcPr>
          <w:p>
            <w:pPr>
              <w:spacing w:after="0" w:line="250"/>
            </w:pPr>
            <w:r>
              <w:rPr>
                <w:rFonts w:ascii="Arial" w:cs="Arial" w:eastAsia="Arial" w:hAnsi="Arial"/>
                <w:color w:val="52514E"/>
                <w:sz w:val="14"/>
                <w:szCs w:val="14"/>
              </w:rPr>
              <w:t xml:space="preserve">Division 296 fund earnings and member attribution are reported to the Commissioner of Taxation, not under an APRA reporting standard, and arise under the Income Tax Assessment Act 1997 and the Taxation Administration Act 1953 rather than the SIS Act. On the face of it they therefore fall outside both assurance limbs, meaning the largest new calculation many RSE licensees will perform carries no RSE auditor assurance. Amending SPS 310 would close this, but the proportionate first step is to ask what voluntary assurance licensees have obtained. An assurance gap on a high-consequence, member-specific calculation is a familiar precursor to a large remediation.</w:t>
            </w:r>
          </w:p>
        </w:tc>
        <w:tc>
          <w:tcPr>
            <w:tcW w:type="dxa" w:w="1300"/>
            <w:tcBorders>
              <w:top w:val="single" w:color="D9D8D2" w:sz="3"/>
              <w:left w:val="none" w:color="FFFFFF" w:sz="0"/>
              <w:bottom w:val="single" w:color="D9D8D2" w:sz="3"/>
              <w:right w:val="none" w:color="FFFFFF" w:sz="0"/>
            </w:tcBorders>
            <w:tcMar>
              <w:top w:type="dxa" w:w="70"/>
              <w:left w:type="dxa" w:w="100"/>
              <w:bottom w:type="dxa" w:w="70"/>
              <w:right w:type="dxa" w:w="100"/>
            </w:tcMar>
            <w:vAlign w:val="top"/>
          </w:tcPr>
          <w:p>
            <w:pPr>
              <w:spacing w:after="0" w:line="250"/>
            </w:pPr>
            <w:r>
              <w:rPr>
                <w:rFonts w:ascii="Arial" w:cs="Arial" w:eastAsia="Arial" w:hAnsi="Arial"/>
                <w:b/>
                <w:bCs/>
                <w:color w:val="00B398"/>
                <w:sz w:val="14"/>
                <w:szCs w:val="14"/>
              </w:rPr>
              <w:t xml:space="preserve">supervisory practice only</w:t>
            </w:r>
          </w:p>
        </w:tc>
        <w:tc>
          <w:tcPr>
            <w:tcW w:type="dxa" w:w="700"/>
            <w:tcBorders>
              <w:top w:val="single" w:color="D9D8D2" w:sz="3"/>
              <w:left w:val="none" w:color="FFFFFF" w:sz="0"/>
              <w:bottom w:val="single" w:color="D9D8D2" w:sz="3"/>
              <w:right w:val="none" w:color="FFFFFF" w:sz="0"/>
            </w:tcBorders>
            <w:tcMar>
              <w:top w:type="dxa" w:w="70"/>
              <w:left w:type="dxa" w:w="100"/>
              <w:bottom w:type="dxa" w:w="70"/>
              <w:right w:type="dxa" w:w="100"/>
            </w:tcMar>
            <w:vAlign w:val="top"/>
          </w:tcPr>
          <w:p>
            <w:pPr>
              <w:spacing w:after="0" w:line="250"/>
              <w:jc w:val="center"/>
            </w:pPr>
            <w:r>
              <w:rPr>
                <w:rFonts w:ascii="Arial" w:cs="Arial" w:eastAsia="Arial" w:hAnsi="Arial"/>
                <w:color w:val="898781"/>
                <w:sz w:val="14"/>
                <w:szCs w:val="14"/>
              </w:rPr>
              <w:t xml:space="preserve">medium</w:t>
            </w:r>
          </w:p>
        </w:tc>
      </w:tr>
      <w:tr>
        <w:tc>
          <w:tcPr>
            <w:tcW w:type="dxa" w:w="2100"/>
            <w:tcBorders>
              <w:top w:val="single" w:color="D9D8D2" w:sz="3"/>
              <w:left w:val="none" w:color="FFFFFF" w:sz="0"/>
              <w:bottom w:val="single" w:color="D9D8D2" w:sz="3"/>
              <w:right w:val="none" w:color="FFFFFF" w:sz="0"/>
            </w:tcBorders>
            <w:shd w:fill="EFEEE9" w:color="auto" w:val="clear"/>
            <w:tcMar>
              <w:top w:type="dxa" w:w="70"/>
              <w:left w:type="dxa" w:w="100"/>
              <w:bottom w:type="dxa" w:w="70"/>
              <w:right w:type="dxa" w:w="100"/>
            </w:tcMar>
            <w:vAlign w:val="top"/>
          </w:tcPr>
          <w:p>
            <w:pPr>
              <w:spacing w:after="0" w:line="250"/>
            </w:pPr>
            <w:r>
              <w:rPr>
                <w:rFonts w:ascii="Arial" w:cs="Arial" w:eastAsia="Arial" w:hAnsi="Arial"/>
                <w:b/>
                <w:bCs/>
                <w:color w:val="012169"/>
                <w:sz w:val="15"/>
                <w:szCs w:val="15"/>
              </w:rPr>
              <w:t xml:space="preserve">SIS Act s29JA breach notification (interaction with Division 296 obligations)</w:t>
            </w:r>
          </w:p>
        </w:tc>
        <w:tc>
          <w:tcPr>
            <w:tcW w:type="dxa" w:w="2700"/>
            <w:tcBorders>
              <w:top w:val="single" w:color="D9D8D2" w:sz="3"/>
              <w:left w:val="none" w:color="FFFFFF" w:sz="0"/>
              <w:bottom w:val="single" w:color="D9D8D2" w:sz="3"/>
              <w:right w:val="none" w:color="FFFFFF" w:sz="0"/>
            </w:tcBorders>
            <w:shd w:fill="EFEEE9" w:color="auto" w:val="clear"/>
            <w:tcMar>
              <w:top w:type="dxa" w:w="70"/>
              <w:left w:type="dxa" w:w="100"/>
              <w:bottom w:type="dxa" w:w="70"/>
              <w:right w:type="dxa" w:w="100"/>
            </w:tcMar>
            <w:vAlign w:val="top"/>
          </w:tcPr>
          <w:p>
            <w:pPr>
              <w:spacing w:after="0" w:line="250"/>
            </w:pPr>
            <w:r>
              <w:rPr>
                <w:rFonts w:ascii="Arial" w:cs="Arial" w:eastAsia="Arial" w:hAnsi="Arial"/>
                <w:color w:val="52514E"/>
                <w:sz w:val="14"/>
                <w:szCs w:val="14"/>
              </w:rPr>
              <w:t xml:space="preserve">An RSE licensee must notify APRA in writing where it has breached or will breach a condition of its licence and the breach is significant, with significance assessed by reference to inadequacies in the licensee's arrangements to ensure compliance with the RSE licensee law.</w:t>
            </w:r>
          </w:p>
        </w:tc>
        <w:tc>
          <w:tcPr>
            <w:tcW w:type="dxa" w:w="3106"/>
            <w:tcBorders>
              <w:top w:val="single" w:color="D9D8D2" w:sz="3"/>
              <w:left w:val="none" w:color="FFFFFF" w:sz="0"/>
              <w:bottom w:val="single" w:color="D9D8D2" w:sz="3"/>
              <w:right w:val="none" w:color="FFFFFF" w:sz="0"/>
            </w:tcBorders>
            <w:shd w:fill="EFEEE9" w:color="auto" w:val="clear"/>
            <w:tcMar>
              <w:top w:type="dxa" w:w="70"/>
              <w:left w:type="dxa" w:w="100"/>
              <w:bottom w:type="dxa" w:w="70"/>
              <w:right w:type="dxa" w:w="100"/>
            </w:tcMar>
            <w:vAlign w:val="top"/>
          </w:tcPr>
          <w:p>
            <w:pPr>
              <w:spacing w:after="0" w:line="250"/>
            </w:pPr>
            <w:r>
              <w:rPr>
                <w:rFonts w:ascii="Arial" w:cs="Arial" w:eastAsia="Arial" w:hAnsi="Arial"/>
                <w:color w:val="52514E"/>
                <w:sz w:val="14"/>
                <w:szCs w:val="14"/>
              </w:rPr>
              <w:t xml:space="preserve">The same reasoning that takes the Division 296 calculation outside RSE auditor assurance also takes it outside the ordinary breach-notification trigger: Division 296 duties arise under tax law, which is not RSE licensee law, so a late or materially wrong report to the Commissioner is unlikely of itself to be notifiable to APRA. It would become notifiable only derivatively, where it evidences inadequate compliance arrangements or causes member loss. The practical consequence is that APRA may learn of a systemic failure - including one originating at a shared administrator - late, or from the ATO rather than from the licensee. APRA has a recent precedent for closing exactly this kind of gap by stating an expectation in a letter: in its Payday Super Readiness letter of 25 March 2026 it told licensees that significant breaches of the new requirements would necessitate a breach notification under s29JA.</w:t>
            </w:r>
          </w:p>
        </w:tc>
        <w:tc>
          <w:tcPr>
            <w:tcW w:type="dxa" w:w="1300"/>
            <w:tcBorders>
              <w:top w:val="single" w:color="D9D8D2" w:sz="3"/>
              <w:left w:val="none" w:color="FFFFFF" w:sz="0"/>
              <w:bottom w:val="single" w:color="D9D8D2" w:sz="3"/>
              <w:right w:val="none" w:color="FFFFFF" w:sz="0"/>
            </w:tcBorders>
            <w:shd w:fill="EFEEE9" w:color="auto" w:val="clear"/>
            <w:tcMar>
              <w:top w:type="dxa" w:w="70"/>
              <w:left w:type="dxa" w:w="100"/>
              <w:bottom w:type="dxa" w:w="70"/>
              <w:right w:type="dxa" w:w="100"/>
            </w:tcMar>
            <w:vAlign w:val="top"/>
          </w:tcPr>
          <w:p>
            <w:pPr>
              <w:spacing w:after="0" w:line="250"/>
            </w:pPr>
            <w:r>
              <w:rPr>
                <w:rFonts w:ascii="Arial" w:cs="Arial" w:eastAsia="Arial" w:hAnsi="Arial"/>
                <w:b/>
                <w:bCs/>
                <w:color w:val="00B398"/>
                <w:sz w:val="14"/>
                <w:szCs w:val="14"/>
              </w:rPr>
              <w:t xml:space="preserve">supervisory practice only</w:t>
            </w:r>
          </w:p>
        </w:tc>
        <w:tc>
          <w:tcPr>
            <w:tcW w:type="dxa" w:w="700"/>
            <w:tcBorders>
              <w:top w:val="single" w:color="D9D8D2" w:sz="3"/>
              <w:left w:val="none" w:color="FFFFFF" w:sz="0"/>
              <w:bottom w:val="single" w:color="D9D8D2" w:sz="3"/>
              <w:right w:val="none" w:color="FFFFFF" w:sz="0"/>
            </w:tcBorders>
            <w:shd w:fill="EFEEE9" w:color="auto" w:val="clear"/>
            <w:tcMar>
              <w:top w:type="dxa" w:w="70"/>
              <w:left w:type="dxa" w:w="100"/>
              <w:bottom w:type="dxa" w:w="70"/>
              <w:right w:type="dxa" w:w="100"/>
            </w:tcMar>
            <w:vAlign w:val="top"/>
          </w:tcPr>
          <w:p>
            <w:pPr>
              <w:spacing w:after="0" w:line="250"/>
              <w:jc w:val="center"/>
            </w:pPr>
            <w:r>
              <w:rPr>
                <w:rFonts w:ascii="Arial" w:cs="Arial" w:eastAsia="Arial" w:hAnsi="Arial"/>
                <w:color w:val="898781"/>
                <w:sz w:val="14"/>
                <w:szCs w:val="14"/>
              </w:rPr>
              <w:t xml:space="preserve">medium</w:t>
            </w:r>
          </w:p>
        </w:tc>
      </w:tr>
      <w:tr>
        <w:tc>
          <w:tcPr>
            <w:tcW w:type="dxa" w:w="2100"/>
            <w:tcBorders>
              <w:top w:val="single" w:color="D9D8D2" w:sz="3"/>
              <w:left w:val="none" w:color="FFFFFF" w:sz="0"/>
              <w:bottom w:val="single" w:color="D9D8D2" w:sz="3"/>
              <w:right w:val="none" w:color="FFFFFF" w:sz="0"/>
            </w:tcBorders>
            <w:tcMar>
              <w:top w:type="dxa" w:w="70"/>
              <w:left w:type="dxa" w:w="100"/>
              <w:bottom w:type="dxa" w:w="70"/>
              <w:right w:type="dxa" w:w="100"/>
            </w:tcMar>
            <w:vAlign w:val="top"/>
          </w:tcPr>
          <w:p>
            <w:pPr>
              <w:spacing w:after="0" w:line="250"/>
            </w:pPr>
            <w:r>
              <w:rPr>
                <w:rFonts w:ascii="Arial" w:cs="Arial" w:eastAsia="Arial" w:hAnsi="Arial"/>
                <w:b/>
                <w:bCs/>
                <w:color w:val="012169"/>
                <w:sz w:val="15"/>
                <w:szCs w:val="15"/>
              </w:rPr>
              <w:t xml:space="preserve">Taxation Administration Act 1953 Sch 1 ss 134-140 and 134-145 (new duties on superannuation providers)</w:t>
            </w:r>
          </w:p>
        </w:tc>
        <w:tc>
          <w:tcPr>
            <w:tcW w:type="dxa" w:w="2700"/>
            <w:tcBorders>
              <w:top w:val="single" w:color="D9D8D2" w:sz="3"/>
              <w:left w:val="none" w:color="FFFFFF" w:sz="0"/>
              <w:bottom w:val="single" w:color="D9D8D2" w:sz="3"/>
              <w:right w:val="none" w:color="FFFFFF" w:sz="0"/>
            </w:tcBorders>
            <w:tcMar>
              <w:top w:type="dxa" w:w="70"/>
              <w:left w:type="dxa" w:w="100"/>
              <w:bottom w:type="dxa" w:w="70"/>
              <w:right w:type="dxa" w:w="100"/>
            </w:tcMar>
            <w:vAlign w:val="top"/>
          </w:tcPr>
          <w:p>
            <w:pPr>
              <w:spacing w:after="0" w:line="250"/>
            </w:pPr>
            <w:r>
              <w:rPr>
                <w:rFonts w:ascii="Arial" w:cs="Arial" w:eastAsia="Arial" w:hAnsi="Arial"/>
                <w:color w:val="52514E"/>
                <w:sz w:val="14"/>
                <w:szCs w:val="14"/>
              </w:rPr>
              <w:t xml:space="preserve">Where the Commissioner keeps a Division 296 debt account for a member and the end benefit becomes payable, the provider must notify the Commissioner of the expected payment date within 14 days in the approved form (s 134-140). A material change in, or omission from, that notice must be corrected within 7 days (s 134-145). Section 134-140 carries an express note that a person dissatisfied may complain under the AFCA scheme.</w:t>
            </w:r>
          </w:p>
        </w:tc>
        <w:tc>
          <w:tcPr>
            <w:tcW w:type="dxa" w:w="3106"/>
            <w:tcBorders>
              <w:top w:val="single" w:color="D9D8D2" w:sz="3"/>
              <w:left w:val="none" w:color="FFFFFF" w:sz="0"/>
              <w:bottom w:val="single" w:color="D9D8D2" w:sz="3"/>
              <w:right w:val="none" w:color="FFFFFF" w:sz="0"/>
            </w:tcBorders>
            <w:tcMar>
              <w:top w:type="dxa" w:w="70"/>
              <w:left w:type="dxa" w:w="100"/>
              <w:bottom w:type="dxa" w:w="70"/>
              <w:right w:type="dxa" w:w="100"/>
            </w:tcMar>
            <w:vAlign w:val="top"/>
          </w:tcPr>
          <w:p>
            <w:pPr>
              <w:spacing w:after="0" w:line="250"/>
            </w:pPr>
            <w:r>
              <w:rPr>
                <w:rFonts w:ascii="Arial" w:cs="Arial" w:eastAsia="Arial" w:hAnsi="Arial"/>
                <w:color w:val="52514E"/>
                <w:sz w:val="14"/>
                <w:szCs w:val="14"/>
              </w:rPr>
              <w:t xml:space="preserve">This is the clearest new positive duty the enacting legislation places on a fund, and it is a duty on a 'superannuation provider' - the term 'RSE licensee' does not appear in the enacting Act. The obligation is short-clock, event-driven and sits at the point where a benefit is being paid, so it lands in the same administration systems as the calculation and the release authority. The express AFCA note is significant for APRA's member-outcomes interest because it cuts against industry's request that Division 296 trustee judgements sit outside the external dispute resolution scheme. No APRA instrument change is available or needed; the relevance is to supervisory expectations about operational readiness and complaints capability.</w:t>
            </w:r>
          </w:p>
        </w:tc>
        <w:tc>
          <w:tcPr>
            <w:tcW w:type="dxa" w:w="1300"/>
            <w:tcBorders>
              <w:top w:val="single" w:color="D9D8D2" w:sz="3"/>
              <w:left w:val="none" w:color="FFFFFF" w:sz="0"/>
              <w:bottom w:val="single" w:color="D9D8D2" w:sz="3"/>
              <w:right w:val="none" w:color="FFFFFF" w:sz="0"/>
            </w:tcBorders>
            <w:tcMar>
              <w:top w:type="dxa" w:w="70"/>
              <w:left w:type="dxa" w:w="100"/>
              <w:bottom w:type="dxa" w:w="70"/>
              <w:right w:type="dxa" w:w="100"/>
            </w:tcMar>
            <w:vAlign w:val="top"/>
          </w:tcPr>
          <w:p>
            <w:pPr>
              <w:spacing w:after="0" w:line="250"/>
            </w:pPr>
            <w:r>
              <w:rPr>
                <w:rFonts w:ascii="Arial" w:cs="Arial" w:eastAsia="Arial" w:hAnsi="Arial"/>
                <w:b/>
                <w:bCs/>
                <w:color w:val="00B398"/>
                <w:sz w:val="14"/>
                <w:szCs w:val="14"/>
              </w:rPr>
              <w:t xml:space="preserve">supervisory practice only</w:t>
            </w:r>
          </w:p>
        </w:tc>
        <w:tc>
          <w:tcPr>
            <w:tcW w:type="dxa" w:w="700"/>
            <w:tcBorders>
              <w:top w:val="single" w:color="D9D8D2" w:sz="3"/>
              <w:left w:val="none" w:color="FFFFFF" w:sz="0"/>
              <w:bottom w:val="single" w:color="D9D8D2" w:sz="3"/>
              <w:right w:val="none" w:color="FFFFFF" w:sz="0"/>
            </w:tcBorders>
            <w:tcMar>
              <w:top w:type="dxa" w:w="70"/>
              <w:left w:type="dxa" w:w="100"/>
              <w:bottom w:type="dxa" w:w="70"/>
              <w:right w:type="dxa" w:w="100"/>
            </w:tcMar>
            <w:vAlign w:val="top"/>
          </w:tcPr>
          <w:p>
            <w:pPr>
              <w:spacing w:after="0" w:line="250"/>
              <w:jc w:val="center"/>
            </w:pPr>
            <w:r>
              <w:rPr>
                <w:rFonts w:ascii="Arial" w:cs="Arial" w:eastAsia="Arial" w:hAnsi="Arial"/>
                <w:color w:val="898781"/>
                <w:sz w:val="14"/>
                <w:szCs w:val="14"/>
              </w:rPr>
              <w:t xml:space="preserve">medium</w:t>
            </w:r>
          </w:p>
        </w:tc>
      </w:tr>
      <w:tr>
        <w:tc>
          <w:tcPr>
            <w:tcW w:type="dxa" w:w="2100"/>
            <w:tcBorders>
              <w:top w:val="single" w:color="D9D8D2" w:sz="3"/>
              <w:left w:val="none" w:color="FFFFFF" w:sz="0"/>
              <w:bottom w:val="single" w:color="D9D8D2" w:sz="3"/>
              <w:right w:val="none" w:color="FFFFFF" w:sz="0"/>
            </w:tcBorders>
            <w:shd w:fill="EFEEE9" w:color="auto" w:val="clear"/>
            <w:tcMar>
              <w:top w:type="dxa" w:w="70"/>
              <w:left w:type="dxa" w:w="100"/>
              <w:bottom w:type="dxa" w:w="70"/>
              <w:right w:type="dxa" w:w="100"/>
            </w:tcMar>
            <w:vAlign w:val="top"/>
          </w:tcPr>
          <w:p>
            <w:pPr>
              <w:spacing w:after="0" w:line="250"/>
            </w:pPr>
            <w:r>
              <w:rPr>
                <w:rFonts w:ascii="Arial" w:cs="Arial" w:eastAsia="Arial" w:hAnsi="Arial"/>
                <w:b/>
                <w:bCs/>
                <w:color w:val="012169"/>
                <w:sz w:val="15"/>
                <w:szCs w:val="15"/>
              </w:rPr>
              <w:t xml:space="preserve">SRS 611.0 Member Accounts (SRF 611.0 Instructions, Table 1 Column 3 and Table 2 Column 4)</w:t>
            </w:r>
          </w:p>
        </w:tc>
        <w:tc>
          <w:tcPr>
            <w:tcW w:type="dxa" w:w="2700"/>
            <w:tcBorders>
              <w:top w:val="single" w:color="D9D8D2" w:sz="3"/>
              <w:left w:val="none" w:color="FFFFFF" w:sz="0"/>
              <w:bottom w:val="single" w:color="D9D8D2" w:sz="3"/>
              <w:right w:val="none" w:color="FFFFFF" w:sz="0"/>
            </w:tcBorders>
            <w:shd w:fill="EFEEE9" w:color="auto" w:val="clear"/>
            <w:tcMar>
              <w:top w:type="dxa" w:w="70"/>
              <w:left w:type="dxa" w:w="100"/>
              <w:bottom w:type="dxa" w:w="70"/>
              <w:right w:type="dxa" w:w="100"/>
            </w:tcMar>
            <w:vAlign w:val="top"/>
          </w:tcPr>
          <w:p>
            <w:pPr>
              <w:spacing w:after="0" w:line="250"/>
            </w:pPr>
            <w:r>
              <w:rPr>
                <w:rFonts w:ascii="Arial" w:cs="Arial" w:eastAsia="Arial" w:hAnsi="Arial"/>
                <w:color w:val="52514E"/>
                <w:sz w:val="14"/>
                <w:szCs w:val="14"/>
              </w:rPr>
              <w:t xml:space="preserve">VERIFIED against the instrument. Members Benefit Bracket Type valid values run from '&lt;$1,000' through '$100,000 to $199,999', '$200,000 to $499,999', '$500,000 to $999,999' and terminate at '$1,000,000+'. Data is reported per member account and separately for each RSE.</w:t>
            </w:r>
          </w:p>
        </w:tc>
        <w:tc>
          <w:tcPr>
            <w:tcW w:type="dxa" w:w="3106"/>
            <w:tcBorders>
              <w:top w:val="single" w:color="D9D8D2" w:sz="3"/>
              <w:left w:val="none" w:color="FFFFFF" w:sz="0"/>
              <w:bottom w:val="single" w:color="D9D8D2" w:sz="3"/>
              <w:right w:val="none" w:color="FFFFFF" w:sz="0"/>
            </w:tcBorders>
            <w:shd w:fill="EFEEE9" w:color="auto" w:val="clear"/>
            <w:tcMar>
              <w:top w:type="dxa" w:w="70"/>
              <w:left w:type="dxa" w:w="100"/>
              <w:bottom w:type="dxa" w:w="70"/>
              <w:right w:type="dxa" w:w="100"/>
            </w:tcMar>
            <w:vAlign w:val="top"/>
          </w:tcPr>
          <w:p>
            <w:pPr>
              <w:spacing w:after="0" w:line="250"/>
            </w:pPr>
            <w:r>
              <w:rPr>
                <w:rFonts w:ascii="Arial" w:cs="Arial" w:eastAsia="Arial" w:hAnsi="Arial"/>
                <w:color w:val="52514E"/>
                <w:sz w:val="14"/>
                <w:szCs w:val="14"/>
              </w:rPr>
              <w:t xml:space="preserve">The top bracket is one third of the lower Division 296 threshold and one tenth of the upper. APRA therefore cannot count members above $3 million or $10 million from its own collections, cannot see where they are concentrated, and cannot size the assets sitting behind them. A deeper limitation sits behind that: the threshold is measured on a person's total across every fund, including self-managed funds, whereas SRF 611.0 is keyed to the member account within a single RSE, so a member with $1.8 million in each of two funds appears twice below $2 million and never as a $3.6 million total. Additional brackets would materially improve visibility of large accounts in APRA-regulated funds but cannot by construction produce the whole-of-person threshold view, which only the ATO holds. Any external commitment should be framed as monitoring large-account behaviour in APRA-regulated funds rather than monitoring the affected population.</w:t>
            </w:r>
          </w:p>
        </w:tc>
        <w:tc>
          <w:tcPr>
            <w:tcW w:type="dxa" w:w="1300"/>
            <w:tcBorders>
              <w:top w:val="single" w:color="D9D8D2" w:sz="3"/>
              <w:left w:val="none" w:color="FFFFFF" w:sz="0"/>
              <w:bottom w:val="single" w:color="D9D8D2" w:sz="3"/>
              <w:right w:val="none" w:color="FFFFFF" w:sz="0"/>
            </w:tcBorders>
            <w:shd w:fill="EFEEE9" w:color="auto" w:val="clear"/>
            <w:tcMar>
              <w:top w:type="dxa" w:w="70"/>
              <w:left w:type="dxa" w:w="100"/>
              <w:bottom w:type="dxa" w:w="70"/>
              <w:right w:type="dxa" w:w="100"/>
            </w:tcMar>
            <w:vAlign w:val="top"/>
          </w:tcPr>
          <w:p>
            <w:pPr>
              <w:spacing w:after="0" w:line="250"/>
            </w:pPr>
            <w:r>
              <w:rPr>
                <w:rFonts w:ascii="Arial" w:cs="Arial" w:eastAsia="Arial" w:hAnsi="Arial"/>
                <w:b/>
                <w:bCs/>
                <w:color w:val="890C58"/>
                <w:sz w:val="14"/>
                <w:szCs w:val="14"/>
              </w:rPr>
              <w:t xml:space="preserve">amend standard</w:t>
            </w:r>
          </w:p>
        </w:tc>
        <w:tc>
          <w:tcPr>
            <w:tcW w:type="dxa" w:w="700"/>
            <w:tcBorders>
              <w:top w:val="single" w:color="D9D8D2" w:sz="3"/>
              <w:left w:val="none" w:color="FFFFFF" w:sz="0"/>
              <w:bottom w:val="single" w:color="D9D8D2" w:sz="3"/>
              <w:right w:val="none" w:color="FFFFFF" w:sz="0"/>
            </w:tcBorders>
            <w:shd w:fill="EFEEE9" w:color="auto" w:val="clear"/>
            <w:tcMar>
              <w:top w:type="dxa" w:w="70"/>
              <w:left w:type="dxa" w:w="100"/>
              <w:bottom w:type="dxa" w:w="70"/>
              <w:right w:type="dxa" w:w="100"/>
            </w:tcMar>
            <w:vAlign w:val="top"/>
          </w:tcPr>
          <w:p>
            <w:pPr>
              <w:spacing w:after="0" w:line="250"/>
              <w:jc w:val="center"/>
            </w:pPr>
            <w:r>
              <w:rPr>
                <w:rFonts w:ascii="Arial" w:cs="Arial" w:eastAsia="Arial" w:hAnsi="Arial"/>
                <w:color w:val="898781"/>
                <w:sz w:val="14"/>
                <w:szCs w:val="14"/>
              </w:rPr>
              <w:t xml:space="preserve">high</w:t>
            </w:r>
          </w:p>
        </w:tc>
      </w:tr>
      <w:tr>
        <w:tc>
          <w:tcPr>
            <w:tcW w:type="dxa" w:w="2100"/>
            <w:tcBorders>
              <w:top w:val="single" w:color="D9D8D2" w:sz="3"/>
              <w:left w:val="none" w:color="FFFFFF" w:sz="0"/>
              <w:bottom w:val="single" w:color="D9D8D2" w:sz="3"/>
              <w:right w:val="none" w:color="FFFFFF" w:sz="0"/>
            </w:tcBorders>
            <w:tcMar>
              <w:top w:type="dxa" w:w="70"/>
              <w:left w:type="dxa" w:w="100"/>
              <w:bottom w:type="dxa" w:w="70"/>
              <w:right w:type="dxa" w:w="100"/>
            </w:tcMar>
            <w:vAlign w:val="top"/>
          </w:tcPr>
          <w:p>
            <w:pPr>
              <w:spacing w:after="0" w:line="250"/>
            </w:pPr>
            <w:r>
              <w:rPr>
                <w:rFonts w:ascii="Arial" w:cs="Arial" w:eastAsia="Arial" w:hAnsi="Arial"/>
                <w:b/>
                <w:bCs/>
                <w:color w:val="012169"/>
                <w:sz w:val="15"/>
                <w:szCs w:val="15"/>
              </w:rPr>
              <w:t xml:space="preserve">SRS 551.0 Liquidity (SRF 551.1 member cash flow items)</w:t>
            </w:r>
          </w:p>
        </w:tc>
        <w:tc>
          <w:tcPr>
            <w:tcW w:type="dxa" w:w="2700"/>
            <w:tcBorders>
              <w:top w:val="single" w:color="D9D8D2" w:sz="3"/>
              <w:left w:val="none" w:color="FFFFFF" w:sz="0"/>
              <w:bottom w:val="single" w:color="D9D8D2" w:sz="3"/>
              <w:right w:val="none" w:color="FFFFFF" w:sz="0"/>
            </w:tcBorders>
            <w:tcMar>
              <w:top w:type="dxa" w:w="70"/>
              <w:left w:type="dxa" w:w="100"/>
              <w:bottom w:type="dxa" w:w="70"/>
              <w:right w:type="dxa" w:w="100"/>
            </w:tcMar>
            <w:vAlign w:val="top"/>
          </w:tcPr>
          <w:p>
            <w:pPr>
              <w:spacing w:after="0" w:line="250"/>
            </w:pPr>
            <w:r>
              <w:rPr>
                <w:rFonts w:ascii="Arial" w:cs="Arial" w:eastAsia="Arial" w:hAnsi="Arial"/>
                <w:color w:val="52514E"/>
                <w:sz w:val="14"/>
                <w:szCs w:val="14"/>
              </w:rPr>
              <w:t xml:space="preserve">Quarterly reporting of liquidity supply, demand and event indicators. Member cash flows are reported on a net basis, without decomposition by driver.</w:t>
            </w:r>
          </w:p>
        </w:tc>
        <w:tc>
          <w:tcPr>
            <w:tcW w:type="dxa" w:w="3106"/>
            <w:tcBorders>
              <w:top w:val="single" w:color="D9D8D2" w:sz="3"/>
              <w:left w:val="none" w:color="FFFFFF" w:sz="0"/>
              <w:bottom w:val="single" w:color="D9D8D2" w:sz="3"/>
              <w:right w:val="none" w:color="FFFFFF" w:sz="0"/>
            </w:tcBorders>
            <w:tcMar>
              <w:top w:type="dxa" w:w="70"/>
              <w:left w:type="dxa" w:w="100"/>
              <w:bottom w:type="dxa" w:w="70"/>
              <w:right w:type="dxa" w:w="100"/>
            </w:tcMar>
            <w:vAlign w:val="top"/>
          </w:tcPr>
          <w:p>
            <w:pPr>
              <w:spacing w:after="0" w:line="250"/>
            </w:pPr>
            <w:r>
              <w:rPr>
                <w:rFonts w:ascii="Arial" w:cs="Arial" w:eastAsia="Arial" w:hAnsi="Arial"/>
                <w:color w:val="52514E"/>
                <w:sz w:val="14"/>
                <w:szCs w:val="14"/>
              </w:rPr>
              <w:t xml:space="preserve">A release-authority payment, a Division 296-motivated rollover to a self-managed fund and an ordinary retirement lump sum are indistinguishable in the collection. APRA's newest liquidity collection therefore cannot isolate Division 296 outflow. Amending a collection that has only recently commenced would be disproportionate; a targeted, time-limited request to the most exposed licensees is the better route, and APRA can require data from named entities by written notice without making a new reporting standard - which also answers the timing objection that a standard cannot deliver before the first assessments issue.</w:t>
            </w:r>
          </w:p>
        </w:tc>
        <w:tc>
          <w:tcPr>
            <w:tcW w:type="dxa" w:w="1300"/>
            <w:tcBorders>
              <w:top w:val="single" w:color="D9D8D2" w:sz="3"/>
              <w:left w:val="none" w:color="FFFFFF" w:sz="0"/>
              <w:bottom w:val="single" w:color="D9D8D2" w:sz="3"/>
              <w:right w:val="none" w:color="FFFFFF" w:sz="0"/>
            </w:tcBorders>
            <w:tcMar>
              <w:top w:type="dxa" w:w="70"/>
              <w:left w:type="dxa" w:w="100"/>
              <w:bottom w:type="dxa" w:w="70"/>
              <w:right w:type="dxa" w:w="100"/>
            </w:tcMar>
            <w:vAlign w:val="top"/>
          </w:tcPr>
          <w:p>
            <w:pPr>
              <w:spacing w:after="0" w:line="250"/>
            </w:pPr>
            <w:r>
              <w:rPr>
                <w:rFonts w:ascii="Arial" w:cs="Arial" w:eastAsia="Arial" w:hAnsi="Arial"/>
                <w:b/>
                <w:bCs/>
                <w:color w:val="00B398"/>
                <w:sz w:val="14"/>
                <w:szCs w:val="14"/>
              </w:rPr>
              <w:t xml:space="preserve">supervisory practice only</w:t>
            </w:r>
          </w:p>
        </w:tc>
        <w:tc>
          <w:tcPr>
            <w:tcW w:type="dxa" w:w="700"/>
            <w:tcBorders>
              <w:top w:val="single" w:color="D9D8D2" w:sz="3"/>
              <w:left w:val="none" w:color="FFFFFF" w:sz="0"/>
              <w:bottom w:val="single" w:color="D9D8D2" w:sz="3"/>
              <w:right w:val="none" w:color="FFFFFF" w:sz="0"/>
            </w:tcBorders>
            <w:tcMar>
              <w:top w:type="dxa" w:w="70"/>
              <w:left w:type="dxa" w:w="100"/>
              <w:bottom w:type="dxa" w:w="70"/>
              <w:right w:type="dxa" w:w="100"/>
            </w:tcMar>
            <w:vAlign w:val="top"/>
          </w:tcPr>
          <w:p>
            <w:pPr>
              <w:spacing w:after="0" w:line="250"/>
              <w:jc w:val="center"/>
            </w:pPr>
            <w:r>
              <w:rPr>
                <w:rFonts w:ascii="Arial" w:cs="Arial" w:eastAsia="Arial" w:hAnsi="Arial"/>
                <w:color w:val="898781"/>
                <w:sz w:val="14"/>
                <w:szCs w:val="14"/>
              </w:rPr>
              <w:t xml:space="preserve">medium</w:t>
            </w:r>
          </w:p>
        </w:tc>
      </w:tr>
      <w:tr>
        <w:tc>
          <w:tcPr>
            <w:tcW w:type="dxa" w:w="2100"/>
            <w:tcBorders>
              <w:top w:val="single" w:color="D9D8D2" w:sz="3"/>
              <w:left w:val="none" w:color="FFFFFF" w:sz="0"/>
              <w:bottom w:val="single" w:color="D9D8D2" w:sz="3"/>
              <w:right w:val="none" w:color="FFFFFF" w:sz="0"/>
            </w:tcBorders>
            <w:shd w:fill="EFEEE9" w:color="auto" w:val="clear"/>
            <w:tcMar>
              <w:top w:type="dxa" w:w="70"/>
              <w:left w:type="dxa" w:w="100"/>
              <w:bottom w:type="dxa" w:w="70"/>
              <w:right w:type="dxa" w:w="100"/>
            </w:tcMar>
            <w:vAlign w:val="top"/>
          </w:tcPr>
          <w:p>
            <w:pPr>
              <w:spacing w:after="0" w:line="250"/>
            </w:pPr>
            <w:r>
              <w:rPr>
                <w:rFonts w:ascii="Arial" w:cs="Arial" w:eastAsia="Arial" w:hAnsi="Arial"/>
                <w:b/>
                <w:bCs/>
                <w:color w:val="012169"/>
                <w:sz w:val="15"/>
                <w:szCs w:val="15"/>
              </w:rPr>
              <w:t xml:space="preserve">SRS 553.0 Investment Exposure Concentrations and Valuations (SRF 553.1, SRF 553.3)</w:t>
            </w:r>
          </w:p>
        </w:tc>
        <w:tc>
          <w:tcPr>
            <w:tcW w:type="dxa" w:w="2700"/>
            <w:tcBorders>
              <w:top w:val="single" w:color="D9D8D2" w:sz="3"/>
              <w:left w:val="none" w:color="FFFFFF" w:sz="0"/>
              <w:bottom w:val="single" w:color="D9D8D2" w:sz="3"/>
              <w:right w:val="none" w:color="FFFFFF" w:sz="0"/>
            </w:tcBorders>
            <w:shd w:fill="EFEEE9" w:color="auto" w:val="clear"/>
            <w:tcMar>
              <w:top w:type="dxa" w:w="70"/>
              <w:left w:type="dxa" w:w="100"/>
              <w:bottom w:type="dxa" w:w="70"/>
              <w:right w:type="dxa" w:w="100"/>
            </w:tcMar>
            <w:vAlign w:val="top"/>
          </w:tcPr>
          <w:p>
            <w:pPr>
              <w:spacing w:after="0" w:line="250"/>
            </w:pPr>
            <w:r>
              <w:rPr>
                <w:rFonts w:ascii="Arial" w:cs="Arial" w:eastAsia="Arial" w:hAnsi="Arial"/>
                <w:color w:val="52514E"/>
                <w:sz w:val="14"/>
                <w:szCs w:val="14"/>
              </w:rPr>
              <w:t xml:space="preserve">Quarterly reporting of out-of-cycle valuations for material unlisted investments and where there is material impact on investment options, plus an RSE valuation profile.</w:t>
            </w:r>
          </w:p>
        </w:tc>
        <w:tc>
          <w:tcPr>
            <w:tcW w:type="dxa" w:w="3106"/>
            <w:tcBorders>
              <w:top w:val="single" w:color="D9D8D2" w:sz="3"/>
              <w:left w:val="none" w:color="FFFFFF" w:sz="0"/>
              <w:bottom w:val="single" w:color="D9D8D2" w:sz="3"/>
              <w:right w:val="none" w:color="FFFFFF" w:sz="0"/>
            </w:tcBorders>
            <w:shd w:fill="EFEEE9" w:color="auto" w:val="clear"/>
            <w:tcMar>
              <w:top w:type="dxa" w:w="70"/>
              <w:left w:type="dxa" w:w="100"/>
              <w:bottom w:type="dxa" w:w="70"/>
              <w:right w:type="dxa" w:w="100"/>
            </w:tcMar>
            <w:vAlign w:val="top"/>
          </w:tcPr>
          <w:p>
            <w:pPr>
              <w:spacing w:after="0" w:line="250"/>
            </w:pPr>
            <w:r>
              <w:rPr>
                <w:rFonts w:ascii="Arial" w:cs="Arial" w:eastAsia="Arial" w:hAnsi="Arial"/>
                <w:color w:val="52514E"/>
                <w:sz w:val="14"/>
                <w:szCs w:val="14"/>
              </w:rPr>
              <w:t xml:space="preserve">None adverse - this is an asset rather than a gap, and it belongs alongside the SRS 611.0 shortfall so the picture is balanced. The collection commenced shortly before Division 296 began, giving APRA a clean pre-commencement baseline of out-of-cycle valuation frequency in precisely the asset class where any change in revaluation behaviour around 30 June 2027 would first appear. The opportunity is to use it deliberately as a comparison point rather than to collect anything further.</w:t>
            </w:r>
          </w:p>
        </w:tc>
        <w:tc>
          <w:tcPr>
            <w:tcW w:type="dxa" w:w="1300"/>
            <w:tcBorders>
              <w:top w:val="single" w:color="D9D8D2" w:sz="3"/>
              <w:left w:val="none" w:color="FFFFFF" w:sz="0"/>
              <w:bottom w:val="single" w:color="D9D8D2" w:sz="3"/>
              <w:right w:val="none" w:color="FFFFFF" w:sz="0"/>
            </w:tcBorders>
            <w:shd w:fill="EFEEE9" w:color="auto" w:val="clear"/>
            <w:tcMar>
              <w:top w:type="dxa" w:w="70"/>
              <w:left w:type="dxa" w:w="100"/>
              <w:bottom w:type="dxa" w:w="70"/>
              <w:right w:type="dxa" w:w="100"/>
            </w:tcMar>
            <w:vAlign w:val="top"/>
          </w:tcPr>
          <w:p>
            <w:pPr>
              <w:spacing w:after="0" w:line="250"/>
            </w:pPr>
            <w:r>
              <w:rPr>
                <w:rFonts w:ascii="Arial" w:cs="Arial" w:eastAsia="Arial" w:hAnsi="Arial"/>
                <w:b/>
                <w:bCs/>
                <w:color w:val="898781"/>
                <w:sz w:val="14"/>
                <w:szCs w:val="14"/>
              </w:rPr>
              <w:t xml:space="preserve">no change</w:t>
            </w:r>
          </w:p>
        </w:tc>
        <w:tc>
          <w:tcPr>
            <w:tcW w:type="dxa" w:w="700"/>
            <w:tcBorders>
              <w:top w:val="single" w:color="D9D8D2" w:sz="3"/>
              <w:left w:val="none" w:color="FFFFFF" w:sz="0"/>
              <w:bottom w:val="single" w:color="D9D8D2" w:sz="3"/>
              <w:right w:val="none" w:color="FFFFFF" w:sz="0"/>
            </w:tcBorders>
            <w:shd w:fill="EFEEE9" w:color="auto" w:val="clear"/>
            <w:tcMar>
              <w:top w:type="dxa" w:w="70"/>
              <w:left w:type="dxa" w:w="100"/>
              <w:bottom w:type="dxa" w:w="70"/>
              <w:right w:type="dxa" w:w="100"/>
            </w:tcMar>
            <w:vAlign w:val="top"/>
          </w:tcPr>
          <w:p>
            <w:pPr>
              <w:spacing w:after="0" w:line="250"/>
              <w:jc w:val="center"/>
            </w:pPr>
            <w:r>
              <w:rPr>
                <w:rFonts w:ascii="Arial" w:cs="Arial" w:eastAsia="Arial" w:hAnsi="Arial"/>
                <w:color w:val="898781"/>
                <w:sz w:val="14"/>
                <w:szCs w:val="14"/>
              </w:rPr>
              <w:t xml:space="preserve">high</w:t>
            </w:r>
          </w:p>
        </w:tc>
      </w:tr>
      <w:tr>
        <w:tc>
          <w:tcPr>
            <w:tcW w:type="dxa" w:w="2100"/>
            <w:tcBorders>
              <w:top w:val="single" w:color="D9D8D2" w:sz="3"/>
              <w:left w:val="none" w:color="FFFFFF" w:sz="0"/>
              <w:bottom w:val="single" w:color="D9D8D2" w:sz="3"/>
              <w:right w:val="none" w:color="FFFFFF" w:sz="0"/>
            </w:tcBorders>
            <w:tcMar>
              <w:top w:type="dxa" w:w="70"/>
              <w:left w:type="dxa" w:w="100"/>
              <w:bottom w:type="dxa" w:w="70"/>
              <w:right w:type="dxa" w:w="100"/>
            </w:tcMar>
            <w:vAlign w:val="top"/>
          </w:tcPr>
          <w:p>
            <w:pPr>
              <w:spacing w:after="0" w:line="250"/>
            </w:pPr>
            <w:r>
              <w:rPr>
                <w:rFonts w:ascii="Arial" w:cs="Arial" w:eastAsia="Arial" w:hAnsi="Arial"/>
                <w:b/>
                <w:bCs/>
                <w:color w:val="012169"/>
                <w:sz w:val="15"/>
                <w:szCs w:val="15"/>
              </w:rPr>
              <w:t xml:space="preserve">SPS 160 Defined Benefit Matters (paragraph numbers not independently verified)</w:t>
            </w:r>
          </w:p>
        </w:tc>
        <w:tc>
          <w:tcPr>
            <w:tcW w:type="dxa" w:w="2700"/>
            <w:tcBorders>
              <w:top w:val="single" w:color="D9D8D2" w:sz="3"/>
              <w:left w:val="none" w:color="FFFFFF" w:sz="0"/>
              <w:bottom w:val="single" w:color="D9D8D2" w:sz="3"/>
              <w:right w:val="none" w:color="FFFFFF" w:sz="0"/>
            </w:tcBorders>
            <w:tcMar>
              <w:top w:type="dxa" w:w="70"/>
              <w:left w:type="dxa" w:w="100"/>
              <w:bottom w:type="dxa" w:w="70"/>
              <w:right w:type="dxa" w:w="100"/>
            </w:tcMar>
            <w:vAlign w:val="top"/>
          </w:tcPr>
          <w:p>
            <w:pPr>
              <w:spacing w:after="0" w:line="250"/>
            </w:pPr>
            <w:r>
              <w:rPr>
                <w:rFonts w:ascii="Arial" w:cs="Arial" w:eastAsia="Arial" w:hAnsi="Arial"/>
                <w:color w:val="52514E"/>
                <w:sz w:val="14"/>
                <w:szCs w:val="14"/>
              </w:rPr>
              <w:t xml:space="preserve">Requires a Board-approved shortfall limit, periodic actuarial investigations, interim reporting to APRA where a fund moves into an unsatisfactory financial position, and a restoration plan within a set period.</w:t>
            </w:r>
          </w:p>
        </w:tc>
        <w:tc>
          <w:tcPr>
            <w:tcW w:type="dxa" w:w="3106"/>
            <w:tcBorders>
              <w:top w:val="single" w:color="D9D8D2" w:sz="3"/>
              <w:left w:val="none" w:color="FFFFFF" w:sz="0"/>
              <w:bottom w:val="single" w:color="D9D8D2" w:sz="3"/>
              <w:right w:val="none" w:color="FFFFFF" w:sz="0"/>
            </w:tcBorders>
            <w:tcMar>
              <w:top w:type="dxa" w:w="70"/>
              <w:left w:type="dxa" w:w="100"/>
              <w:bottom w:type="dxa" w:w="70"/>
              <w:right w:type="dxa" w:w="100"/>
            </w:tcMar>
            <w:vAlign w:val="top"/>
          </w:tcPr>
          <w:p>
            <w:pPr>
              <w:spacing w:after="0" w:line="250"/>
            </w:pPr>
            <w:r>
              <w:rPr>
                <w:rFonts w:ascii="Arial" w:cs="Arial" w:eastAsia="Arial" w:hAnsi="Arial"/>
                <w:color w:val="52514E"/>
                <w:sz w:val="14"/>
                <w:szCs w:val="14"/>
              </w:rPr>
              <w:t xml:space="preserve">Division 296 tax on a defined benefit interest is deferred to a debt account until the end benefit is paid, so there is no near-term call on fund solvency and the shortfall and restoration machinery are unaffected. No amendment is warranted. The stress is operational rather than prudential: an annual actuarial valuation of every member's entitlement using a method previously performed occasionally and largely by hand for family law purposes; a shorter response window than other funds; and a deferred liability that must be tracked for decades and survive mergers and administrator changes. For very small defined benefit plans the recurring actuarial cost may not be economic, which is a plausible trigger for wind-up and transfer and therefore a member-outcomes and supervisory-workload question. Note that the actuarial capability question should be analysed under CPS 230's service provider limb, not under SPS 231, which CPS 230 replaced from 1 July 2025.</w:t>
            </w:r>
          </w:p>
        </w:tc>
        <w:tc>
          <w:tcPr>
            <w:tcW w:type="dxa" w:w="1300"/>
            <w:tcBorders>
              <w:top w:val="single" w:color="D9D8D2" w:sz="3"/>
              <w:left w:val="none" w:color="FFFFFF" w:sz="0"/>
              <w:bottom w:val="single" w:color="D9D8D2" w:sz="3"/>
              <w:right w:val="none" w:color="FFFFFF" w:sz="0"/>
            </w:tcBorders>
            <w:tcMar>
              <w:top w:type="dxa" w:w="70"/>
              <w:left w:type="dxa" w:w="100"/>
              <w:bottom w:type="dxa" w:w="70"/>
              <w:right w:type="dxa" w:w="100"/>
            </w:tcMar>
            <w:vAlign w:val="top"/>
          </w:tcPr>
          <w:p>
            <w:pPr>
              <w:spacing w:after="0" w:line="250"/>
            </w:pPr>
            <w:r>
              <w:rPr>
                <w:rFonts w:ascii="Arial" w:cs="Arial" w:eastAsia="Arial" w:hAnsi="Arial"/>
                <w:b/>
                <w:bCs/>
                <w:color w:val="898781"/>
                <w:sz w:val="14"/>
                <w:szCs w:val="14"/>
              </w:rPr>
              <w:t xml:space="preserve">no change</w:t>
            </w:r>
          </w:p>
        </w:tc>
        <w:tc>
          <w:tcPr>
            <w:tcW w:type="dxa" w:w="700"/>
            <w:tcBorders>
              <w:top w:val="single" w:color="D9D8D2" w:sz="3"/>
              <w:left w:val="none" w:color="FFFFFF" w:sz="0"/>
              <w:bottom w:val="single" w:color="D9D8D2" w:sz="3"/>
              <w:right w:val="none" w:color="FFFFFF" w:sz="0"/>
            </w:tcBorders>
            <w:tcMar>
              <w:top w:type="dxa" w:w="70"/>
              <w:left w:type="dxa" w:w="100"/>
              <w:bottom w:type="dxa" w:w="70"/>
              <w:right w:type="dxa" w:w="100"/>
            </w:tcMar>
            <w:vAlign w:val="top"/>
          </w:tcPr>
          <w:p>
            <w:pPr>
              <w:spacing w:after="0" w:line="250"/>
              <w:jc w:val="center"/>
            </w:pPr>
            <w:r>
              <w:rPr>
                <w:rFonts w:ascii="Arial" w:cs="Arial" w:eastAsia="Arial" w:hAnsi="Arial"/>
                <w:color w:val="898781"/>
                <w:sz w:val="14"/>
                <w:szCs w:val="14"/>
              </w:rPr>
              <w:t xml:space="preserve">medium</w:t>
            </w:r>
          </w:p>
        </w:tc>
      </w:tr>
      <w:tr>
        <w:tc>
          <w:tcPr>
            <w:tcW w:type="dxa" w:w="2100"/>
            <w:tcBorders>
              <w:top w:val="single" w:color="D9D8D2" w:sz="3"/>
              <w:left w:val="none" w:color="FFFFFF" w:sz="0"/>
              <w:bottom w:val="single" w:color="D9D8D2" w:sz="3"/>
              <w:right w:val="none" w:color="FFFFFF" w:sz="0"/>
            </w:tcBorders>
            <w:shd w:fill="EFEEE9" w:color="auto" w:val="clear"/>
            <w:tcMar>
              <w:top w:type="dxa" w:w="70"/>
              <w:left w:type="dxa" w:w="100"/>
              <w:bottom w:type="dxa" w:w="70"/>
              <w:right w:type="dxa" w:w="100"/>
            </w:tcMar>
            <w:vAlign w:val="top"/>
          </w:tcPr>
          <w:p>
            <w:pPr>
              <w:spacing w:after="0" w:line="250"/>
            </w:pPr>
            <w:r>
              <w:rPr>
                <w:rFonts w:ascii="Arial" w:cs="Arial" w:eastAsia="Arial" w:hAnsi="Arial"/>
                <w:b/>
                <w:bCs/>
                <w:color w:val="012169"/>
                <w:sz w:val="15"/>
                <w:szCs w:val="15"/>
              </w:rPr>
              <w:t xml:space="preserve">CPS 234 Information Security</w:t>
            </w:r>
          </w:p>
        </w:tc>
        <w:tc>
          <w:tcPr>
            <w:tcW w:type="dxa" w:w="2700"/>
            <w:tcBorders>
              <w:top w:val="single" w:color="D9D8D2" w:sz="3"/>
              <w:left w:val="none" w:color="FFFFFF" w:sz="0"/>
              <w:bottom w:val="single" w:color="D9D8D2" w:sz="3"/>
              <w:right w:val="none" w:color="FFFFFF" w:sz="0"/>
            </w:tcBorders>
            <w:shd w:fill="EFEEE9" w:color="auto" w:val="clear"/>
            <w:tcMar>
              <w:top w:type="dxa" w:w="70"/>
              <w:left w:type="dxa" w:w="100"/>
              <w:bottom w:type="dxa" w:w="70"/>
              <w:right w:type="dxa" w:w="100"/>
            </w:tcMar>
            <w:vAlign w:val="top"/>
          </w:tcPr>
          <w:p>
            <w:pPr>
              <w:spacing w:after="0" w:line="250"/>
            </w:pPr>
            <w:r>
              <w:rPr>
                <w:rFonts w:ascii="Arial" w:cs="Arial" w:eastAsia="Arial" w:hAnsi="Arial"/>
                <w:color w:val="52514E"/>
                <w:sz w:val="14"/>
                <w:szCs w:val="14"/>
              </w:rPr>
              <w:t xml:space="preserve">Requires an information security capability commensurate with threats, assessment and control of information assets managed by third parties, systematic control testing, internal audit review, and notification to APRA within 72 hours of a material incident.</w:t>
            </w:r>
          </w:p>
        </w:tc>
        <w:tc>
          <w:tcPr>
            <w:tcW w:type="dxa" w:w="3106"/>
            <w:tcBorders>
              <w:top w:val="single" w:color="D9D8D2" w:sz="3"/>
              <w:left w:val="none" w:color="FFFFFF" w:sz="0"/>
              <w:bottom w:val="single" w:color="D9D8D2" w:sz="3"/>
              <w:right w:val="none" w:color="FFFFFF" w:sz="0"/>
            </w:tcBorders>
            <w:shd w:fill="EFEEE9" w:color="auto" w:val="clear"/>
            <w:tcMar>
              <w:top w:type="dxa" w:w="70"/>
              <w:left w:type="dxa" w:w="100"/>
              <w:bottom w:type="dxa" w:w="70"/>
              <w:right w:type="dxa" w:w="100"/>
            </w:tcMar>
            <w:vAlign w:val="top"/>
          </w:tcPr>
          <w:p>
            <w:pPr>
              <w:spacing w:after="0" w:line="250"/>
            </w:pPr>
            <w:r>
              <w:rPr>
                <w:rFonts w:ascii="Arial" w:cs="Arial" w:eastAsia="Arial" w:hAnsi="Arial"/>
                <w:color w:val="52514E"/>
                <w:sz w:val="14"/>
                <w:szCs w:val="14"/>
              </w:rPr>
              <w:t xml:space="preserve">The Division 296 dataset identifies, by name and by member, individuals with the largest superannuation balances in the country. It is assembled and transmitted largely by outsourced administrators and moves by bulk data exchange to the ATO. It is a high-value, third-party-managed information asset that did not exist before 1 July 2026 and may not yet appear in licensees' information asset registers or be classified at an appropriate sensitivity. The standard is adequate as drafted; the asset is new. Related and worth noting: the measure creates a foreseeable scam and misinformation vector aimed at the same cohort around the publicly known 30 June 2027 date, which is joint APRA, ASIC and ATO territory.</w:t>
            </w:r>
          </w:p>
        </w:tc>
        <w:tc>
          <w:tcPr>
            <w:tcW w:type="dxa" w:w="1300"/>
            <w:tcBorders>
              <w:top w:val="single" w:color="D9D8D2" w:sz="3"/>
              <w:left w:val="none" w:color="FFFFFF" w:sz="0"/>
              <w:bottom w:val="single" w:color="D9D8D2" w:sz="3"/>
              <w:right w:val="none" w:color="FFFFFF" w:sz="0"/>
            </w:tcBorders>
            <w:shd w:fill="EFEEE9" w:color="auto" w:val="clear"/>
            <w:tcMar>
              <w:top w:type="dxa" w:w="70"/>
              <w:left w:type="dxa" w:w="100"/>
              <w:bottom w:type="dxa" w:w="70"/>
              <w:right w:type="dxa" w:w="100"/>
            </w:tcMar>
            <w:vAlign w:val="top"/>
          </w:tcPr>
          <w:p>
            <w:pPr>
              <w:spacing w:after="0" w:line="250"/>
            </w:pPr>
            <w:r>
              <w:rPr>
                <w:rFonts w:ascii="Arial" w:cs="Arial" w:eastAsia="Arial" w:hAnsi="Arial"/>
                <w:b/>
                <w:bCs/>
                <w:color w:val="00B398"/>
                <w:sz w:val="14"/>
                <w:szCs w:val="14"/>
              </w:rPr>
              <w:t xml:space="preserve">supervisory practice only</w:t>
            </w:r>
          </w:p>
        </w:tc>
        <w:tc>
          <w:tcPr>
            <w:tcW w:type="dxa" w:w="700"/>
            <w:tcBorders>
              <w:top w:val="single" w:color="D9D8D2" w:sz="3"/>
              <w:left w:val="none" w:color="FFFFFF" w:sz="0"/>
              <w:bottom w:val="single" w:color="D9D8D2" w:sz="3"/>
              <w:right w:val="none" w:color="FFFFFF" w:sz="0"/>
            </w:tcBorders>
            <w:shd w:fill="EFEEE9" w:color="auto" w:val="clear"/>
            <w:tcMar>
              <w:top w:type="dxa" w:w="70"/>
              <w:left w:type="dxa" w:w="100"/>
              <w:bottom w:type="dxa" w:w="70"/>
              <w:right w:type="dxa" w:w="100"/>
            </w:tcMar>
            <w:vAlign w:val="top"/>
          </w:tcPr>
          <w:p>
            <w:pPr>
              <w:spacing w:after="0" w:line="250"/>
              <w:jc w:val="center"/>
            </w:pPr>
            <w:r>
              <w:rPr>
                <w:rFonts w:ascii="Arial" w:cs="Arial" w:eastAsia="Arial" w:hAnsi="Arial"/>
                <w:color w:val="898781"/>
                <w:sz w:val="14"/>
                <w:szCs w:val="14"/>
              </w:rPr>
              <w:t xml:space="preserve">medium</w:t>
            </w:r>
          </w:p>
        </w:tc>
      </w:tr>
      <w:tr>
        <w:tc>
          <w:tcPr>
            <w:tcW w:type="dxa" w:w="2100"/>
            <w:tcBorders>
              <w:top w:val="single" w:color="D9D8D2" w:sz="3"/>
              <w:left w:val="none" w:color="FFFFFF" w:sz="0"/>
              <w:bottom w:val="single" w:color="D9D8D2" w:sz="3"/>
              <w:right w:val="none" w:color="FFFFFF" w:sz="0"/>
            </w:tcBorders>
            <w:tcMar>
              <w:top w:type="dxa" w:w="70"/>
              <w:left w:type="dxa" w:w="100"/>
              <w:bottom w:type="dxa" w:w="70"/>
              <w:right w:type="dxa" w:w="100"/>
            </w:tcMar>
            <w:vAlign w:val="top"/>
          </w:tcPr>
          <w:p>
            <w:pPr>
              <w:spacing w:after="0" w:line="250"/>
            </w:pPr>
            <w:r>
              <w:rPr>
                <w:rFonts w:ascii="Arial" w:cs="Arial" w:eastAsia="Arial" w:hAnsi="Arial"/>
                <w:b/>
                <w:bCs/>
                <w:color w:val="012169"/>
                <w:sz w:val="15"/>
                <w:szCs w:val="15"/>
              </w:rPr>
              <w:t xml:space="preserve">CPS 190 Recovery and Exit Planning</w:t>
            </w:r>
          </w:p>
        </w:tc>
        <w:tc>
          <w:tcPr>
            <w:tcW w:type="dxa" w:w="2700"/>
            <w:tcBorders>
              <w:top w:val="single" w:color="D9D8D2" w:sz="3"/>
              <w:left w:val="none" w:color="FFFFFF" w:sz="0"/>
              <w:bottom w:val="single" w:color="D9D8D2" w:sz="3"/>
              <w:right w:val="none" w:color="FFFFFF" w:sz="0"/>
            </w:tcBorders>
            <w:tcMar>
              <w:top w:type="dxa" w:w="70"/>
              <w:left w:type="dxa" w:w="100"/>
              <w:bottom w:type="dxa" w:w="70"/>
              <w:right w:type="dxa" w:w="100"/>
            </w:tcMar>
            <w:vAlign w:val="top"/>
          </w:tcPr>
          <w:p>
            <w:pPr>
              <w:spacing w:after="0" w:line="250"/>
            </w:pPr>
            <w:r>
              <w:rPr>
                <w:rFonts w:ascii="Arial" w:cs="Arial" w:eastAsia="Arial" w:hAnsi="Arial"/>
                <w:color w:val="52514E"/>
                <w:sz w:val="14"/>
                <w:szCs w:val="14"/>
              </w:rPr>
              <w:t xml:space="preserve">Requires a recovery and exit plan appropriate to the entity's size, business mix and complexity, a trigger framework with early warning indicators, and credible recovery actions.</w:t>
            </w:r>
          </w:p>
        </w:tc>
        <w:tc>
          <w:tcPr>
            <w:tcW w:type="dxa" w:w="3106"/>
            <w:tcBorders>
              <w:top w:val="single" w:color="D9D8D2" w:sz="3"/>
              <w:left w:val="none" w:color="FFFFFF" w:sz="0"/>
              <w:bottom w:val="single" w:color="D9D8D2" w:sz="3"/>
              <w:right w:val="none" w:color="FFFFFF" w:sz="0"/>
            </w:tcBorders>
            <w:tcMar>
              <w:top w:type="dxa" w:w="70"/>
              <w:left w:type="dxa" w:w="100"/>
              <w:bottom w:type="dxa" w:w="70"/>
              <w:right w:type="dxa" w:w="100"/>
            </w:tcMar>
            <w:vAlign w:val="top"/>
          </w:tcPr>
          <w:p>
            <w:pPr>
              <w:spacing w:after="0" w:line="250"/>
            </w:pPr>
            <w:r>
              <w:rPr>
                <w:rFonts w:ascii="Arial" w:cs="Arial" w:eastAsia="Arial" w:hAnsi="Arial"/>
                <w:color w:val="52514E"/>
                <w:sz w:val="14"/>
                <w:szCs w:val="14"/>
              </w:rPr>
              <w:t xml:space="preserve">Sustained loss of the highest-balance cohort reduces funds under management and average account balance, pressuring the cost base. The mechanism is sharper than generic scale erosion: where a fund charges a percentage-based administration fee with a dollar cap, members above the cap pay the maximum fee while consuming ordinary servicing cost, so they are net contributors to fixed costs and their departure removes revenue disproportionately to headcount. Most discussion assumes large funds, but the tail risk sits with small licensees whose membership skews high-balance, where losing a few hundred large accounts is a scale event. This is supervisable through the existing trigger framework without amendment.</w:t>
            </w:r>
          </w:p>
        </w:tc>
        <w:tc>
          <w:tcPr>
            <w:tcW w:type="dxa" w:w="1300"/>
            <w:tcBorders>
              <w:top w:val="single" w:color="D9D8D2" w:sz="3"/>
              <w:left w:val="none" w:color="FFFFFF" w:sz="0"/>
              <w:bottom w:val="single" w:color="D9D8D2" w:sz="3"/>
              <w:right w:val="none" w:color="FFFFFF" w:sz="0"/>
            </w:tcBorders>
            <w:tcMar>
              <w:top w:type="dxa" w:w="70"/>
              <w:left w:type="dxa" w:w="100"/>
              <w:bottom w:type="dxa" w:w="70"/>
              <w:right w:type="dxa" w:w="100"/>
            </w:tcMar>
            <w:vAlign w:val="top"/>
          </w:tcPr>
          <w:p>
            <w:pPr>
              <w:spacing w:after="0" w:line="250"/>
            </w:pPr>
            <w:r>
              <w:rPr>
                <w:rFonts w:ascii="Arial" w:cs="Arial" w:eastAsia="Arial" w:hAnsi="Arial"/>
                <w:b/>
                <w:bCs/>
                <w:color w:val="00B398"/>
                <w:sz w:val="14"/>
                <w:szCs w:val="14"/>
              </w:rPr>
              <w:t xml:space="preserve">supervisory practice only</w:t>
            </w:r>
          </w:p>
        </w:tc>
        <w:tc>
          <w:tcPr>
            <w:tcW w:type="dxa" w:w="700"/>
            <w:tcBorders>
              <w:top w:val="single" w:color="D9D8D2" w:sz="3"/>
              <w:left w:val="none" w:color="FFFFFF" w:sz="0"/>
              <w:bottom w:val="single" w:color="D9D8D2" w:sz="3"/>
              <w:right w:val="none" w:color="FFFFFF" w:sz="0"/>
            </w:tcBorders>
            <w:tcMar>
              <w:top w:type="dxa" w:w="70"/>
              <w:left w:type="dxa" w:w="100"/>
              <w:bottom w:type="dxa" w:w="70"/>
              <w:right w:type="dxa" w:w="100"/>
            </w:tcMar>
            <w:vAlign w:val="top"/>
          </w:tcPr>
          <w:p>
            <w:pPr>
              <w:spacing w:after="0" w:line="250"/>
              <w:jc w:val="center"/>
            </w:pPr>
            <w:r>
              <w:rPr>
                <w:rFonts w:ascii="Arial" w:cs="Arial" w:eastAsia="Arial" w:hAnsi="Arial"/>
                <w:color w:val="898781"/>
                <w:sz w:val="14"/>
                <w:szCs w:val="14"/>
              </w:rPr>
              <w:t xml:space="preserve">medium</w:t>
            </w:r>
          </w:p>
        </w:tc>
      </w:tr>
      <w:tr>
        <w:tc>
          <w:tcPr>
            <w:tcW w:type="dxa" w:w="2100"/>
            <w:tcBorders>
              <w:top w:val="single" w:color="D9D8D2" w:sz="3"/>
              <w:left w:val="none" w:color="FFFFFF" w:sz="0"/>
              <w:bottom w:val="single" w:color="D9D8D2" w:sz="3"/>
              <w:right w:val="none" w:color="FFFFFF" w:sz="0"/>
            </w:tcBorders>
            <w:shd w:fill="EFEEE9" w:color="auto" w:val="clear"/>
            <w:tcMar>
              <w:top w:type="dxa" w:w="70"/>
              <w:left w:type="dxa" w:w="100"/>
              <w:bottom w:type="dxa" w:w="70"/>
              <w:right w:type="dxa" w:w="100"/>
            </w:tcMar>
            <w:vAlign w:val="top"/>
          </w:tcPr>
          <w:p>
            <w:pPr>
              <w:spacing w:after="0" w:line="250"/>
            </w:pPr>
            <w:r>
              <w:rPr>
                <w:rFonts w:ascii="Arial" w:cs="Arial" w:eastAsia="Arial" w:hAnsi="Arial"/>
                <w:b/>
                <w:bCs/>
                <w:color w:val="012169"/>
                <w:sz w:val="15"/>
                <w:szCs w:val="15"/>
              </w:rPr>
              <w:t xml:space="preserve">SPS 250 Insurance in Superannuation</w:t>
            </w:r>
          </w:p>
        </w:tc>
        <w:tc>
          <w:tcPr>
            <w:tcW w:type="dxa" w:w="2700"/>
            <w:tcBorders>
              <w:top w:val="single" w:color="D9D8D2" w:sz="3"/>
              <w:left w:val="none" w:color="FFFFFF" w:sz="0"/>
              <w:bottom w:val="single" w:color="D9D8D2" w:sz="3"/>
              <w:right w:val="none" w:color="FFFFFF" w:sz="0"/>
            </w:tcBorders>
            <w:shd w:fill="EFEEE9" w:color="auto" w:val="clear"/>
            <w:tcMar>
              <w:top w:type="dxa" w:w="70"/>
              <w:left w:type="dxa" w:w="100"/>
              <w:bottom w:type="dxa" w:w="70"/>
              <w:right w:type="dxa" w:w="100"/>
            </w:tcMar>
            <w:vAlign w:val="top"/>
          </w:tcPr>
          <w:p>
            <w:pPr>
              <w:spacing w:after="0" w:line="250"/>
            </w:pPr>
            <w:r>
              <w:rPr>
                <w:rFonts w:ascii="Arial" w:cs="Arial" w:eastAsia="Arial" w:hAnsi="Arial"/>
                <w:color w:val="52514E"/>
                <w:sz w:val="14"/>
                <w:szCs w:val="14"/>
              </w:rPr>
              <w:t xml:space="preserve">Requires an insurance management framework and strategy, premium cost recovery arrangements, and demonstration to APRA that rules for attributing status to a beneficiary are fair and reasonable.</w:t>
            </w:r>
          </w:p>
        </w:tc>
        <w:tc>
          <w:tcPr>
            <w:tcW w:type="dxa" w:w="3106"/>
            <w:tcBorders>
              <w:top w:val="single" w:color="D9D8D2" w:sz="3"/>
              <w:left w:val="none" w:color="FFFFFF" w:sz="0"/>
              <w:bottom w:val="single" w:color="D9D8D2" w:sz="3"/>
              <w:right w:val="none" w:color="FFFFFF" w:sz="0"/>
            </w:tcBorders>
            <w:shd w:fill="EFEEE9" w:color="auto" w:val="clear"/>
            <w:tcMar>
              <w:top w:type="dxa" w:w="70"/>
              <w:left w:type="dxa" w:w="100"/>
              <w:bottom w:type="dxa" w:w="70"/>
              <w:right w:type="dxa" w:w="100"/>
            </w:tcMar>
            <w:vAlign w:val="top"/>
          </w:tcPr>
          <w:p>
            <w:pPr>
              <w:spacing w:after="0" w:line="250"/>
            </w:pPr>
            <w:r>
              <w:rPr>
                <w:rFonts w:ascii="Arial" w:cs="Arial" w:eastAsia="Arial" w:hAnsi="Arial"/>
                <w:color w:val="52514E"/>
                <w:sz w:val="14"/>
                <w:szCs w:val="14"/>
              </w:rPr>
              <w:t xml:space="preserve">Tested and cleared. Premium erosion is immaterial for members above the thresholds. Two second-order effects exist - a member who withdraws to reduce a balance may fall toward levels where cover lapses, and death benefit insurance proceeds can temporarily inflate a balance - but neither warrants supervisory reprioritisation. Recorded so that the framework review can be shown to be complete: naming what is not affected is as useful to the meeting as naming what is.</w:t>
            </w:r>
          </w:p>
        </w:tc>
        <w:tc>
          <w:tcPr>
            <w:tcW w:type="dxa" w:w="1300"/>
            <w:tcBorders>
              <w:top w:val="single" w:color="D9D8D2" w:sz="3"/>
              <w:left w:val="none" w:color="FFFFFF" w:sz="0"/>
              <w:bottom w:val="single" w:color="D9D8D2" w:sz="3"/>
              <w:right w:val="none" w:color="FFFFFF" w:sz="0"/>
            </w:tcBorders>
            <w:shd w:fill="EFEEE9" w:color="auto" w:val="clear"/>
            <w:tcMar>
              <w:top w:type="dxa" w:w="70"/>
              <w:left w:type="dxa" w:w="100"/>
              <w:bottom w:type="dxa" w:w="70"/>
              <w:right w:type="dxa" w:w="100"/>
            </w:tcMar>
            <w:vAlign w:val="top"/>
          </w:tcPr>
          <w:p>
            <w:pPr>
              <w:spacing w:after="0" w:line="250"/>
            </w:pPr>
            <w:r>
              <w:rPr>
                <w:rFonts w:ascii="Arial" w:cs="Arial" w:eastAsia="Arial" w:hAnsi="Arial"/>
                <w:b/>
                <w:bCs/>
                <w:color w:val="898781"/>
                <w:sz w:val="14"/>
                <w:szCs w:val="14"/>
              </w:rPr>
              <w:t xml:space="preserve">no change</w:t>
            </w:r>
          </w:p>
        </w:tc>
        <w:tc>
          <w:tcPr>
            <w:tcW w:type="dxa" w:w="700"/>
            <w:tcBorders>
              <w:top w:val="single" w:color="D9D8D2" w:sz="3"/>
              <w:left w:val="none" w:color="FFFFFF" w:sz="0"/>
              <w:bottom w:val="single" w:color="D9D8D2" w:sz="3"/>
              <w:right w:val="none" w:color="FFFFFF" w:sz="0"/>
            </w:tcBorders>
            <w:shd w:fill="EFEEE9" w:color="auto" w:val="clear"/>
            <w:tcMar>
              <w:top w:type="dxa" w:w="70"/>
              <w:left w:type="dxa" w:w="100"/>
              <w:bottom w:type="dxa" w:w="70"/>
              <w:right w:type="dxa" w:w="100"/>
            </w:tcMar>
            <w:vAlign w:val="top"/>
          </w:tcPr>
          <w:p>
            <w:pPr>
              <w:spacing w:after="0" w:line="250"/>
              <w:jc w:val="center"/>
            </w:pPr>
            <w:r>
              <w:rPr>
                <w:rFonts w:ascii="Arial" w:cs="Arial" w:eastAsia="Arial" w:hAnsi="Arial"/>
                <w:color w:val="898781"/>
                <w:sz w:val="14"/>
                <w:szCs w:val="14"/>
              </w:rPr>
              <w:t xml:space="preserve">low</w:t>
            </w:r>
          </w:p>
        </w:tc>
      </w:tr>
      <w:tr>
        <w:tc>
          <w:tcPr>
            <w:tcW w:type="dxa" w:w="2100"/>
            <w:tcBorders>
              <w:top w:val="single" w:color="D9D8D2" w:sz="3"/>
              <w:left w:val="none" w:color="FFFFFF" w:sz="0"/>
              <w:bottom w:val="single" w:color="D9D8D2" w:sz="3"/>
              <w:right w:val="none" w:color="FFFFFF" w:sz="0"/>
            </w:tcBorders>
            <w:tcMar>
              <w:top w:type="dxa" w:w="70"/>
              <w:left w:type="dxa" w:w="100"/>
              <w:bottom w:type="dxa" w:w="70"/>
              <w:right w:type="dxa" w:w="100"/>
            </w:tcMar>
            <w:vAlign w:val="top"/>
          </w:tcPr>
          <w:p>
            <w:pPr>
              <w:spacing w:after="0" w:line="250"/>
            </w:pPr>
            <w:r>
              <w:rPr>
                <w:rFonts w:ascii="Arial" w:cs="Arial" w:eastAsia="Arial" w:hAnsi="Arial"/>
                <w:b/>
                <w:bCs/>
                <w:color w:val="012169"/>
                <w:sz w:val="15"/>
                <w:szCs w:val="15"/>
              </w:rPr>
              <w:t xml:space="preserve">SIS Act s52(2) covenants - best financial interests and fair and equitable treatment</w:t>
            </w:r>
          </w:p>
        </w:tc>
        <w:tc>
          <w:tcPr>
            <w:tcW w:type="dxa" w:w="2700"/>
            <w:tcBorders>
              <w:top w:val="single" w:color="D9D8D2" w:sz="3"/>
              <w:left w:val="none" w:color="FFFFFF" w:sz="0"/>
              <w:bottom w:val="single" w:color="D9D8D2" w:sz="3"/>
              <w:right w:val="none" w:color="FFFFFF" w:sz="0"/>
            </w:tcBorders>
            <w:tcMar>
              <w:top w:type="dxa" w:w="70"/>
              <w:left w:type="dxa" w:w="100"/>
              <w:bottom w:type="dxa" w:w="70"/>
              <w:right w:type="dxa" w:w="100"/>
            </w:tcMar>
            <w:vAlign w:val="top"/>
          </w:tcPr>
          <w:p>
            <w:pPr>
              <w:spacing w:after="0" w:line="250"/>
            </w:pPr>
            <w:r>
              <w:rPr>
                <w:rFonts w:ascii="Arial" w:cs="Arial" w:eastAsia="Arial" w:hAnsi="Arial"/>
                <w:color w:val="52514E"/>
                <w:sz w:val="14"/>
                <w:szCs w:val="14"/>
              </w:rPr>
              <w:t xml:space="preserve">Trustees must perform their duties and exercise their powers in the best financial interests of beneficiaries, and must deal with members fairly as between members and classes of member.</w:t>
            </w:r>
          </w:p>
        </w:tc>
        <w:tc>
          <w:tcPr>
            <w:tcW w:type="dxa" w:w="3106"/>
            <w:tcBorders>
              <w:top w:val="single" w:color="D9D8D2" w:sz="3"/>
              <w:left w:val="none" w:color="FFFFFF" w:sz="0"/>
              <w:bottom w:val="single" w:color="D9D8D2" w:sz="3"/>
              <w:right w:val="none" w:color="FFFFFF" w:sz="0"/>
            </w:tcBorders>
            <w:tcMar>
              <w:top w:type="dxa" w:w="70"/>
              <w:left w:type="dxa" w:w="100"/>
              <w:bottom w:type="dxa" w:w="70"/>
              <w:right w:type="dxa" w:w="100"/>
            </w:tcMar>
            <w:vAlign w:val="top"/>
          </w:tcPr>
          <w:p>
            <w:pPr>
              <w:spacing w:after="0" w:line="250"/>
            </w:pPr>
            <w:r>
              <w:rPr>
                <w:rFonts w:ascii="Arial" w:cs="Arial" w:eastAsia="Arial" w:hAnsi="Arial"/>
                <w:color w:val="52514E"/>
                <w:sz w:val="14"/>
                <w:szCs w:val="14"/>
              </w:rPr>
              <w:t xml:space="preserve">The covenants are a real but blunt constraint on the attribution judgement. Different defensible methods redistribute between members rather than making everyone better off, so 'best financial interests' and fair treatment do not by themselves select a single method. If APRA wants consistency it must give guidance or accept divergence. One caution on framing: a trustee cannot breach the equitable treatment covenant merely by applying a differential basis that Parliament has prescribed - for example the different treatment of defined benefit and accumulation interests. That is a communications challenge for trustees, not a trustee equity failing. The covenant bites where the trustee actually has discretion, which is the attribution method itself.</w:t>
            </w:r>
          </w:p>
        </w:tc>
        <w:tc>
          <w:tcPr>
            <w:tcW w:type="dxa" w:w="1300"/>
            <w:tcBorders>
              <w:top w:val="single" w:color="D9D8D2" w:sz="3"/>
              <w:left w:val="none" w:color="FFFFFF" w:sz="0"/>
              <w:bottom w:val="single" w:color="D9D8D2" w:sz="3"/>
              <w:right w:val="none" w:color="FFFFFF" w:sz="0"/>
            </w:tcBorders>
            <w:tcMar>
              <w:top w:type="dxa" w:w="70"/>
              <w:left w:type="dxa" w:w="100"/>
              <w:bottom w:type="dxa" w:w="70"/>
              <w:right w:type="dxa" w:w="100"/>
            </w:tcMar>
            <w:vAlign w:val="top"/>
          </w:tcPr>
          <w:p>
            <w:pPr>
              <w:spacing w:after="0" w:line="250"/>
            </w:pPr>
            <w:r>
              <w:rPr>
                <w:rFonts w:ascii="Arial" w:cs="Arial" w:eastAsia="Arial" w:hAnsi="Arial"/>
                <w:b/>
                <w:bCs/>
                <w:color w:val="898781"/>
                <w:sz w:val="14"/>
                <w:szCs w:val="14"/>
              </w:rPr>
              <w:t xml:space="preserve">no change</w:t>
            </w:r>
          </w:p>
        </w:tc>
        <w:tc>
          <w:tcPr>
            <w:tcW w:type="dxa" w:w="700"/>
            <w:tcBorders>
              <w:top w:val="single" w:color="D9D8D2" w:sz="3"/>
              <w:left w:val="none" w:color="FFFFFF" w:sz="0"/>
              <w:bottom w:val="single" w:color="D9D8D2" w:sz="3"/>
              <w:right w:val="none" w:color="FFFFFF" w:sz="0"/>
            </w:tcBorders>
            <w:tcMar>
              <w:top w:type="dxa" w:w="70"/>
              <w:left w:type="dxa" w:w="100"/>
              <w:bottom w:type="dxa" w:w="70"/>
              <w:right w:type="dxa" w:w="100"/>
            </w:tcMar>
            <w:vAlign w:val="top"/>
          </w:tcPr>
          <w:p>
            <w:pPr>
              <w:spacing w:after="0" w:line="250"/>
              <w:jc w:val="center"/>
            </w:pPr>
            <w:r>
              <w:rPr>
                <w:rFonts w:ascii="Arial" w:cs="Arial" w:eastAsia="Arial" w:hAnsi="Arial"/>
                <w:color w:val="898781"/>
                <w:sz w:val="14"/>
                <w:szCs w:val="14"/>
              </w:rPr>
              <w:t xml:space="preserve">medium</w:t>
            </w:r>
          </w:p>
        </w:tc>
      </w:tr>
      <w:tr>
        <w:tc>
          <w:tcPr>
            <w:tcW w:type="dxa" w:w="2100"/>
            <w:tcBorders>
              <w:top w:val="single" w:color="D9D8D2" w:sz="3"/>
              <w:left w:val="none" w:color="FFFFFF" w:sz="0"/>
              <w:bottom w:val="single" w:color="D9D8D2" w:sz="3"/>
              <w:right w:val="none" w:color="FFFFFF" w:sz="0"/>
            </w:tcBorders>
            <w:shd w:fill="EFEEE9" w:color="auto" w:val="clear"/>
            <w:tcMar>
              <w:top w:type="dxa" w:w="70"/>
              <w:left w:type="dxa" w:w="100"/>
              <w:bottom w:type="dxa" w:w="70"/>
              <w:right w:type="dxa" w:w="100"/>
            </w:tcMar>
            <w:vAlign w:val="top"/>
          </w:tcPr>
          <w:p>
            <w:pPr>
              <w:spacing w:after="0" w:line="250"/>
            </w:pPr>
            <w:r>
              <w:rPr>
                <w:rFonts w:ascii="Arial" w:cs="Arial" w:eastAsia="Arial" w:hAnsi="Arial"/>
                <w:b/>
                <w:bCs/>
                <w:color w:val="012169"/>
                <w:sz w:val="15"/>
                <w:szCs w:val="15"/>
              </w:rPr>
              <w:t xml:space="preserve">SIS Act s52(6) investment strategy covenant</w:t>
            </w:r>
          </w:p>
        </w:tc>
        <w:tc>
          <w:tcPr>
            <w:tcW w:type="dxa" w:w="2700"/>
            <w:tcBorders>
              <w:top w:val="single" w:color="D9D8D2" w:sz="3"/>
              <w:left w:val="none" w:color="FFFFFF" w:sz="0"/>
              <w:bottom w:val="single" w:color="D9D8D2" w:sz="3"/>
              <w:right w:val="none" w:color="FFFFFF" w:sz="0"/>
            </w:tcBorders>
            <w:shd w:fill="EFEEE9" w:color="auto" w:val="clear"/>
            <w:tcMar>
              <w:top w:type="dxa" w:w="70"/>
              <w:left w:type="dxa" w:w="100"/>
              <w:bottom w:type="dxa" w:w="70"/>
              <w:right w:type="dxa" w:w="100"/>
            </w:tcMar>
            <w:vAlign w:val="top"/>
          </w:tcPr>
          <w:p>
            <w:pPr>
              <w:spacing w:after="0" w:line="250"/>
            </w:pPr>
            <w:r>
              <w:rPr>
                <w:rFonts w:ascii="Arial" w:cs="Arial" w:eastAsia="Arial" w:hAnsi="Arial"/>
                <w:color w:val="52514E"/>
                <w:sz w:val="14"/>
                <w:szCs w:val="14"/>
              </w:rPr>
              <w:t xml:space="preserve">Requires the trustee to formulate, review regularly and give effect to an investment strategy having regard to the whole of the circumstances of the entity, including the liquidity of investments having regard to expected cash flow requirements.</w:t>
            </w:r>
          </w:p>
        </w:tc>
        <w:tc>
          <w:tcPr>
            <w:tcW w:type="dxa" w:w="3106"/>
            <w:tcBorders>
              <w:top w:val="single" w:color="D9D8D2" w:sz="3"/>
              <w:left w:val="none" w:color="FFFFFF" w:sz="0"/>
              <w:bottom w:val="single" w:color="D9D8D2" w:sz="3"/>
              <w:right w:val="none" w:color="FFFFFF" w:sz="0"/>
            </w:tcBorders>
            <w:shd w:fill="EFEEE9" w:color="auto" w:val="clear"/>
            <w:tcMar>
              <w:top w:type="dxa" w:w="70"/>
              <w:left w:type="dxa" w:w="100"/>
              <w:bottom w:type="dxa" w:w="70"/>
              <w:right w:type="dxa" w:w="100"/>
            </w:tcMar>
            <w:vAlign w:val="top"/>
          </w:tcPr>
          <w:p>
            <w:pPr>
              <w:spacing w:after="0" w:line="250"/>
            </w:pPr>
            <w:r>
              <w:rPr>
                <w:rFonts w:ascii="Arial" w:cs="Arial" w:eastAsia="Arial" w:hAnsi="Arial"/>
                <w:color w:val="52514E"/>
                <w:sz w:val="14"/>
                <w:szCs w:val="14"/>
              </w:rPr>
              <w:t xml:space="preserve">Once assessments and release authorities begin, those payments become an expected cash flow requirement, so a strategy review that omits them would be incomplete. The covenant and the SPS 530 liquidity management plan point the same way, so APRA is not stretching either. Timing is favourable: first outflows follow the first assessments, giving two full investment strategy review cycles to prepare.</w:t>
            </w:r>
          </w:p>
        </w:tc>
        <w:tc>
          <w:tcPr>
            <w:tcW w:type="dxa" w:w="1300"/>
            <w:tcBorders>
              <w:top w:val="single" w:color="D9D8D2" w:sz="3"/>
              <w:left w:val="none" w:color="FFFFFF" w:sz="0"/>
              <w:bottom w:val="single" w:color="D9D8D2" w:sz="3"/>
              <w:right w:val="none" w:color="FFFFFF" w:sz="0"/>
            </w:tcBorders>
            <w:shd w:fill="EFEEE9" w:color="auto" w:val="clear"/>
            <w:tcMar>
              <w:top w:type="dxa" w:w="70"/>
              <w:left w:type="dxa" w:w="100"/>
              <w:bottom w:type="dxa" w:w="70"/>
              <w:right w:type="dxa" w:w="100"/>
            </w:tcMar>
            <w:vAlign w:val="top"/>
          </w:tcPr>
          <w:p>
            <w:pPr>
              <w:spacing w:after="0" w:line="250"/>
            </w:pPr>
            <w:r>
              <w:rPr>
                <w:rFonts w:ascii="Arial" w:cs="Arial" w:eastAsia="Arial" w:hAnsi="Arial"/>
                <w:b/>
                <w:bCs/>
                <w:color w:val="898781"/>
                <w:sz w:val="14"/>
                <w:szCs w:val="14"/>
              </w:rPr>
              <w:t xml:space="preserve">no change</w:t>
            </w:r>
          </w:p>
        </w:tc>
        <w:tc>
          <w:tcPr>
            <w:tcW w:type="dxa" w:w="700"/>
            <w:tcBorders>
              <w:top w:val="single" w:color="D9D8D2" w:sz="3"/>
              <w:left w:val="none" w:color="FFFFFF" w:sz="0"/>
              <w:bottom w:val="single" w:color="D9D8D2" w:sz="3"/>
              <w:right w:val="none" w:color="FFFFFF" w:sz="0"/>
            </w:tcBorders>
            <w:shd w:fill="EFEEE9" w:color="auto" w:val="clear"/>
            <w:tcMar>
              <w:top w:type="dxa" w:w="70"/>
              <w:left w:type="dxa" w:w="100"/>
              <w:bottom w:type="dxa" w:w="70"/>
              <w:right w:type="dxa" w:w="100"/>
            </w:tcMar>
            <w:vAlign w:val="top"/>
          </w:tcPr>
          <w:p>
            <w:pPr>
              <w:spacing w:after="0" w:line="250"/>
              <w:jc w:val="center"/>
            </w:pPr>
            <w:r>
              <w:rPr>
                <w:rFonts w:ascii="Arial" w:cs="Arial" w:eastAsia="Arial" w:hAnsi="Arial"/>
                <w:color w:val="898781"/>
                <w:sz w:val="14"/>
                <w:szCs w:val="14"/>
              </w:rPr>
              <w:t xml:space="preserve">medium</w:t>
            </w:r>
          </w:p>
        </w:tc>
      </w:tr>
      <w:tr>
        <w:tc>
          <w:tcPr>
            <w:tcW w:type="dxa" w:w="2100"/>
            <w:tcBorders>
              <w:top w:val="single" w:color="D9D8D2" w:sz="3"/>
              <w:left w:val="none" w:color="FFFFFF" w:sz="0"/>
              <w:bottom w:val="single" w:color="D9D8D2" w:sz="3"/>
              <w:right w:val="none" w:color="FFFFFF" w:sz="0"/>
            </w:tcBorders>
            <w:tcMar>
              <w:top w:type="dxa" w:w="70"/>
              <w:left w:type="dxa" w:w="100"/>
              <w:bottom w:type="dxa" w:w="70"/>
              <w:right w:type="dxa" w:w="100"/>
            </w:tcMar>
            <w:vAlign w:val="top"/>
          </w:tcPr>
          <w:p>
            <w:pPr>
              <w:spacing w:after="0" w:line="250"/>
            </w:pPr>
            <w:r>
              <w:rPr>
                <w:rFonts w:ascii="Arial" w:cs="Arial" w:eastAsia="Arial" w:hAnsi="Arial"/>
                <w:b/>
                <w:bCs/>
                <w:color w:val="012169"/>
                <w:sz w:val="15"/>
                <w:szCs w:val="15"/>
              </w:rPr>
              <w:t xml:space="preserve">SIS Act s52(8A) and s52AA retirement income covenant; SPS 515 retirement income strategy requirement</w:t>
            </w:r>
          </w:p>
        </w:tc>
        <w:tc>
          <w:tcPr>
            <w:tcW w:type="dxa" w:w="2700"/>
            <w:tcBorders>
              <w:top w:val="single" w:color="D9D8D2" w:sz="3"/>
              <w:left w:val="none" w:color="FFFFFF" w:sz="0"/>
              <w:bottom w:val="single" w:color="D9D8D2" w:sz="3"/>
              <w:right w:val="none" w:color="FFFFFF" w:sz="0"/>
            </w:tcBorders>
            <w:tcMar>
              <w:top w:type="dxa" w:w="70"/>
              <w:left w:type="dxa" w:w="100"/>
              <w:bottom w:type="dxa" w:w="70"/>
              <w:right w:type="dxa" w:w="100"/>
            </w:tcMar>
            <w:vAlign w:val="top"/>
          </w:tcPr>
          <w:p>
            <w:pPr>
              <w:spacing w:after="0" w:line="250"/>
            </w:pPr>
            <w:r>
              <w:rPr>
                <w:rFonts w:ascii="Arial" w:cs="Arial" w:eastAsia="Arial" w:hAnsi="Arial"/>
                <w:color w:val="52514E"/>
                <w:sz w:val="14"/>
                <w:szCs w:val="14"/>
              </w:rPr>
              <w:t xml:space="preserve">Requires the trustee to formulate, review regularly and give effect to a retirement income strategy, and to take reasonable steps to gather the information necessary to inform its formulation and review.</w:t>
            </w:r>
          </w:p>
        </w:tc>
        <w:tc>
          <w:tcPr>
            <w:tcW w:type="dxa" w:w="3106"/>
            <w:tcBorders>
              <w:top w:val="single" w:color="D9D8D2" w:sz="3"/>
              <w:left w:val="none" w:color="FFFFFF" w:sz="0"/>
              <w:bottom w:val="single" w:color="D9D8D2" w:sz="3"/>
              <w:right w:val="none" w:color="FFFFFF" w:sz="0"/>
            </w:tcBorders>
            <w:tcMar>
              <w:top w:type="dxa" w:w="70"/>
              <w:left w:type="dxa" w:w="100"/>
              <w:bottom w:type="dxa" w:w="70"/>
              <w:right w:type="dxa" w:w="100"/>
            </w:tcMar>
            <w:vAlign w:val="top"/>
          </w:tcPr>
          <w:p>
            <w:pPr>
              <w:spacing w:after="0" w:line="250"/>
            </w:pPr>
            <w:r>
              <w:rPr>
                <w:rFonts w:ascii="Arial" w:cs="Arial" w:eastAsia="Arial" w:hAnsi="Arial"/>
                <w:color w:val="52514E"/>
                <w:sz w:val="14"/>
                <w:szCs w:val="14"/>
              </w:rPr>
              <w:t xml:space="preserve">Drawing down reduces a member's balance and therefore future liability, creating a tax-driven incentive to draw faster or to hold assets outside superannuation - for exactly the cohort the covenant targets, most of whom are in or near retirement phase. It also exposes a genuine impossibility: the trustee must gather the information needed to inform the strategy, but the decisive variable is the member's balance across all funds, which only the ATO holds and which taxpayer confidentiality restricts it from sharing. Making Division 296 a named question in retirement income strategy reviews is a proportionate guidance response; the information asymmetry needs a legislative remedy rather than a prudential one.</w:t>
            </w:r>
          </w:p>
        </w:tc>
        <w:tc>
          <w:tcPr>
            <w:tcW w:type="dxa" w:w="1300"/>
            <w:tcBorders>
              <w:top w:val="single" w:color="D9D8D2" w:sz="3"/>
              <w:left w:val="none" w:color="FFFFFF" w:sz="0"/>
              <w:bottom w:val="single" w:color="D9D8D2" w:sz="3"/>
              <w:right w:val="none" w:color="FFFFFF" w:sz="0"/>
            </w:tcBorders>
            <w:tcMar>
              <w:top w:type="dxa" w:w="70"/>
              <w:left w:type="dxa" w:w="100"/>
              <w:bottom w:type="dxa" w:w="70"/>
              <w:right w:type="dxa" w:w="100"/>
            </w:tcMar>
            <w:vAlign w:val="top"/>
          </w:tcPr>
          <w:p>
            <w:pPr>
              <w:spacing w:after="0" w:line="250"/>
            </w:pPr>
            <w:r>
              <w:rPr>
                <w:rFonts w:ascii="Arial" w:cs="Arial" w:eastAsia="Arial" w:hAnsi="Arial"/>
                <w:b/>
                <w:bCs/>
                <w:color w:val="0072CE"/>
                <w:sz w:val="14"/>
                <w:szCs w:val="14"/>
              </w:rPr>
              <w:t xml:space="preserve">update guidance</w:t>
            </w:r>
          </w:p>
        </w:tc>
        <w:tc>
          <w:tcPr>
            <w:tcW w:type="dxa" w:w="700"/>
            <w:tcBorders>
              <w:top w:val="single" w:color="D9D8D2" w:sz="3"/>
              <w:left w:val="none" w:color="FFFFFF" w:sz="0"/>
              <w:bottom w:val="single" w:color="D9D8D2" w:sz="3"/>
              <w:right w:val="none" w:color="FFFFFF" w:sz="0"/>
            </w:tcBorders>
            <w:tcMar>
              <w:top w:type="dxa" w:w="70"/>
              <w:left w:type="dxa" w:w="100"/>
              <w:bottom w:type="dxa" w:w="70"/>
              <w:right w:type="dxa" w:w="100"/>
            </w:tcMar>
            <w:vAlign w:val="top"/>
          </w:tcPr>
          <w:p>
            <w:pPr>
              <w:spacing w:after="0" w:line="250"/>
              <w:jc w:val="center"/>
            </w:pPr>
            <w:r>
              <w:rPr>
                <w:rFonts w:ascii="Arial" w:cs="Arial" w:eastAsia="Arial" w:hAnsi="Arial"/>
                <w:color w:val="898781"/>
                <w:sz w:val="14"/>
                <w:szCs w:val="14"/>
              </w:rPr>
              <w:t xml:space="preserve">medium</w:t>
            </w:r>
          </w:p>
        </w:tc>
      </w:tr>
      <w:tr>
        <w:tc>
          <w:tcPr>
            <w:tcW w:type="dxa" w:w="2100"/>
            <w:tcBorders>
              <w:top w:val="single" w:color="D9D8D2" w:sz="3"/>
              <w:left w:val="none" w:color="FFFFFF" w:sz="0"/>
              <w:bottom w:val="single" w:color="D9D8D2" w:sz="3"/>
              <w:right w:val="none" w:color="FFFFFF" w:sz="0"/>
            </w:tcBorders>
            <w:shd w:fill="EFEEE9" w:color="auto" w:val="clear"/>
            <w:tcMar>
              <w:top w:type="dxa" w:w="70"/>
              <w:left w:type="dxa" w:w="100"/>
              <w:bottom w:type="dxa" w:w="70"/>
              <w:right w:type="dxa" w:w="100"/>
            </w:tcMar>
            <w:vAlign w:val="top"/>
          </w:tcPr>
          <w:p>
            <w:pPr>
              <w:spacing w:after="0" w:line="250"/>
            </w:pPr>
            <w:r>
              <w:rPr>
                <w:rFonts w:ascii="Arial" w:cs="Arial" w:eastAsia="Arial" w:hAnsi="Arial"/>
                <w:b/>
                <w:bCs/>
                <w:color w:val="012169"/>
                <w:sz w:val="15"/>
                <w:szCs w:val="15"/>
              </w:rPr>
              <w:t xml:space="preserve">Joint APRA-ASIC unit pricing good practice guidance; ASIC RG 94 (unit pricing)</w:t>
            </w:r>
          </w:p>
        </w:tc>
        <w:tc>
          <w:tcPr>
            <w:tcW w:type="dxa" w:w="2700"/>
            <w:tcBorders>
              <w:top w:val="single" w:color="D9D8D2" w:sz="3"/>
              <w:left w:val="none" w:color="FFFFFF" w:sz="0"/>
              <w:bottom w:val="single" w:color="D9D8D2" w:sz="3"/>
              <w:right w:val="none" w:color="FFFFFF" w:sz="0"/>
            </w:tcBorders>
            <w:shd w:fill="EFEEE9" w:color="auto" w:val="clear"/>
            <w:tcMar>
              <w:top w:type="dxa" w:w="70"/>
              <w:left w:type="dxa" w:w="100"/>
              <w:bottom w:type="dxa" w:w="70"/>
              <w:right w:type="dxa" w:w="100"/>
            </w:tcMar>
            <w:vAlign w:val="top"/>
          </w:tcPr>
          <w:p>
            <w:pPr>
              <w:spacing w:after="0" w:line="250"/>
            </w:pPr>
            <w:r>
              <w:rPr>
                <w:rFonts w:ascii="Arial" w:cs="Arial" w:eastAsia="Arial" w:hAnsi="Arial"/>
                <w:color w:val="52514E"/>
                <w:sz w:val="14"/>
                <w:szCs w:val="14"/>
              </w:rPr>
              <w:t xml:space="preserve">Good practice expectations for unit pricing, including the treatment of tax provisions at investment option level, and for error correction and remediation.</w:t>
            </w:r>
          </w:p>
        </w:tc>
        <w:tc>
          <w:tcPr>
            <w:tcW w:type="dxa" w:w="3106"/>
            <w:tcBorders>
              <w:top w:val="single" w:color="D9D8D2" w:sz="3"/>
              <w:left w:val="none" w:color="FFFFFF" w:sz="0"/>
              <w:bottom w:val="single" w:color="D9D8D2" w:sz="3"/>
              <w:right w:val="none" w:color="FFFFFF" w:sz="0"/>
            </w:tcBorders>
            <w:shd w:fill="EFEEE9" w:color="auto" w:val="clear"/>
            <w:tcMar>
              <w:top w:type="dxa" w:w="70"/>
              <w:left w:type="dxa" w:w="100"/>
              <w:bottom w:type="dxa" w:w="70"/>
              <w:right w:type="dxa" w:w="100"/>
            </w:tcMar>
            <w:vAlign w:val="top"/>
          </w:tcPr>
          <w:p>
            <w:pPr>
              <w:spacing w:after="0" w:line="250"/>
            </w:pPr>
            <w:r>
              <w:rPr>
                <w:rFonts w:ascii="Arial" w:cs="Arial" w:eastAsia="Arial" w:hAnsi="Arial"/>
                <w:color w:val="52514E"/>
                <w:sz w:val="14"/>
                <w:szCs w:val="14"/>
              </w:rPr>
              <w:t xml:space="preserve">Industry has itself nominated unit pricing and crediting rate governance as the right analogue for a 'fair and reasonable' attribution, and it is the one domain where APRA and ASIC have joint experience of pricing errors and remediation. Two limitations should be stated. First, this is jointly ASIC's territory, so any update is a joint product rather than an APRA one. Second, the analogy does not reach the whole sector: a material part of the APRA-regulated population, concentrated in the public sector and corporate schemes that are among the most exposed, uses periodic and often smoothed crediting rates rather than unit pricing, with the smoothing funded through reserves. Attributing realised earnings in a smoothed crediting-rate fund is a materially harder problem and the unit pricing analogy does not answer it.</w:t>
            </w:r>
          </w:p>
        </w:tc>
        <w:tc>
          <w:tcPr>
            <w:tcW w:type="dxa" w:w="1300"/>
            <w:tcBorders>
              <w:top w:val="single" w:color="D9D8D2" w:sz="3"/>
              <w:left w:val="none" w:color="FFFFFF" w:sz="0"/>
              <w:bottom w:val="single" w:color="D9D8D2" w:sz="3"/>
              <w:right w:val="none" w:color="FFFFFF" w:sz="0"/>
            </w:tcBorders>
            <w:shd w:fill="EFEEE9" w:color="auto" w:val="clear"/>
            <w:tcMar>
              <w:top w:type="dxa" w:w="70"/>
              <w:left w:type="dxa" w:w="100"/>
              <w:bottom w:type="dxa" w:w="70"/>
              <w:right w:type="dxa" w:w="100"/>
            </w:tcMar>
            <w:vAlign w:val="top"/>
          </w:tcPr>
          <w:p>
            <w:pPr>
              <w:spacing w:after="0" w:line="250"/>
            </w:pPr>
            <w:r>
              <w:rPr>
                <w:rFonts w:ascii="Arial" w:cs="Arial" w:eastAsia="Arial" w:hAnsi="Arial"/>
                <w:b/>
                <w:bCs/>
                <w:color w:val="0072CE"/>
                <w:sz w:val="14"/>
                <w:szCs w:val="14"/>
              </w:rPr>
              <w:t xml:space="preserve">update guidance</w:t>
            </w:r>
          </w:p>
        </w:tc>
        <w:tc>
          <w:tcPr>
            <w:tcW w:type="dxa" w:w="700"/>
            <w:tcBorders>
              <w:top w:val="single" w:color="D9D8D2" w:sz="3"/>
              <w:left w:val="none" w:color="FFFFFF" w:sz="0"/>
              <w:bottom w:val="single" w:color="D9D8D2" w:sz="3"/>
              <w:right w:val="none" w:color="FFFFFF" w:sz="0"/>
            </w:tcBorders>
            <w:shd w:fill="EFEEE9" w:color="auto" w:val="clear"/>
            <w:tcMar>
              <w:top w:type="dxa" w:w="70"/>
              <w:left w:type="dxa" w:w="100"/>
              <w:bottom w:type="dxa" w:w="70"/>
              <w:right w:type="dxa" w:w="100"/>
            </w:tcMar>
            <w:vAlign w:val="top"/>
          </w:tcPr>
          <w:p>
            <w:pPr>
              <w:spacing w:after="0" w:line="250"/>
              <w:jc w:val="center"/>
            </w:pPr>
            <w:r>
              <w:rPr>
                <w:rFonts w:ascii="Arial" w:cs="Arial" w:eastAsia="Arial" w:hAnsi="Arial"/>
                <w:color w:val="898781"/>
                <w:sz w:val="14"/>
                <w:szCs w:val="14"/>
              </w:rPr>
              <w:t xml:space="preserve">medium</w:t>
            </w:r>
          </w:p>
        </w:tc>
      </w:tr>
      <w:tr>
        <w:tc>
          <w:tcPr>
            <w:tcW w:type="dxa" w:w="2100"/>
            <w:tcBorders>
              <w:top w:val="single" w:color="D9D8D2" w:sz="3"/>
              <w:left w:val="none" w:color="FFFFFF" w:sz="0"/>
              <w:bottom w:val="single" w:color="D9D8D2" w:sz="3"/>
              <w:right w:val="none" w:color="FFFFFF" w:sz="0"/>
            </w:tcBorders>
            <w:tcMar>
              <w:top w:type="dxa" w:w="70"/>
              <w:left w:type="dxa" w:w="100"/>
              <w:bottom w:type="dxa" w:w="70"/>
              <w:right w:type="dxa" w:w="100"/>
            </w:tcMar>
            <w:vAlign w:val="top"/>
          </w:tcPr>
          <w:p>
            <w:pPr>
              <w:spacing w:after="0" w:line="250"/>
            </w:pPr>
            <w:r>
              <w:rPr>
                <w:rFonts w:ascii="Arial" w:cs="Arial" w:eastAsia="Arial" w:hAnsi="Arial"/>
                <w:b/>
                <w:bCs/>
                <w:color w:val="012169"/>
                <w:sz w:val="15"/>
                <w:szCs w:val="15"/>
              </w:rPr>
              <w:t xml:space="preserve">SPS 521 Conflicts of Interest</w:t>
            </w:r>
          </w:p>
        </w:tc>
        <w:tc>
          <w:tcPr>
            <w:tcW w:type="dxa" w:w="2700"/>
            <w:tcBorders>
              <w:top w:val="single" w:color="D9D8D2" w:sz="3"/>
              <w:left w:val="none" w:color="FFFFFF" w:sz="0"/>
              <w:bottom w:val="single" w:color="D9D8D2" w:sz="3"/>
              <w:right w:val="none" w:color="FFFFFF" w:sz="0"/>
            </w:tcBorders>
            <w:tcMar>
              <w:top w:type="dxa" w:w="70"/>
              <w:left w:type="dxa" w:w="100"/>
              <w:bottom w:type="dxa" w:w="70"/>
              <w:right w:type="dxa" w:w="100"/>
            </w:tcMar>
            <w:vAlign w:val="top"/>
          </w:tcPr>
          <w:p>
            <w:pPr>
              <w:spacing w:after="0" w:line="250"/>
            </w:pPr>
            <w:r>
              <w:rPr>
                <w:rFonts w:ascii="Arial" w:cs="Arial" w:eastAsia="Arial" w:hAnsi="Arial"/>
                <w:color w:val="52514E"/>
                <w:sz w:val="14"/>
                <w:szCs w:val="14"/>
              </w:rPr>
              <w:t xml:space="preserve">Requires a conflicts management framework covering the identification, avoidance and management of conflicts of interests and conflicts of duty.</w:t>
            </w:r>
          </w:p>
        </w:tc>
        <w:tc>
          <w:tcPr>
            <w:tcW w:type="dxa" w:w="3106"/>
            <w:tcBorders>
              <w:top w:val="single" w:color="D9D8D2" w:sz="3"/>
              <w:left w:val="none" w:color="FFFFFF" w:sz="0"/>
              <w:bottom w:val="single" w:color="D9D8D2" w:sz="3"/>
              <w:right w:val="none" w:color="FFFFFF" w:sz="0"/>
            </w:tcBorders>
            <w:tcMar>
              <w:top w:type="dxa" w:w="70"/>
              <w:left w:type="dxa" w:w="100"/>
              <w:bottom w:type="dxa" w:w="70"/>
              <w:right w:type="dxa" w:w="100"/>
            </w:tcMar>
            <w:vAlign w:val="top"/>
          </w:tcPr>
          <w:p>
            <w:pPr>
              <w:spacing w:after="0" w:line="250"/>
            </w:pPr>
            <w:r>
              <w:rPr>
                <w:rFonts w:ascii="Arial" w:cs="Arial" w:eastAsia="Arial" w:hAnsi="Arial"/>
                <w:color w:val="52514E"/>
                <w:sz w:val="14"/>
                <w:szCs w:val="14"/>
              </w:rPr>
              <w:t xml:space="preserve">Three conflicts are worth examining, none of which was assessed at paragraph level in this work, so the verdict is provisional. Tax management decisions - when to realise gains, how to sequence disposals - now affect identified individuals' personal tax, creating a weak incentive to favour a small cohort. Where an RSE licensee sits in a group that also owns self-managed fund administration, platform or advice businesses, the group has a commercial interest in the very migration that erodes the licensee's scale. And any trustee communication to high-balance members about the 30 June 2027 date is a prompt with a foreseeable one-way outcome, given that acting on it reduces the trustee's own funds under management. That last point is joint APRA-ASIC territory and is the most likely place a conduct issue actually materialises.</w:t>
            </w:r>
          </w:p>
        </w:tc>
        <w:tc>
          <w:tcPr>
            <w:tcW w:type="dxa" w:w="1300"/>
            <w:tcBorders>
              <w:top w:val="single" w:color="D9D8D2" w:sz="3"/>
              <w:left w:val="none" w:color="FFFFFF" w:sz="0"/>
              <w:bottom w:val="single" w:color="D9D8D2" w:sz="3"/>
              <w:right w:val="none" w:color="FFFFFF" w:sz="0"/>
            </w:tcBorders>
            <w:tcMar>
              <w:top w:type="dxa" w:w="70"/>
              <w:left w:type="dxa" w:w="100"/>
              <w:bottom w:type="dxa" w:w="70"/>
              <w:right w:type="dxa" w:w="100"/>
            </w:tcMar>
            <w:vAlign w:val="top"/>
          </w:tcPr>
          <w:p>
            <w:pPr>
              <w:spacing w:after="0" w:line="250"/>
            </w:pPr>
            <w:r>
              <w:rPr>
                <w:rFonts w:ascii="Arial" w:cs="Arial" w:eastAsia="Arial" w:hAnsi="Arial"/>
                <w:b/>
                <w:bCs/>
                <w:color w:val="00B398"/>
                <w:sz w:val="14"/>
                <w:szCs w:val="14"/>
              </w:rPr>
              <w:t xml:space="preserve">supervisory practice only</w:t>
            </w:r>
          </w:p>
        </w:tc>
        <w:tc>
          <w:tcPr>
            <w:tcW w:type="dxa" w:w="700"/>
            <w:tcBorders>
              <w:top w:val="single" w:color="D9D8D2" w:sz="3"/>
              <w:left w:val="none" w:color="FFFFFF" w:sz="0"/>
              <w:bottom w:val="single" w:color="D9D8D2" w:sz="3"/>
              <w:right w:val="none" w:color="FFFFFF" w:sz="0"/>
            </w:tcBorders>
            <w:tcMar>
              <w:top w:type="dxa" w:w="70"/>
              <w:left w:type="dxa" w:w="100"/>
              <w:bottom w:type="dxa" w:w="70"/>
              <w:right w:type="dxa" w:w="100"/>
            </w:tcMar>
            <w:vAlign w:val="top"/>
          </w:tcPr>
          <w:p>
            <w:pPr>
              <w:spacing w:after="0" w:line="250"/>
              <w:jc w:val="center"/>
            </w:pPr>
            <w:r>
              <w:rPr>
                <w:rFonts w:ascii="Arial" w:cs="Arial" w:eastAsia="Arial" w:hAnsi="Arial"/>
                <w:color w:val="898781"/>
                <w:sz w:val="14"/>
                <w:szCs w:val="14"/>
              </w:rPr>
              <w:t xml:space="preserve">low</w:t>
            </w:r>
          </w:p>
        </w:tc>
      </w:tr>
      <w:tr>
        <w:tc>
          <w:tcPr>
            <w:tcW w:type="dxa" w:w="2100"/>
            <w:tcBorders>
              <w:top w:val="single" w:color="D9D8D2" w:sz="3"/>
              <w:left w:val="none" w:color="FFFFFF" w:sz="0"/>
              <w:bottom w:val="single" w:color="D9D8D2" w:sz="3"/>
              <w:right w:val="none" w:color="FFFFFF" w:sz="0"/>
            </w:tcBorders>
            <w:shd w:fill="EFEEE9" w:color="auto" w:val="clear"/>
            <w:tcMar>
              <w:top w:type="dxa" w:w="70"/>
              <w:left w:type="dxa" w:w="100"/>
              <w:bottom w:type="dxa" w:w="70"/>
              <w:right w:type="dxa" w:w="100"/>
            </w:tcMar>
            <w:vAlign w:val="top"/>
          </w:tcPr>
          <w:p>
            <w:pPr>
              <w:spacing w:after="0" w:line="250"/>
            </w:pPr>
            <w:r>
              <w:rPr>
                <w:rFonts w:ascii="Arial" w:cs="Arial" w:eastAsia="Arial" w:hAnsi="Arial"/>
                <w:b/>
                <w:bCs/>
                <w:color w:val="012169"/>
                <w:sz w:val="15"/>
                <w:szCs w:val="15"/>
              </w:rPr>
              <w:t xml:space="preserve">SPS 510 Governance and SPS 520 Fit and Proper (not examined at paragraph level)</w:t>
            </w:r>
          </w:p>
        </w:tc>
        <w:tc>
          <w:tcPr>
            <w:tcW w:type="dxa" w:w="2700"/>
            <w:tcBorders>
              <w:top w:val="single" w:color="D9D8D2" w:sz="3"/>
              <w:left w:val="none" w:color="FFFFFF" w:sz="0"/>
              <w:bottom w:val="single" w:color="D9D8D2" w:sz="3"/>
              <w:right w:val="none" w:color="FFFFFF" w:sz="0"/>
            </w:tcBorders>
            <w:shd w:fill="EFEEE9" w:color="auto" w:val="clear"/>
            <w:tcMar>
              <w:top w:type="dxa" w:w="70"/>
              <w:left w:type="dxa" w:w="100"/>
              <w:bottom w:type="dxa" w:w="70"/>
              <w:right w:type="dxa" w:w="100"/>
            </w:tcMar>
            <w:vAlign w:val="top"/>
          </w:tcPr>
          <w:p>
            <w:pPr>
              <w:spacing w:after="0" w:line="250"/>
            </w:pPr>
            <w:r>
              <w:rPr>
                <w:rFonts w:ascii="Arial" w:cs="Arial" w:eastAsia="Arial" w:hAnsi="Arial"/>
                <w:color w:val="52514E"/>
                <w:sz w:val="14"/>
                <w:szCs w:val="14"/>
              </w:rPr>
              <w:t xml:space="preserve">Govern Board composition, skills, committee structures and the fitness and propriety of responsible persons. Neither standard was examined at paragraph level in this work and no paragraph numbers are asserted.</w:t>
            </w:r>
          </w:p>
        </w:tc>
        <w:tc>
          <w:tcPr>
            <w:tcW w:type="dxa" w:w="3106"/>
            <w:tcBorders>
              <w:top w:val="single" w:color="D9D8D2" w:sz="3"/>
              <w:left w:val="none" w:color="FFFFFF" w:sz="0"/>
              <w:bottom w:val="single" w:color="D9D8D2" w:sz="3"/>
              <w:right w:val="none" w:color="FFFFFF" w:sz="0"/>
            </w:tcBorders>
            <w:shd w:fill="EFEEE9" w:color="auto" w:val="clear"/>
            <w:tcMar>
              <w:top w:type="dxa" w:w="70"/>
              <w:left w:type="dxa" w:w="100"/>
              <w:bottom w:type="dxa" w:w="70"/>
              <w:right w:type="dxa" w:w="100"/>
            </w:tcMar>
            <w:vAlign w:val="top"/>
          </w:tcPr>
          <w:p>
            <w:pPr>
              <w:spacing w:after="0" w:line="250"/>
            </w:pPr>
            <w:r>
              <w:rPr>
                <w:rFonts w:ascii="Arial" w:cs="Arial" w:eastAsia="Arial" w:hAnsi="Arial"/>
                <w:color w:val="52514E"/>
                <w:sz w:val="14"/>
                <w:szCs w:val="14"/>
              </w:rPr>
              <w:t xml:space="preserve">Included because the central recommendation elsewhere in this note - that the attribution methodology be Board-approved - depends on these standards and the draft register never checked them. Three answerable questions follow: whether the Board skills matrix contemplates the capability needed to approve a methodology that drives individual members' tax outcomes; which Board committee owns it, given that on this characterisation the audit committee may assume the investment committee has it and vice versa; and what Board approval means in substance where the methodology originates with a shared administrator and is adopted rather than formed. Low confidence and flagged as a completeness item rather than a finding.</w:t>
            </w:r>
          </w:p>
        </w:tc>
        <w:tc>
          <w:tcPr>
            <w:tcW w:type="dxa" w:w="1300"/>
            <w:tcBorders>
              <w:top w:val="single" w:color="D9D8D2" w:sz="3"/>
              <w:left w:val="none" w:color="FFFFFF" w:sz="0"/>
              <w:bottom w:val="single" w:color="D9D8D2" w:sz="3"/>
              <w:right w:val="none" w:color="FFFFFF" w:sz="0"/>
            </w:tcBorders>
            <w:shd w:fill="EFEEE9" w:color="auto" w:val="clear"/>
            <w:tcMar>
              <w:top w:type="dxa" w:w="70"/>
              <w:left w:type="dxa" w:w="100"/>
              <w:bottom w:type="dxa" w:w="70"/>
              <w:right w:type="dxa" w:w="100"/>
            </w:tcMar>
            <w:vAlign w:val="top"/>
          </w:tcPr>
          <w:p>
            <w:pPr>
              <w:spacing w:after="0" w:line="250"/>
            </w:pPr>
            <w:r>
              <w:rPr>
                <w:rFonts w:ascii="Arial" w:cs="Arial" w:eastAsia="Arial" w:hAnsi="Arial"/>
                <w:b/>
                <w:bCs/>
                <w:color w:val="00B398"/>
                <w:sz w:val="14"/>
                <w:szCs w:val="14"/>
              </w:rPr>
              <w:t xml:space="preserve">supervisory practice only</w:t>
            </w:r>
          </w:p>
        </w:tc>
        <w:tc>
          <w:tcPr>
            <w:tcW w:type="dxa" w:w="700"/>
            <w:tcBorders>
              <w:top w:val="single" w:color="D9D8D2" w:sz="3"/>
              <w:left w:val="none" w:color="FFFFFF" w:sz="0"/>
              <w:bottom w:val="single" w:color="D9D8D2" w:sz="3"/>
              <w:right w:val="none" w:color="FFFFFF" w:sz="0"/>
            </w:tcBorders>
            <w:shd w:fill="EFEEE9" w:color="auto" w:val="clear"/>
            <w:tcMar>
              <w:top w:type="dxa" w:w="70"/>
              <w:left w:type="dxa" w:w="100"/>
              <w:bottom w:type="dxa" w:w="70"/>
              <w:right w:type="dxa" w:w="100"/>
            </w:tcMar>
            <w:vAlign w:val="top"/>
          </w:tcPr>
          <w:p>
            <w:pPr>
              <w:spacing w:after="0" w:line="250"/>
              <w:jc w:val="center"/>
            </w:pPr>
            <w:r>
              <w:rPr>
                <w:rFonts w:ascii="Arial" w:cs="Arial" w:eastAsia="Arial" w:hAnsi="Arial"/>
                <w:color w:val="898781"/>
                <w:sz w:val="14"/>
                <w:szCs w:val="14"/>
              </w:rPr>
              <w:t xml:space="preserve">low</w:t>
            </w:r>
          </w:p>
        </w:tc>
      </w:tr>
      <w:tr>
        <w:tc>
          <w:tcPr>
            <w:tcW w:type="dxa" w:w="2100"/>
            <w:tcBorders>
              <w:top w:val="single" w:color="D9D8D2" w:sz="3"/>
              <w:left w:val="none" w:color="FFFFFF" w:sz="0"/>
              <w:bottom w:val="single" w:color="D9D8D2" w:sz="3"/>
              <w:right w:val="none" w:color="FFFFFF" w:sz="0"/>
            </w:tcBorders>
            <w:tcMar>
              <w:top w:type="dxa" w:w="70"/>
              <w:left w:type="dxa" w:w="100"/>
              <w:bottom w:type="dxa" w:w="70"/>
              <w:right w:type="dxa" w:w="100"/>
            </w:tcMar>
            <w:vAlign w:val="top"/>
          </w:tcPr>
          <w:p>
            <w:pPr>
              <w:spacing w:after="0" w:line="250"/>
            </w:pPr>
            <w:r>
              <w:rPr>
                <w:rFonts w:ascii="Arial" w:cs="Arial" w:eastAsia="Arial" w:hAnsi="Arial"/>
                <w:b/>
                <w:bCs/>
                <w:color w:val="012169"/>
                <w:sz w:val="15"/>
                <w:szCs w:val="15"/>
              </w:rPr>
              <w:t xml:space="preserve">CPS 900 Resolution Planning</w:t>
            </w:r>
          </w:p>
        </w:tc>
        <w:tc>
          <w:tcPr>
            <w:tcW w:type="dxa" w:w="2700"/>
            <w:tcBorders>
              <w:top w:val="single" w:color="D9D8D2" w:sz="3"/>
              <w:left w:val="none" w:color="FFFFFF" w:sz="0"/>
              <w:bottom w:val="single" w:color="D9D8D2" w:sz="3"/>
              <w:right w:val="none" w:color="FFFFFF" w:sz="0"/>
            </w:tcBorders>
            <w:tcMar>
              <w:top w:type="dxa" w:w="70"/>
              <w:left w:type="dxa" w:w="100"/>
              <w:bottom w:type="dxa" w:w="70"/>
              <w:right w:type="dxa" w:w="100"/>
            </w:tcMar>
            <w:vAlign w:val="top"/>
          </w:tcPr>
          <w:p>
            <w:pPr>
              <w:spacing w:after="0" w:line="250"/>
            </w:pPr>
            <w:r>
              <w:rPr>
                <w:rFonts w:ascii="Arial" w:cs="Arial" w:eastAsia="Arial" w:hAnsi="Arial"/>
                <w:color w:val="52514E"/>
                <w:sz w:val="14"/>
                <w:szCs w:val="14"/>
              </w:rPr>
              <w:t xml:space="preserve">Applies to RSE licensees; resolution planning is triggered by the prospect of entity failure.</w:t>
            </w:r>
          </w:p>
        </w:tc>
        <w:tc>
          <w:tcPr>
            <w:tcW w:type="dxa" w:w="3106"/>
            <w:tcBorders>
              <w:top w:val="single" w:color="D9D8D2" w:sz="3"/>
              <w:left w:val="none" w:color="FFFFFF" w:sz="0"/>
              <w:bottom w:val="single" w:color="D9D8D2" w:sz="3"/>
              <w:right w:val="none" w:color="FFFFFF" w:sz="0"/>
            </w:tcBorders>
            <w:tcMar>
              <w:top w:type="dxa" w:w="70"/>
              <w:left w:type="dxa" w:w="100"/>
              <w:bottom w:type="dxa" w:w="70"/>
              <w:right w:type="dxa" w:w="100"/>
            </w:tcMar>
            <w:vAlign w:val="top"/>
          </w:tcPr>
          <w:p>
            <w:pPr>
              <w:spacing w:after="0" w:line="250"/>
            </w:pPr>
            <w:r>
              <w:rPr>
                <w:rFonts w:ascii="Arial" w:cs="Arial" w:eastAsia="Arial" w:hAnsi="Arial"/>
                <w:color w:val="52514E"/>
                <w:sz w:val="14"/>
                <w:szCs w:val="14"/>
              </w:rPr>
              <w:t xml:space="preserve">Examined and cleared. No defensible link was established: resolution planning is triggered by failure, and Division 296 does not create a failure pathway distinct from the gradual scale erosion already captured under CPS 190. Recorded so that the framework review can be represented as complete rather than selective.</w:t>
            </w:r>
          </w:p>
        </w:tc>
        <w:tc>
          <w:tcPr>
            <w:tcW w:type="dxa" w:w="1300"/>
            <w:tcBorders>
              <w:top w:val="single" w:color="D9D8D2" w:sz="3"/>
              <w:left w:val="none" w:color="FFFFFF" w:sz="0"/>
              <w:bottom w:val="single" w:color="D9D8D2" w:sz="3"/>
              <w:right w:val="none" w:color="FFFFFF" w:sz="0"/>
            </w:tcBorders>
            <w:tcMar>
              <w:top w:type="dxa" w:w="70"/>
              <w:left w:type="dxa" w:w="100"/>
              <w:bottom w:type="dxa" w:w="70"/>
              <w:right w:type="dxa" w:w="100"/>
            </w:tcMar>
            <w:vAlign w:val="top"/>
          </w:tcPr>
          <w:p>
            <w:pPr>
              <w:spacing w:after="0" w:line="250"/>
            </w:pPr>
            <w:r>
              <w:rPr>
                <w:rFonts w:ascii="Arial" w:cs="Arial" w:eastAsia="Arial" w:hAnsi="Arial"/>
                <w:b/>
                <w:bCs/>
                <w:color w:val="898781"/>
                <w:sz w:val="14"/>
                <w:szCs w:val="14"/>
              </w:rPr>
              <w:t xml:space="preserve">no change</w:t>
            </w:r>
          </w:p>
        </w:tc>
        <w:tc>
          <w:tcPr>
            <w:tcW w:type="dxa" w:w="700"/>
            <w:tcBorders>
              <w:top w:val="single" w:color="D9D8D2" w:sz="3"/>
              <w:left w:val="none" w:color="FFFFFF" w:sz="0"/>
              <w:bottom w:val="single" w:color="D9D8D2" w:sz="3"/>
              <w:right w:val="none" w:color="FFFFFF" w:sz="0"/>
            </w:tcBorders>
            <w:tcMar>
              <w:top w:type="dxa" w:w="70"/>
              <w:left w:type="dxa" w:w="100"/>
              <w:bottom w:type="dxa" w:w="70"/>
              <w:right w:type="dxa" w:w="100"/>
            </w:tcMar>
            <w:vAlign w:val="top"/>
          </w:tcPr>
          <w:p>
            <w:pPr>
              <w:spacing w:after="0" w:line="250"/>
              <w:jc w:val="center"/>
            </w:pPr>
            <w:r>
              <w:rPr>
                <w:rFonts w:ascii="Arial" w:cs="Arial" w:eastAsia="Arial" w:hAnsi="Arial"/>
                <w:color w:val="898781"/>
                <w:sz w:val="14"/>
                <w:szCs w:val="14"/>
              </w:rPr>
              <w:t xml:space="preserve">low</w:t>
            </w:r>
          </w:p>
        </w:tc>
      </w:tr>
    </w:tbl>
    <w:p>
      <w:pPr>
        <w:pBdr>
          <w:bottom w:val="single" w:color="0072CE" w:sz="6" w:space="4"/>
        </w:pBdr>
        <w:spacing w:after="100" w:before="240"/>
      </w:pPr>
      <w:r>
        <w:rPr>
          <w:rFonts w:ascii="Arial" w:cs="Arial" w:eastAsia="Arial" w:hAnsi="Arial"/>
          <w:b/>
          <w:bCs/>
          <w:color w:val="012169"/>
          <w:sz w:val="22"/>
          <w:szCs w:val="22"/>
        </w:rPr>
        <w:t xml:space="preserve">Annex B2 — The figures, verified</w:t>
      </w:r>
    </w:p>
    <w:p>
      <w:pPr>
        <w:spacing w:after="120" w:before="0" w:line="264"/>
      </w:pPr>
      <w:r>
        <w:rPr>
          <w:rFonts w:ascii="Arial" w:cs="Arial" w:eastAsia="Arial" w:hAnsi="Arial"/>
          <w:color w:val="52514E"/>
          <w:sz w:val="17"/>
          <w:szCs w:val="17"/>
        </w:rPr>
        <w:t xml:space="preserve">Every figure re-checked against a named source with a date. Where a figure in the draft was wrong, the correction is stated rather than quietly applied.</w:t>
      </w:r>
    </w:p>
    <w:tbl>
      <w:tblPr>
        <w:tblW w:type="dxa" w:w="990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400"/>
        <w:gridCol w:w="4600"/>
        <w:gridCol w:w="1906"/>
      </w:tblGrid>
      <w:tr>
        <w:trPr>
          <w:tblHeader/>
        </w:trPr>
        <w:tc>
          <w:tcPr>
            <w:tcW w:type="dxa" w:w="3400"/>
            <w:tcBorders>
              <w:top w:val="single" w:color="0072CE" w:sz="8"/>
              <w:left w:val="none" w:color="FFFFFF" w:sz="0"/>
              <w:bottom w:val="single" w:color="D9D8D2" w:sz="3"/>
              <w:right w:val="none" w:color="FFFFFF" w:sz="0"/>
            </w:tcBorders>
            <w:shd w:fill="F4F9FC" w:color="auto" w:val="clear"/>
            <w:tcMar>
              <w:top w:type="dxa" w:w="70"/>
              <w:left w:type="dxa" w:w="100"/>
              <w:bottom w:type="dxa" w:w="70"/>
              <w:right w:type="dxa" w:w="100"/>
            </w:tcMar>
            <w:vAlign w:val="top"/>
          </w:tcPr>
          <w:p>
            <w:pPr>
              <w:spacing w:after="0" w:line="240"/>
            </w:pPr>
            <w:r>
              <w:rPr>
                <w:rFonts w:ascii="Arial" w:cs="Arial" w:eastAsia="Arial" w:hAnsi="Arial"/>
                <w:b/>
                <w:bCs/>
                <w:caps/>
                <w:color w:val="012169"/>
                <w:sz w:val="15"/>
                <w:szCs w:val="15"/>
              </w:rPr>
              <w:t xml:space="preserve">Figure</w:t>
            </w:r>
          </w:p>
        </w:tc>
        <w:tc>
          <w:tcPr>
            <w:tcW w:type="dxa" w:w="4600"/>
            <w:tcBorders>
              <w:top w:val="single" w:color="0072CE" w:sz="8"/>
              <w:left w:val="none" w:color="FFFFFF" w:sz="0"/>
              <w:bottom w:val="single" w:color="D9D8D2" w:sz="3"/>
              <w:right w:val="none" w:color="FFFFFF" w:sz="0"/>
            </w:tcBorders>
            <w:shd w:fill="F4F9FC" w:color="auto" w:val="clear"/>
            <w:tcMar>
              <w:top w:type="dxa" w:w="70"/>
              <w:left w:type="dxa" w:w="100"/>
              <w:bottom w:type="dxa" w:w="70"/>
              <w:right w:type="dxa" w:w="100"/>
            </w:tcMar>
            <w:vAlign w:val="top"/>
          </w:tcPr>
          <w:p>
            <w:pPr>
              <w:spacing w:after="0" w:line="240"/>
            </w:pPr>
            <w:r>
              <w:rPr>
                <w:rFonts w:ascii="Arial" w:cs="Arial" w:eastAsia="Arial" w:hAnsi="Arial"/>
                <w:b/>
                <w:bCs/>
                <w:caps/>
                <w:color w:val="012169"/>
                <w:sz w:val="15"/>
                <w:szCs w:val="15"/>
              </w:rPr>
              <w:t xml:space="preserve">What it means, and any correction</w:t>
            </w:r>
          </w:p>
        </w:tc>
        <w:tc>
          <w:tcPr>
            <w:tcW w:type="dxa" w:w="1906"/>
            <w:tcBorders>
              <w:top w:val="single" w:color="0072CE" w:sz="8"/>
              <w:left w:val="none" w:color="FFFFFF" w:sz="0"/>
              <w:bottom w:val="single" w:color="D9D8D2" w:sz="3"/>
              <w:right w:val="none" w:color="FFFFFF" w:sz="0"/>
            </w:tcBorders>
            <w:shd w:fill="F4F9FC" w:color="auto" w:val="clear"/>
            <w:tcMar>
              <w:top w:type="dxa" w:w="70"/>
              <w:left w:type="dxa" w:w="100"/>
              <w:bottom w:type="dxa" w:w="70"/>
              <w:right w:type="dxa" w:w="100"/>
            </w:tcMar>
            <w:vAlign w:val="top"/>
          </w:tcPr>
          <w:p>
            <w:pPr>
              <w:spacing w:after="0" w:line="240"/>
            </w:pPr>
            <w:r>
              <w:rPr>
                <w:rFonts w:ascii="Arial" w:cs="Arial" w:eastAsia="Arial" w:hAnsi="Arial"/>
                <w:b/>
                <w:bCs/>
                <w:caps/>
                <w:color w:val="012169"/>
                <w:sz w:val="15"/>
                <w:szCs w:val="15"/>
              </w:rPr>
              <w:t xml:space="preserve">Source / as at</w:t>
            </w:r>
          </w:p>
        </w:tc>
      </w:tr>
      <w:tr>
        <w:tc>
          <w:tcPr>
            <w:tcW w:type="dxa" w:w="3400"/>
            <w:tcBorders>
              <w:top w:val="single" w:color="D9D8D2" w:sz="3"/>
              <w:left w:val="none" w:color="FFFFFF" w:sz="0"/>
              <w:bottom w:val="single" w:color="D9D8D2" w:sz="3"/>
              <w:right w:val="none" w:color="FFFFFF" w:sz="0"/>
            </w:tcBorders>
            <w:tcMar>
              <w:top w:type="dxa" w:w="70"/>
              <w:left w:type="dxa" w:w="100"/>
              <w:bottom w:type="dxa" w:w="70"/>
              <w:right w:type="dxa" w:w="100"/>
            </w:tcMar>
            <w:vAlign w:val="top"/>
          </w:tcPr>
          <w:p>
            <w:pPr>
              <w:spacing w:after="0" w:line="250"/>
            </w:pPr>
            <w:r>
              <w:rPr>
                <w:rFonts w:ascii="Arial" w:cs="Arial" w:eastAsia="Arial" w:hAnsi="Arial"/>
                <w:b/>
                <w:bCs/>
                <w:color w:val="012169"/>
                <w:sz w:val="14"/>
                <w:szCs w:val="14"/>
              </w:rPr>
              <w:t xml:space="preserve">$3 million and $10 million thresholds; additional 15% above the first and a further 10% above the second; both indexed to CPI; applies from 1 July 2026</w:t>
            </w:r>
          </w:p>
        </w:tc>
        <w:tc>
          <w:tcPr>
            <w:tcW w:type="dxa" w:w="4600"/>
            <w:tcBorders>
              <w:top w:val="single" w:color="D9D8D2" w:sz="3"/>
              <w:left w:val="none" w:color="FFFFFF" w:sz="0"/>
              <w:bottom w:val="single" w:color="D9D8D2" w:sz="3"/>
              <w:right w:val="none" w:color="FFFFFF" w:sz="0"/>
            </w:tcBorders>
            <w:tcMar>
              <w:top w:type="dxa" w:w="70"/>
              <w:left w:type="dxa" w:w="100"/>
              <w:bottom w:type="dxa" w:w="70"/>
              <w:right w:type="dxa" w:w="100"/>
            </w:tcMar>
            <w:vAlign w:val="top"/>
          </w:tcPr>
          <w:p>
            <w:pPr>
              <w:spacing w:after="0" w:line="250"/>
            </w:pPr>
            <w:r>
              <w:rPr>
                <w:rFonts w:ascii="Arial" w:cs="Arial" w:eastAsia="Arial" w:hAnsi="Arial"/>
                <w:color w:val="52514E"/>
                <w:sz w:val="13"/>
                <w:szCs w:val="13"/>
              </w:rPr>
              <w:t xml:space="preserve">The enacted design. An affected person pays extra tax only on the share of earnings attributable to the balance above the threshold, so someone just over $3 million pays very little and the amount rises steeply with balance. Both thresholds move with inflation, so the 2023 criticism about unindexed thresholds no longer applies.</w:t>
            </w:r>
          </w:p>
        </w:tc>
        <w:tc>
          <w:tcPr>
            <w:tcW w:type="dxa" w:w="1906"/>
            <w:tcBorders>
              <w:top w:val="single" w:color="D9D8D2" w:sz="3"/>
              <w:left w:val="none" w:color="FFFFFF" w:sz="0"/>
              <w:bottom w:val="single" w:color="D9D8D2" w:sz="3"/>
              <w:right w:val="none" w:color="FFFFFF" w:sz="0"/>
            </w:tcBorders>
            <w:tcMar>
              <w:top w:type="dxa" w:w="70"/>
              <w:left w:type="dxa" w:w="100"/>
              <w:bottom w:type="dxa" w:w="70"/>
              <w:right w:type="dxa" w:w="100"/>
            </w:tcMar>
            <w:vAlign w:val="top"/>
          </w:tcPr>
          <w:p>
            <w:pPr>
              <w:spacing w:after="0" w:line="250"/>
            </w:pPr>
            <w:r>
              <w:rPr>
                <w:rFonts w:ascii="Arial" w:cs="Arial" w:eastAsia="Arial" w:hAnsi="Arial"/>
                <w:color w:val="898781"/>
                <w:sz w:val="13"/>
                <w:szCs w:val="13"/>
              </w:rPr>
              <w:t xml:space="preserve">ATO, 'Better targeted superannuation concessions', new legislation guidance (thresholds described as LSBT $3m and VLSBT $10m for 2026-27, 'indexed in line with CPI') · Retrieved 26 July 2026</w:t>
            </w:r>
          </w:p>
        </w:tc>
      </w:tr>
      <w:tr>
        <w:tc>
          <w:tcPr>
            <w:tcW w:type="dxa" w:w="3400"/>
            <w:tcBorders>
              <w:top w:val="single" w:color="D9D8D2" w:sz="3"/>
              <w:left w:val="none" w:color="FFFFFF" w:sz="0"/>
              <w:bottom w:val="single" w:color="D9D8D2" w:sz="3"/>
              <w:right w:val="none" w:color="FFFFFF" w:sz="0"/>
            </w:tcBorders>
            <w:shd w:fill="EFEEE9" w:color="auto" w:val="clear"/>
            <w:tcMar>
              <w:top w:type="dxa" w:w="70"/>
              <w:left w:type="dxa" w:w="100"/>
              <w:bottom w:type="dxa" w:w="70"/>
              <w:right w:type="dxa" w:w="100"/>
            </w:tcMar>
            <w:vAlign w:val="top"/>
          </w:tcPr>
          <w:p>
            <w:pPr>
              <w:spacing w:after="0" w:line="250"/>
            </w:pPr>
            <w:r>
              <w:rPr>
                <w:rFonts w:ascii="Arial" w:cs="Arial" w:eastAsia="Arial" w:hAnsi="Arial"/>
                <w:b/>
                <w:bCs/>
                <w:color w:val="012169"/>
                <w:sz w:val="14"/>
                <w:szCs w:val="14"/>
              </w:rPr>
              <w:t xml:space="preserve">Highest APRA member balance bracket: '$1,000,000+'</w:t>
            </w:r>
          </w:p>
        </w:tc>
        <w:tc>
          <w:tcPr>
            <w:tcW w:type="dxa" w:w="4600"/>
            <w:tcBorders>
              <w:top w:val="single" w:color="D9D8D2" w:sz="3"/>
              <w:left w:val="none" w:color="FFFFFF" w:sz="0"/>
              <w:bottom w:val="single" w:color="D9D8D2" w:sz="3"/>
              <w:right w:val="none" w:color="FFFFFF" w:sz="0"/>
            </w:tcBorders>
            <w:shd w:fill="EFEEE9" w:color="auto" w:val="clear"/>
            <w:tcMar>
              <w:top w:type="dxa" w:w="70"/>
              <w:left w:type="dxa" w:w="100"/>
              <w:bottom w:type="dxa" w:w="70"/>
              <w:right w:type="dxa" w:w="100"/>
            </w:tcMar>
            <w:vAlign w:val="top"/>
          </w:tcPr>
          <w:p>
            <w:pPr>
              <w:spacing w:after="0" w:line="250"/>
            </w:pPr>
            <w:r>
              <w:rPr>
                <w:rFonts w:ascii="Arial" w:cs="Arial" w:eastAsia="Arial" w:hAnsi="Arial"/>
                <w:color w:val="52514E"/>
                <w:sz w:val="13"/>
                <w:szCs w:val="13"/>
              </w:rPr>
              <w:t xml:space="preserve">The top reporting bracket is one third of the lower Division 296 threshold and one tenth of the upper. APRA cannot count, locate or size the affected population from its own collections. Because the collection is keyed to the member account within a single fund, while the tax threshold is measured across all of a person's superannuation, more brackets would improve visibility of large accounts but still could not produce the threshold view - only the ATO holds that.</w:t>
            </w:r>
          </w:p>
        </w:tc>
        <w:tc>
          <w:tcPr>
            <w:tcW w:type="dxa" w:w="1906"/>
            <w:tcBorders>
              <w:top w:val="single" w:color="D9D8D2" w:sz="3"/>
              <w:left w:val="none" w:color="FFFFFF" w:sz="0"/>
              <w:bottom w:val="single" w:color="D9D8D2" w:sz="3"/>
              <w:right w:val="none" w:color="FFFFFF" w:sz="0"/>
            </w:tcBorders>
            <w:shd w:fill="EFEEE9" w:color="auto" w:val="clear"/>
            <w:tcMar>
              <w:top w:type="dxa" w:w="70"/>
              <w:left w:type="dxa" w:w="100"/>
              <w:bottom w:type="dxa" w:w="70"/>
              <w:right w:type="dxa" w:w="100"/>
            </w:tcMar>
            <w:vAlign w:val="top"/>
          </w:tcPr>
          <w:p>
            <w:pPr>
              <w:spacing w:after="0" w:line="250"/>
            </w:pPr>
            <w:r>
              <w:rPr>
                <w:rFonts w:ascii="Arial" w:cs="Arial" w:eastAsia="Arial" w:hAnsi="Arial"/>
                <w:color w:val="898781"/>
                <w:sz w:val="13"/>
                <w:szCs w:val="13"/>
              </w:rPr>
              <w:t xml:space="preserve">Reporting Standard SRS 611.0 Member Accounts, SRF 611.0 Instructions, Members Benefit Bracket Type valid values (Table 1 Column 3; Table 2 Column 4) - verified against the instrument text · Instrument text retrieved 26 July 2026</w:t>
            </w:r>
          </w:p>
        </w:tc>
      </w:tr>
      <w:tr>
        <w:tc>
          <w:tcPr>
            <w:tcW w:type="dxa" w:w="3400"/>
            <w:tcBorders>
              <w:top w:val="single" w:color="D9D8D2" w:sz="3"/>
              <w:left w:val="none" w:color="FFFFFF" w:sz="0"/>
              <w:bottom w:val="single" w:color="D9D8D2" w:sz="3"/>
              <w:right w:val="none" w:color="FFFFFF" w:sz="0"/>
            </w:tcBorders>
            <w:tcMar>
              <w:top w:type="dxa" w:w="70"/>
              <w:left w:type="dxa" w:w="100"/>
              <w:bottom w:type="dxa" w:w="70"/>
              <w:right w:type="dxa" w:w="100"/>
            </w:tcMar>
            <w:vAlign w:val="top"/>
          </w:tcPr>
          <w:p>
            <w:pPr>
              <w:spacing w:after="0" w:line="250"/>
            </w:pPr>
            <w:r>
              <w:rPr>
                <w:rFonts w:ascii="Arial" w:cs="Arial" w:eastAsia="Arial" w:hAnsi="Arial"/>
                <w:b/>
                <w:bCs/>
                <w:color w:val="012169"/>
                <w:sz w:val="14"/>
                <w:szCs w:val="14"/>
              </w:rPr>
              <w:t xml:space="preserve">23 RSE licensees reviewed, holding $2,018 billion at 30 June 2024 (around 80% of APRA-regulated superannuation assets) and 18.7 million member accounts; 12 of the 23 require material improvement</w:t>
            </w:r>
          </w:p>
        </w:tc>
        <w:tc>
          <w:tcPr>
            <w:tcW w:type="dxa" w:w="4600"/>
            <w:tcBorders>
              <w:top w:val="single" w:color="D9D8D2" w:sz="3"/>
              <w:left w:val="none" w:color="FFFFFF" w:sz="0"/>
              <w:bottom w:val="single" w:color="D9D8D2" w:sz="3"/>
              <w:right w:val="none" w:color="FFFFFF" w:sz="0"/>
            </w:tcBorders>
            <w:tcMar>
              <w:top w:type="dxa" w:w="70"/>
              <w:left w:type="dxa" w:w="100"/>
              <w:bottom w:type="dxa" w:w="70"/>
              <w:right w:type="dxa" w:w="100"/>
            </w:tcMar>
            <w:vAlign w:val="top"/>
          </w:tcPr>
          <w:p>
            <w:pPr>
              <w:spacing w:after="0" w:line="250"/>
            </w:pPr>
            <w:r>
              <w:rPr>
                <w:rFonts w:ascii="Arial" w:cs="Arial" w:eastAsia="Arial" w:hAnsi="Arial"/>
                <w:color w:val="52514E"/>
                <w:sz w:val="13"/>
                <w:szCs w:val="13"/>
              </w:rPr>
              <w:t xml:space="preserve">CORRECTED from the draft, which attached the $2,018bn and 18.7m figures to the 12 licensees rather than to the full review population - roughly doubling the apparent scale of the adverse finding. The accurate statement is that the scope figures describe all 23; 12 of them require material improvement in valuation governance, liquidity risk management or both (8 on each limb).</w:t>
            </w:r>
          </w:p>
        </w:tc>
        <w:tc>
          <w:tcPr>
            <w:tcW w:type="dxa" w:w="1906"/>
            <w:tcBorders>
              <w:top w:val="single" w:color="D9D8D2" w:sz="3"/>
              <w:left w:val="none" w:color="FFFFFF" w:sz="0"/>
              <w:bottom w:val="single" w:color="D9D8D2" w:sz="3"/>
              <w:right w:val="none" w:color="FFFFFF" w:sz="0"/>
            </w:tcBorders>
            <w:tcMar>
              <w:top w:type="dxa" w:w="70"/>
              <w:left w:type="dxa" w:w="100"/>
              <w:bottom w:type="dxa" w:w="70"/>
              <w:right w:type="dxa" w:w="100"/>
            </w:tcMar>
            <w:vAlign w:val="top"/>
          </w:tcPr>
          <w:p>
            <w:pPr>
              <w:spacing w:after="0" w:line="250"/>
            </w:pPr>
            <w:r>
              <w:rPr>
                <w:rFonts w:ascii="Arial" w:cs="Arial" w:eastAsia="Arial" w:hAnsi="Arial"/>
                <w:color w:val="898781"/>
                <w:sz w:val="13"/>
                <w:szCs w:val="13"/>
              </w:rPr>
              <w:t xml:space="preserve">APRA, 'Governance of unlisted asset valuation and liquidity risk management in superannuation', 17 December 2024 · 30 June 2024 (asset figure); review published 17 December 2024</w:t>
            </w:r>
          </w:p>
        </w:tc>
      </w:tr>
      <w:tr>
        <w:tc>
          <w:tcPr>
            <w:tcW w:type="dxa" w:w="3400"/>
            <w:tcBorders>
              <w:top w:val="single" w:color="D9D8D2" w:sz="3"/>
              <w:left w:val="none" w:color="FFFFFF" w:sz="0"/>
              <w:bottom w:val="single" w:color="D9D8D2" w:sz="3"/>
              <w:right w:val="none" w:color="FFFFFF" w:sz="0"/>
            </w:tcBorders>
            <w:shd w:fill="EFEEE9" w:color="auto" w:val="clear"/>
            <w:tcMar>
              <w:top w:type="dxa" w:w="70"/>
              <w:left w:type="dxa" w:w="100"/>
              <w:bottom w:type="dxa" w:w="70"/>
              <w:right w:type="dxa" w:w="100"/>
            </w:tcMar>
            <w:vAlign w:val="top"/>
          </w:tcPr>
          <w:p>
            <w:pPr>
              <w:spacing w:after="0" w:line="250"/>
            </w:pPr>
            <w:r>
              <w:rPr>
                <w:rFonts w:ascii="Arial" w:cs="Arial" w:eastAsia="Arial" w:hAnsi="Arial"/>
                <w:b/>
                <w:bCs/>
                <w:color w:val="012169"/>
                <w:sz w:val="14"/>
                <w:szCs w:val="14"/>
              </w:rPr>
              <w:t xml:space="preserve">The liquidity subgroup requiring material improvement represents 27% of funds under management and 5.4 million member accounts</w:t>
            </w:r>
          </w:p>
        </w:tc>
        <w:tc>
          <w:tcPr>
            <w:tcW w:type="dxa" w:w="4600"/>
            <w:tcBorders>
              <w:top w:val="single" w:color="D9D8D2" w:sz="3"/>
              <w:left w:val="none" w:color="FFFFFF" w:sz="0"/>
              <w:bottom w:val="single" w:color="D9D8D2" w:sz="3"/>
              <w:right w:val="none" w:color="FFFFFF" w:sz="0"/>
            </w:tcBorders>
            <w:shd w:fill="EFEEE9" w:color="auto" w:val="clear"/>
            <w:tcMar>
              <w:top w:type="dxa" w:w="70"/>
              <w:left w:type="dxa" w:w="100"/>
              <w:bottom w:type="dxa" w:w="70"/>
              <w:right w:type="dxa" w:w="100"/>
            </w:tcMar>
            <w:vAlign w:val="top"/>
          </w:tcPr>
          <w:p>
            <w:pPr>
              <w:spacing w:after="0" w:line="250"/>
            </w:pPr>
            <w:r>
              <w:rPr>
                <w:rFonts w:ascii="Arial" w:cs="Arial" w:eastAsia="Arial" w:hAnsi="Arial"/>
                <w:color w:val="52514E"/>
                <w:sz w:val="13"/>
                <w:szCs w:val="13"/>
              </w:rPr>
              <w:t xml:space="preserve">The correctly sized adverse finding, as distinct from the review's total scope. This is the figure to use when describing how much of the system sits with licensees APRA has already judged to need material improvement on liquidity risk management.</w:t>
            </w:r>
          </w:p>
        </w:tc>
        <w:tc>
          <w:tcPr>
            <w:tcW w:type="dxa" w:w="1906"/>
            <w:tcBorders>
              <w:top w:val="single" w:color="D9D8D2" w:sz="3"/>
              <w:left w:val="none" w:color="FFFFFF" w:sz="0"/>
              <w:bottom w:val="single" w:color="D9D8D2" w:sz="3"/>
              <w:right w:val="none" w:color="FFFFFF" w:sz="0"/>
            </w:tcBorders>
            <w:shd w:fill="EFEEE9" w:color="auto" w:val="clear"/>
            <w:tcMar>
              <w:top w:type="dxa" w:w="70"/>
              <w:left w:type="dxa" w:w="100"/>
              <w:bottom w:type="dxa" w:w="70"/>
              <w:right w:type="dxa" w:w="100"/>
            </w:tcMar>
            <w:vAlign w:val="top"/>
          </w:tcPr>
          <w:p>
            <w:pPr>
              <w:spacing w:after="0" w:line="250"/>
            </w:pPr>
            <w:r>
              <w:rPr>
                <w:rFonts w:ascii="Arial" w:cs="Arial" w:eastAsia="Arial" w:hAnsi="Arial"/>
                <w:color w:val="898781"/>
                <w:sz w:val="13"/>
                <w:szCs w:val="13"/>
              </w:rPr>
              <w:t xml:space="preserve">APRA, 'Governance of unlisted asset valuation and liquidity risk management in superannuation', 17 December 2024 · 17 December 2024</w:t>
            </w:r>
          </w:p>
        </w:tc>
      </w:tr>
      <w:tr>
        <w:tc>
          <w:tcPr>
            <w:tcW w:type="dxa" w:w="3400"/>
            <w:tcBorders>
              <w:top w:val="single" w:color="D9D8D2" w:sz="3"/>
              <w:left w:val="none" w:color="FFFFFF" w:sz="0"/>
              <w:bottom w:val="single" w:color="D9D8D2" w:sz="3"/>
              <w:right w:val="none" w:color="FFFFFF" w:sz="0"/>
            </w:tcBorders>
            <w:tcMar>
              <w:top w:type="dxa" w:w="70"/>
              <w:left w:type="dxa" w:w="100"/>
              <w:bottom w:type="dxa" w:w="70"/>
              <w:right w:type="dxa" w:w="100"/>
            </w:tcMar>
            <w:vAlign w:val="top"/>
          </w:tcPr>
          <w:p>
            <w:pPr>
              <w:spacing w:after="0" w:line="250"/>
            </w:pPr>
            <w:r>
              <w:rPr>
                <w:rFonts w:ascii="Arial" w:cs="Arial" w:eastAsia="Arial" w:hAnsi="Arial"/>
                <w:b/>
                <w:bCs/>
                <w:color w:val="012169"/>
                <w:sz w:val="14"/>
                <w:szCs w:val="14"/>
              </w:rPr>
              <w:t xml:space="preserve">11 of 23 licensees had a dedicated valuation committee; committee members 'included individuals whose remuneration may be dependent on the outcome of the valuation process'; 'Some assets may not be revalued for multiple quarters at a time'</w:t>
            </w:r>
          </w:p>
        </w:tc>
        <w:tc>
          <w:tcPr>
            <w:tcW w:type="dxa" w:w="4600"/>
            <w:tcBorders>
              <w:top w:val="single" w:color="D9D8D2" w:sz="3"/>
              <w:left w:val="none" w:color="FFFFFF" w:sz="0"/>
              <w:bottom w:val="single" w:color="D9D8D2" w:sz="3"/>
              <w:right w:val="none" w:color="FFFFFF" w:sz="0"/>
            </w:tcBorders>
            <w:tcMar>
              <w:top w:type="dxa" w:w="70"/>
              <w:left w:type="dxa" w:w="100"/>
              <w:bottom w:type="dxa" w:w="70"/>
              <w:right w:type="dxa" w:w="100"/>
            </w:tcMar>
            <w:vAlign w:val="top"/>
          </w:tcPr>
          <w:p>
            <w:pPr>
              <w:spacing w:after="0" w:line="250"/>
            </w:pPr>
            <w:r>
              <w:rPr>
                <w:rFonts w:ascii="Arial" w:cs="Arial" w:eastAsia="Arial" w:hAnsi="Arial"/>
                <w:color w:val="52514E"/>
                <w:sz w:val="13"/>
                <w:szCs w:val="13"/>
              </w:rPr>
              <w:t xml:space="preserve">APRA has already published adverse findings on the precise control that now also influences a member's personal tax position, because the 30 June balance determines both whether a member is over the threshold and the proportion of earnings taxed. The more likely complaint direction is upward revaluation lifting members over the threshold, which happens innocently, rather than downward suppression, which would require alleging misconduct.</w:t>
            </w:r>
          </w:p>
        </w:tc>
        <w:tc>
          <w:tcPr>
            <w:tcW w:type="dxa" w:w="1906"/>
            <w:tcBorders>
              <w:top w:val="single" w:color="D9D8D2" w:sz="3"/>
              <w:left w:val="none" w:color="FFFFFF" w:sz="0"/>
              <w:bottom w:val="single" w:color="D9D8D2" w:sz="3"/>
              <w:right w:val="none" w:color="FFFFFF" w:sz="0"/>
            </w:tcBorders>
            <w:tcMar>
              <w:top w:type="dxa" w:w="70"/>
              <w:left w:type="dxa" w:w="100"/>
              <w:bottom w:type="dxa" w:w="70"/>
              <w:right w:type="dxa" w:w="100"/>
            </w:tcMar>
            <w:vAlign w:val="top"/>
          </w:tcPr>
          <w:p>
            <w:pPr>
              <w:spacing w:after="0" w:line="250"/>
            </w:pPr>
            <w:r>
              <w:rPr>
                <w:rFonts w:ascii="Arial" w:cs="Arial" w:eastAsia="Arial" w:hAnsi="Arial"/>
                <w:color w:val="898781"/>
                <w:sz w:val="13"/>
                <w:szCs w:val="13"/>
              </w:rPr>
              <w:t xml:space="preserve">APRA, 'Governance of unlisted asset valuation and liquidity risk management in superannuation', 17 December 2024 (quotes verified verbatim) · 17 December 2024</w:t>
            </w:r>
          </w:p>
        </w:tc>
      </w:tr>
      <w:tr>
        <w:tc>
          <w:tcPr>
            <w:tcW w:type="dxa" w:w="3400"/>
            <w:tcBorders>
              <w:top w:val="single" w:color="D9D8D2" w:sz="3"/>
              <w:left w:val="none" w:color="FFFFFF" w:sz="0"/>
              <w:bottom w:val="single" w:color="D9D8D2" w:sz="3"/>
              <w:right w:val="none" w:color="FFFFFF" w:sz="0"/>
            </w:tcBorders>
            <w:shd w:fill="EFEEE9" w:color="auto" w:val="clear"/>
            <w:tcMar>
              <w:top w:type="dxa" w:w="70"/>
              <w:left w:type="dxa" w:w="100"/>
              <w:bottom w:type="dxa" w:w="70"/>
              <w:right w:type="dxa" w:w="100"/>
            </w:tcMar>
            <w:vAlign w:val="top"/>
          </w:tcPr>
          <w:p>
            <w:pPr>
              <w:spacing w:after="0" w:line="250"/>
            </w:pPr>
            <w:r>
              <w:rPr>
                <w:rFonts w:ascii="Arial" w:cs="Arial" w:eastAsia="Arial" w:hAnsi="Arial"/>
                <w:b/>
                <w:bCs/>
                <w:color w:val="012169"/>
                <w:sz w:val="14"/>
                <w:szCs w:val="14"/>
              </w:rPr>
              <w:t xml:space="preserve">Stress test: $174 billion cumulative liquidity demand (just under 16% of net assets), peak monthly calls around $30 billion (less than 7% of available liquid assets); funds sold $81 billion of equities and $11 billion of fixed income and 'largely avoided selling unlisted assets to meet liquidity needs'</w:t>
            </w:r>
          </w:p>
        </w:tc>
        <w:tc>
          <w:tcPr>
            <w:tcW w:type="dxa" w:w="4600"/>
            <w:tcBorders>
              <w:top w:val="single" w:color="D9D8D2" w:sz="3"/>
              <w:left w:val="none" w:color="FFFFFF" w:sz="0"/>
              <w:bottom w:val="single" w:color="D9D8D2" w:sz="3"/>
              <w:right w:val="none" w:color="FFFFFF" w:sz="0"/>
            </w:tcBorders>
            <w:shd w:fill="EFEEE9" w:color="auto" w:val="clear"/>
            <w:tcMar>
              <w:top w:type="dxa" w:w="70"/>
              <w:left w:type="dxa" w:w="100"/>
              <w:bottom w:type="dxa" w:w="70"/>
              <w:right w:type="dxa" w:w="100"/>
            </w:tcMar>
            <w:vAlign w:val="top"/>
          </w:tcPr>
          <w:p>
            <w:pPr>
              <w:spacing w:after="0" w:line="250"/>
            </w:pPr>
            <w:r>
              <w:rPr>
                <w:rFonts w:ascii="Arial" w:cs="Arial" w:eastAsia="Arial" w:hAnsi="Arial"/>
                <w:color w:val="52514E"/>
                <w:sz w:val="13"/>
                <w:szCs w:val="13"/>
              </w:rPr>
              <w:t xml:space="preserve">RESTATED - the draft's claim that funds met the shock 'without selling a single unlisted asset' is not what the report says and should not be repeated. The accurate version still makes the point: under a severe shock, funds met very large calls primarily by selling listed assets and largely avoided unlisted sales. This is the right calibration against which to judge Division 296 outflow, which is far smaller.</w:t>
            </w:r>
          </w:p>
        </w:tc>
        <w:tc>
          <w:tcPr>
            <w:tcW w:type="dxa" w:w="1906"/>
            <w:tcBorders>
              <w:top w:val="single" w:color="D9D8D2" w:sz="3"/>
              <w:left w:val="none" w:color="FFFFFF" w:sz="0"/>
              <w:bottom w:val="single" w:color="D9D8D2" w:sz="3"/>
              <w:right w:val="none" w:color="FFFFFF" w:sz="0"/>
            </w:tcBorders>
            <w:shd w:fill="EFEEE9" w:color="auto" w:val="clear"/>
            <w:tcMar>
              <w:top w:type="dxa" w:w="70"/>
              <w:left w:type="dxa" w:w="100"/>
              <w:bottom w:type="dxa" w:w="70"/>
              <w:right w:type="dxa" w:w="100"/>
            </w:tcMar>
            <w:vAlign w:val="top"/>
          </w:tcPr>
          <w:p>
            <w:pPr>
              <w:spacing w:after="0" w:line="250"/>
            </w:pPr>
            <w:r>
              <w:rPr>
                <w:rFonts w:ascii="Arial" w:cs="Arial" w:eastAsia="Arial" w:hAnsi="Arial"/>
                <w:color w:val="898781"/>
                <w:sz w:val="13"/>
                <w:szCs w:val="13"/>
              </w:rPr>
              <w:t xml:space="preserve">APRA, System Risk Stress Test, 30 June 2026 (quotes verified verbatim) · 30 June 2026</w:t>
            </w:r>
          </w:p>
        </w:tc>
      </w:tr>
      <w:tr>
        <w:tc>
          <w:tcPr>
            <w:tcW w:type="dxa" w:w="3400"/>
            <w:tcBorders>
              <w:top w:val="single" w:color="D9D8D2" w:sz="3"/>
              <w:left w:val="none" w:color="FFFFFF" w:sz="0"/>
              <w:bottom w:val="single" w:color="D9D8D2" w:sz="3"/>
              <w:right w:val="none" w:color="FFFFFF" w:sz="0"/>
            </w:tcBorders>
            <w:tcMar>
              <w:top w:type="dxa" w:w="70"/>
              <w:left w:type="dxa" w:w="100"/>
              <w:bottom w:type="dxa" w:w="70"/>
              <w:right w:type="dxa" w:w="100"/>
            </w:tcMar>
            <w:vAlign w:val="top"/>
          </w:tcPr>
          <w:p>
            <w:pPr>
              <w:spacing w:after="0" w:line="250"/>
            </w:pPr>
            <w:r>
              <w:rPr>
                <w:rFonts w:ascii="Arial" w:cs="Arial" w:eastAsia="Arial" w:hAnsi="Arial"/>
                <w:b/>
                <w:bCs/>
                <w:color w:val="012169"/>
                <w:sz w:val="14"/>
                <w:szCs w:val="14"/>
              </w:rPr>
              <w:t xml:space="preserve">Allocations to illiquid assets in MySuper options increased substantially under the stress test, with the unlisted share rising from roughly 29% to 37%</w:t>
            </w:r>
          </w:p>
        </w:tc>
        <w:tc>
          <w:tcPr>
            <w:tcW w:type="dxa" w:w="4600"/>
            <w:tcBorders>
              <w:top w:val="single" w:color="D9D8D2" w:sz="3"/>
              <w:left w:val="none" w:color="FFFFFF" w:sz="0"/>
              <w:bottom w:val="single" w:color="D9D8D2" w:sz="3"/>
              <w:right w:val="none" w:color="FFFFFF" w:sz="0"/>
            </w:tcBorders>
            <w:tcMar>
              <w:top w:type="dxa" w:w="70"/>
              <w:left w:type="dxa" w:w="100"/>
              <w:bottom w:type="dxa" w:w="70"/>
              <w:right w:type="dxa" w:w="100"/>
            </w:tcMar>
            <w:vAlign w:val="top"/>
          </w:tcPr>
          <w:p>
            <w:pPr>
              <w:spacing w:after="0" w:line="250"/>
            </w:pPr>
            <w:r>
              <w:rPr>
                <w:rFonts w:ascii="Arial" w:cs="Arial" w:eastAsia="Arial" w:hAnsi="Arial"/>
                <w:color w:val="52514E"/>
                <w:sz w:val="13"/>
                <w:szCs w:val="13"/>
              </w:rPr>
              <w:t xml:space="preserve">Because funds met the shock by selling listed assets, the unlisted share of the remaining portfolio rose sharply. This is the composition effect to watch rather than a cash shortfall, and it is the reason liquidity should not be dismissed entirely even though aggregate Division 296 outflow is small.</w:t>
            </w:r>
          </w:p>
        </w:tc>
        <w:tc>
          <w:tcPr>
            <w:tcW w:type="dxa" w:w="1906"/>
            <w:tcBorders>
              <w:top w:val="single" w:color="D9D8D2" w:sz="3"/>
              <w:left w:val="none" w:color="FFFFFF" w:sz="0"/>
              <w:bottom w:val="single" w:color="D9D8D2" w:sz="3"/>
              <w:right w:val="none" w:color="FFFFFF" w:sz="0"/>
            </w:tcBorders>
            <w:tcMar>
              <w:top w:type="dxa" w:w="70"/>
              <w:left w:type="dxa" w:w="100"/>
              <w:bottom w:type="dxa" w:w="70"/>
              <w:right w:type="dxa" w:w="100"/>
            </w:tcMar>
            <w:vAlign w:val="top"/>
          </w:tcPr>
          <w:p>
            <w:pPr>
              <w:spacing w:after="0" w:line="250"/>
            </w:pPr>
            <w:r>
              <w:rPr>
                <w:rFonts w:ascii="Arial" w:cs="Arial" w:eastAsia="Arial" w:hAnsi="Arial"/>
                <w:color w:val="898781"/>
                <w:sz w:val="13"/>
                <w:szCs w:val="13"/>
              </w:rPr>
              <w:t xml:space="preserve">APRA, System Risk Stress Test, 30 June 2026 · 30 June 2026</w:t>
            </w:r>
          </w:p>
        </w:tc>
      </w:tr>
      <w:tr>
        <w:tc>
          <w:tcPr>
            <w:tcW w:type="dxa" w:w="3400"/>
            <w:tcBorders>
              <w:top w:val="single" w:color="D9D8D2" w:sz="3"/>
              <w:left w:val="none" w:color="FFFFFF" w:sz="0"/>
              <w:bottom w:val="single" w:color="D9D8D2" w:sz="3"/>
              <w:right w:val="none" w:color="FFFFFF" w:sz="0"/>
            </w:tcBorders>
            <w:shd w:fill="EFEEE9" w:color="auto" w:val="clear"/>
            <w:tcMar>
              <w:top w:type="dxa" w:w="70"/>
              <w:left w:type="dxa" w:w="100"/>
              <w:bottom w:type="dxa" w:w="70"/>
              <w:right w:type="dxa" w:w="100"/>
            </w:tcMar>
            <w:vAlign w:val="top"/>
          </w:tcPr>
          <w:p>
            <w:pPr>
              <w:spacing w:after="0" w:line="250"/>
            </w:pPr>
            <w:r>
              <w:rPr>
                <w:rFonts w:ascii="Arial" w:cs="Arial" w:eastAsia="Arial" w:hAnsi="Arial"/>
                <w:b/>
                <w:bCs/>
                <w:color w:val="012169"/>
                <w:sz w:val="14"/>
                <w:szCs w:val="14"/>
              </w:rPr>
              <w:t xml:space="preserve">ATO information requests: defined benefit and certain other interests from November 2027 with 10 business days to respond; other APRA-regulated funds from April with 28 calendar days; early assessments from March 2028</w:t>
            </w:r>
          </w:p>
        </w:tc>
        <w:tc>
          <w:tcPr>
            <w:tcW w:type="dxa" w:w="4600"/>
            <w:tcBorders>
              <w:top w:val="single" w:color="D9D8D2" w:sz="3"/>
              <w:left w:val="none" w:color="FFFFFF" w:sz="0"/>
              <w:bottom w:val="single" w:color="D9D8D2" w:sz="3"/>
              <w:right w:val="none" w:color="FFFFFF" w:sz="0"/>
            </w:tcBorders>
            <w:shd w:fill="EFEEE9" w:color="auto" w:val="clear"/>
            <w:tcMar>
              <w:top w:type="dxa" w:w="70"/>
              <w:left w:type="dxa" w:w="100"/>
              <w:bottom w:type="dxa" w:w="70"/>
              <w:right w:type="dxa" w:w="100"/>
            </w:tcMar>
            <w:vAlign w:val="top"/>
          </w:tcPr>
          <w:p>
            <w:pPr>
              <w:spacing w:after="0" w:line="250"/>
            </w:pPr>
            <w:r>
              <w:rPr>
                <w:rFonts w:ascii="Arial" w:cs="Arial" w:eastAsia="Arial" w:hAnsi="Arial"/>
                <w:color w:val="52514E"/>
                <w:sz w:val="13"/>
                <w:szCs w:val="13"/>
              </w:rPr>
              <w:t xml:space="preserve">TIMING DISCREPANCY DISCLOSED. The indicative date for non-defined-benefit APRA funds moved between meetings: the 18 February 2026 record refers to 'APRA RFIs February 2028' (timed to follow income tax returns due end of January 2028), while the 20 May 2026 record refers to requests commencing in April. These are ATO indicative planning dates, not settled deadlines; the ATO has said requests may issue outside these timeframes and that it will consider extensions in the first year. The 10 business day window for defined benefit funds is consistent across both records.</w:t>
            </w:r>
          </w:p>
        </w:tc>
        <w:tc>
          <w:tcPr>
            <w:tcW w:type="dxa" w:w="1906"/>
            <w:tcBorders>
              <w:top w:val="single" w:color="D9D8D2" w:sz="3"/>
              <w:left w:val="none" w:color="FFFFFF" w:sz="0"/>
              <w:bottom w:val="single" w:color="D9D8D2" w:sz="3"/>
              <w:right w:val="none" w:color="FFFFFF" w:sz="0"/>
            </w:tcBorders>
            <w:shd w:fill="EFEEE9" w:color="auto" w:val="clear"/>
            <w:tcMar>
              <w:top w:type="dxa" w:w="70"/>
              <w:left w:type="dxa" w:w="100"/>
              <w:bottom w:type="dxa" w:w="70"/>
              <w:right w:type="dxa" w:w="100"/>
            </w:tcMar>
            <w:vAlign w:val="top"/>
          </w:tcPr>
          <w:p>
            <w:pPr>
              <w:spacing w:after="0" w:line="250"/>
            </w:pPr>
            <w:r>
              <w:rPr>
                <w:rFonts w:ascii="Arial" w:cs="Arial" w:eastAsia="Arial" w:hAnsi="Arial"/>
                <w:color w:val="898781"/>
                <w:sz w:val="13"/>
                <w:szCs w:val="13"/>
              </w:rPr>
              <w:t xml:space="preserve">ATO Superannuation Administration Group key messages, 18 February 2026 and 20 May 2026 (cited separately because they differ) · 20 May 2026</w:t>
            </w:r>
          </w:p>
        </w:tc>
      </w:tr>
      <w:tr>
        <w:tc>
          <w:tcPr>
            <w:tcW w:type="dxa" w:w="3400"/>
            <w:tcBorders>
              <w:top w:val="single" w:color="D9D8D2" w:sz="3"/>
              <w:left w:val="none" w:color="FFFFFF" w:sz="0"/>
              <w:bottom w:val="single" w:color="D9D8D2" w:sz="3"/>
              <w:right w:val="none" w:color="FFFFFF" w:sz="0"/>
            </w:tcBorders>
            <w:tcMar>
              <w:top w:type="dxa" w:w="70"/>
              <w:left w:type="dxa" w:w="100"/>
              <w:bottom w:type="dxa" w:w="70"/>
              <w:right w:type="dxa" w:w="100"/>
            </w:tcMar>
            <w:vAlign w:val="top"/>
          </w:tcPr>
          <w:p>
            <w:pPr>
              <w:spacing w:after="0" w:line="250"/>
            </w:pPr>
            <w:r>
              <w:rPr>
                <w:rFonts w:ascii="Arial" w:cs="Arial" w:eastAsia="Arial" w:hAnsi="Arial"/>
                <w:b/>
                <w:bCs/>
                <w:color w:val="012169"/>
                <w:sz w:val="14"/>
                <w:szCs w:val="14"/>
              </w:rPr>
              <w:t xml:space="preserve">Income Tax Assessment (1997 Act) Amendment (Building a Stronger and Fairer Super System and Other Measures) Regulations 2026 (F2026L00726) registered 18 June 2026</w:t>
            </w:r>
          </w:p>
        </w:tc>
        <w:tc>
          <w:tcPr>
            <w:tcW w:type="dxa" w:w="4600"/>
            <w:tcBorders>
              <w:top w:val="single" w:color="D9D8D2" w:sz="3"/>
              <w:left w:val="none" w:color="FFFFFF" w:sz="0"/>
              <w:bottom w:val="single" w:color="D9D8D2" w:sz="3"/>
              <w:right w:val="none" w:color="FFFFFF" w:sz="0"/>
            </w:tcBorders>
            <w:tcMar>
              <w:top w:type="dxa" w:w="70"/>
              <w:left w:type="dxa" w:w="100"/>
              <w:bottom w:type="dxa" w:w="70"/>
              <w:right w:type="dxa" w:w="100"/>
            </w:tcMar>
            <w:vAlign w:val="top"/>
          </w:tcPr>
          <w:p>
            <w:pPr>
              <w:spacing w:after="0" w:line="250"/>
            </w:pPr>
            <w:r>
              <w:rPr>
                <w:rFonts w:ascii="Arial" w:cs="Arial" w:eastAsia="Arial" w:hAnsi="Arial"/>
                <w:color w:val="52514E"/>
                <w:sz w:val="13"/>
                <w:szCs w:val="13"/>
              </w:rPr>
              <w:t xml:space="preserve">The regulations were registered twelve days before the first measurement year began on 1 July 2026. Every dividend, rent payment and asset sale since that date is already inside the tax base, while the ATO's detailed guidance on how to perform the calculation and attribution is still being developed through its co-design process.</w:t>
            </w:r>
          </w:p>
        </w:tc>
        <w:tc>
          <w:tcPr>
            <w:tcW w:type="dxa" w:w="1906"/>
            <w:tcBorders>
              <w:top w:val="single" w:color="D9D8D2" w:sz="3"/>
              <w:left w:val="none" w:color="FFFFFF" w:sz="0"/>
              <w:bottom w:val="single" w:color="D9D8D2" w:sz="3"/>
              <w:right w:val="none" w:color="FFFFFF" w:sz="0"/>
            </w:tcBorders>
            <w:tcMar>
              <w:top w:type="dxa" w:w="70"/>
              <w:left w:type="dxa" w:w="100"/>
              <w:bottom w:type="dxa" w:w="70"/>
              <w:right w:type="dxa" w:w="100"/>
            </w:tcMar>
            <w:vAlign w:val="top"/>
          </w:tcPr>
          <w:p>
            <w:pPr>
              <w:spacing w:after="0" w:line="250"/>
            </w:pPr>
            <w:r>
              <w:rPr>
                <w:rFonts w:ascii="Arial" w:cs="Arial" w:eastAsia="Arial" w:hAnsi="Arial"/>
                <w:color w:val="898781"/>
                <w:sz w:val="13"/>
                <w:szCs w:val="13"/>
              </w:rPr>
              <w:t xml:space="preserve">Federal Register of Legislation, F2026L00726 (title and registration date verified) · Registered 18 June 2026</w:t>
            </w:r>
          </w:p>
        </w:tc>
      </w:tr>
      <w:tr>
        <w:tc>
          <w:tcPr>
            <w:tcW w:type="dxa" w:w="3400"/>
            <w:tcBorders>
              <w:top w:val="single" w:color="D9D8D2" w:sz="3"/>
              <w:left w:val="none" w:color="FFFFFF" w:sz="0"/>
              <w:bottom w:val="single" w:color="D9D8D2" w:sz="3"/>
              <w:right w:val="none" w:color="FFFFFF" w:sz="0"/>
            </w:tcBorders>
            <w:shd w:fill="EFEEE9" w:color="auto" w:val="clear"/>
            <w:tcMar>
              <w:top w:type="dxa" w:w="70"/>
              <w:left w:type="dxa" w:w="100"/>
              <w:bottom w:type="dxa" w:w="70"/>
              <w:right w:type="dxa" w:w="100"/>
            </w:tcMar>
            <w:vAlign w:val="top"/>
          </w:tcPr>
          <w:p>
            <w:pPr>
              <w:spacing w:after="0" w:line="250"/>
            </w:pPr>
            <w:r>
              <w:rPr>
                <w:rFonts w:ascii="Arial" w:cs="Arial" w:eastAsia="Arial" w:hAnsi="Arial"/>
                <w:b/>
                <w:bCs/>
                <w:color w:val="012169"/>
                <w:sz w:val="14"/>
                <w:szCs w:val="14"/>
              </w:rPr>
              <w:t xml:space="preserve">Payday Super also commenced 1 July 2026, requiring contributions to be allocated or returned within three business days; APRA wrote to all RSE licensees on 25 March 2026 warning that a material number were not on track to deliver SuperStream 3.0</w:t>
            </w:r>
          </w:p>
        </w:tc>
        <w:tc>
          <w:tcPr>
            <w:tcW w:type="dxa" w:w="4600"/>
            <w:tcBorders>
              <w:top w:val="single" w:color="D9D8D2" w:sz="3"/>
              <w:left w:val="none" w:color="FFFFFF" w:sz="0"/>
              <w:bottom w:val="single" w:color="D9D8D2" w:sz="3"/>
              <w:right w:val="none" w:color="FFFFFF" w:sz="0"/>
            </w:tcBorders>
            <w:shd w:fill="EFEEE9" w:color="auto" w:val="clear"/>
            <w:tcMar>
              <w:top w:type="dxa" w:w="70"/>
              <w:left w:type="dxa" w:w="100"/>
              <w:bottom w:type="dxa" w:w="70"/>
              <w:right w:type="dxa" w:w="100"/>
            </w:tcMar>
            <w:vAlign w:val="top"/>
          </w:tcPr>
          <w:p>
            <w:pPr>
              <w:spacing w:after="0" w:line="250"/>
            </w:pPr>
            <w:r>
              <w:rPr>
                <w:rFonts w:ascii="Arial" w:cs="Arial" w:eastAsia="Arial" w:hAnsi="Arial"/>
                <w:color w:val="52514E"/>
                <w:sz w:val="13"/>
                <w:szCs w:val="13"/>
              </w:rPr>
              <w:t xml:space="preserve">Two major changes landed on the same administration systems on the same day, competing for the same finite administrator change capacity - and Payday Super carried the earlier, more visible deadline. This is the change-saturation risk. It also supplies a precedent: the Payday Super letter did exactly what is proposed here for Division 296, including stating that contribution processing should be treated as a CPS 230 critical operation and that significant breaches 'would necessitate a breach notification to APRA' under s29JA of the SIS Act.</w:t>
            </w:r>
          </w:p>
        </w:tc>
        <w:tc>
          <w:tcPr>
            <w:tcW w:type="dxa" w:w="1906"/>
            <w:tcBorders>
              <w:top w:val="single" w:color="D9D8D2" w:sz="3"/>
              <w:left w:val="none" w:color="FFFFFF" w:sz="0"/>
              <w:bottom w:val="single" w:color="D9D8D2" w:sz="3"/>
              <w:right w:val="none" w:color="FFFFFF" w:sz="0"/>
            </w:tcBorders>
            <w:shd w:fill="EFEEE9" w:color="auto" w:val="clear"/>
            <w:tcMar>
              <w:top w:type="dxa" w:w="70"/>
              <w:left w:type="dxa" w:w="100"/>
              <w:bottom w:type="dxa" w:w="70"/>
              <w:right w:type="dxa" w:w="100"/>
            </w:tcMar>
            <w:vAlign w:val="top"/>
          </w:tcPr>
          <w:p>
            <w:pPr>
              <w:spacing w:after="0" w:line="250"/>
            </w:pPr>
            <w:r>
              <w:rPr>
                <w:rFonts w:ascii="Arial" w:cs="Arial" w:eastAsia="Arial" w:hAnsi="Arial"/>
                <w:color w:val="898781"/>
                <w:sz w:val="13"/>
                <w:szCs w:val="13"/>
              </w:rPr>
              <w:t xml:space="preserve">APRA, 'Payday Super Readiness' letter to all RSE licensees, 25 March 2026 · 25 March 2026</w:t>
            </w:r>
          </w:p>
        </w:tc>
      </w:tr>
      <w:tr>
        <w:tc>
          <w:tcPr>
            <w:tcW w:type="dxa" w:w="3400"/>
            <w:tcBorders>
              <w:top w:val="single" w:color="D9D8D2" w:sz="3"/>
              <w:left w:val="none" w:color="FFFFFF" w:sz="0"/>
              <w:bottom w:val="single" w:color="D9D8D2" w:sz="3"/>
              <w:right w:val="none" w:color="FFFFFF" w:sz="0"/>
            </w:tcBorders>
            <w:tcMar>
              <w:top w:type="dxa" w:w="70"/>
              <w:left w:type="dxa" w:w="100"/>
              <w:bottom w:type="dxa" w:w="70"/>
              <w:right w:type="dxa" w:w="100"/>
            </w:tcMar>
            <w:vAlign w:val="top"/>
          </w:tcPr>
          <w:p>
            <w:pPr>
              <w:spacing w:after="0" w:line="250"/>
            </w:pPr>
            <w:r>
              <w:rPr>
                <w:rFonts w:ascii="Arial" w:cs="Arial" w:eastAsia="Arial" w:hAnsi="Arial"/>
                <w:b/>
                <w:bCs/>
                <w:color w:val="012169"/>
                <w:sz w:val="14"/>
                <w:szCs w:val="14"/>
              </w:rPr>
              <w:t xml:space="preserve">CPS 230 para 50 requires RSE licensees to classify providers of 'fund administration, custodial services, investment management and arrangements with promoters and financial planners' as material service providers; para 51 requires the register to be submitted to APRA annually</w:t>
            </w:r>
          </w:p>
        </w:tc>
        <w:tc>
          <w:tcPr>
            <w:tcW w:type="dxa" w:w="4600"/>
            <w:tcBorders>
              <w:top w:val="single" w:color="D9D8D2" w:sz="3"/>
              <w:left w:val="none" w:color="FFFFFF" w:sz="0"/>
              <w:bottom w:val="single" w:color="D9D8D2" w:sz="3"/>
              <w:right w:val="none" w:color="FFFFFF" w:sz="0"/>
            </w:tcBorders>
            <w:tcMar>
              <w:top w:type="dxa" w:w="70"/>
              <w:left w:type="dxa" w:w="100"/>
              <w:bottom w:type="dxa" w:w="70"/>
              <w:right w:type="dxa" w:w="100"/>
            </w:tcMar>
            <w:vAlign w:val="top"/>
          </w:tcPr>
          <w:p>
            <w:pPr>
              <w:spacing w:after="0" w:line="250"/>
            </w:pPr>
            <w:r>
              <w:rPr>
                <w:rFonts w:ascii="Arial" w:cs="Arial" w:eastAsia="Arial" w:hAnsi="Arial"/>
                <w:color w:val="52514E"/>
                <w:sz w:val="13"/>
                <w:szCs w:val="13"/>
              </w:rPr>
              <w:t xml:space="preserve">APRA already receives, annually, the dataset that maps which licensees depend on which administrators and custodians. Because the Division 296 calculation, attribution, reporting and payment will be delivered largely by a small number of shared providers, this existing collection can be used to identify how many licensees share a single build - and therefore where a defect would be a common-mode failure across many funds at once. No new collection is required. APRA published a register template on 17 October 2024, with superannuation trustees required to submit by 1 October 2025.</w:t>
            </w:r>
          </w:p>
        </w:tc>
        <w:tc>
          <w:tcPr>
            <w:tcW w:type="dxa" w:w="1906"/>
            <w:tcBorders>
              <w:top w:val="single" w:color="D9D8D2" w:sz="3"/>
              <w:left w:val="none" w:color="FFFFFF" w:sz="0"/>
              <w:bottom w:val="single" w:color="D9D8D2" w:sz="3"/>
              <w:right w:val="none" w:color="FFFFFF" w:sz="0"/>
            </w:tcBorders>
            <w:tcMar>
              <w:top w:type="dxa" w:w="70"/>
              <w:left w:type="dxa" w:w="100"/>
              <w:bottom w:type="dxa" w:w="70"/>
              <w:right w:type="dxa" w:w="100"/>
            </w:tcMar>
            <w:vAlign w:val="top"/>
          </w:tcPr>
          <w:p>
            <w:pPr>
              <w:spacing w:after="0" w:line="250"/>
            </w:pPr>
            <w:r>
              <w:rPr>
                <w:rFonts w:ascii="Arial" w:cs="Arial" w:eastAsia="Arial" w:hAnsi="Arial"/>
                <w:color w:val="898781"/>
                <w:sz w:val="13"/>
                <w:szCs w:val="13"/>
              </w:rPr>
              <w:t xml:space="preserve">Prudential Standard CPS 230 (July 2025 version), paras 50 and 51, verified verbatim; APRA, 'APRA releases material service provider register template', 17 October 2024 · CPS 230 in force from 1 July 2025; register submission due 1 October 2025</w:t>
            </w:r>
          </w:p>
        </w:tc>
      </w:tr>
      <w:tr>
        <w:tc>
          <w:tcPr>
            <w:tcW w:type="dxa" w:w="3400"/>
            <w:tcBorders>
              <w:top w:val="single" w:color="D9D8D2" w:sz="3"/>
              <w:left w:val="none" w:color="FFFFFF" w:sz="0"/>
              <w:bottom w:val="single" w:color="D9D8D2" w:sz="3"/>
              <w:right w:val="none" w:color="FFFFFF" w:sz="0"/>
            </w:tcBorders>
            <w:shd w:fill="EFEEE9" w:color="auto" w:val="clear"/>
            <w:tcMar>
              <w:top w:type="dxa" w:w="70"/>
              <w:left w:type="dxa" w:w="100"/>
              <w:bottom w:type="dxa" w:w="70"/>
              <w:right w:type="dxa" w:w="100"/>
            </w:tcMar>
            <w:vAlign w:val="top"/>
          </w:tcPr>
          <w:p>
            <w:pPr>
              <w:spacing w:after="0" w:line="250"/>
            </w:pPr>
            <w:r>
              <w:rPr>
                <w:rFonts w:ascii="Arial" w:cs="Arial" w:eastAsia="Arial" w:hAnsi="Arial"/>
                <w:b/>
                <w:bCs/>
                <w:color w:val="012169"/>
                <w:sz w:val="14"/>
                <w:szCs w:val="14"/>
              </w:rPr>
              <w:t xml:space="preserve">The Council of Financial Regulators has four members: APRA, ASIC, the RBA and Treasury</w:t>
            </w:r>
          </w:p>
        </w:tc>
        <w:tc>
          <w:tcPr>
            <w:tcW w:type="dxa" w:w="4600"/>
            <w:tcBorders>
              <w:top w:val="single" w:color="D9D8D2" w:sz="3"/>
              <w:left w:val="none" w:color="FFFFFF" w:sz="0"/>
              <w:bottom w:val="single" w:color="D9D8D2" w:sz="3"/>
              <w:right w:val="none" w:color="FFFFFF" w:sz="0"/>
            </w:tcBorders>
            <w:shd w:fill="EFEEE9" w:color="auto" w:val="clear"/>
            <w:tcMar>
              <w:top w:type="dxa" w:w="70"/>
              <w:left w:type="dxa" w:w="100"/>
              <w:bottom w:type="dxa" w:w="70"/>
              <w:right w:type="dxa" w:w="100"/>
            </w:tcMar>
            <w:vAlign w:val="top"/>
          </w:tcPr>
          <w:p>
            <w:pPr>
              <w:spacing w:after="0" w:line="250"/>
            </w:pPr>
            <w:r>
              <w:rPr>
                <w:rFonts w:ascii="Arial" w:cs="Arial" w:eastAsia="Arial" w:hAnsi="Arial"/>
                <w:color w:val="52514E"/>
                <w:sz w:val="13"/>
                <w:szCs w:val="13"/>
              </w:rPr>
              <w:t xml:space="preserve">The ATO is not a member. Since the coordination that matters most for Division 296 is between APRA and the ATO, the CFR is not the natural forum for it, and bilateral engagement with the ATO and Treasury is the appropriate route. Included to prevent an avoidable correction in the meeting.</w:t>
            </w:r>
          </w:p>
        </w:tc>
        <w:tc>
          <w:tcPr>
            <w:tcW w:type="dxa" w:w="1906"/>
            <w:tcBorders>
              <w:top w:val="single" w:color="D9D8D2" w:sz="3"/>
              <w:left w:val="none" w:color="FFFFFF" w:sz="0"/>
              <w:bottom w:val="single" w:color="D9D8D2" w:sz="3"/>
              <w:right w:val="none" w:color="FFFFFF" w:sz="0"/>
            </w:tcBorders>
            <w:shd w:fill="EFEEE9" w:color="auto" w:val="clear"/>
            <w:tcMar>
              <w:top w:type="dxa" w:w="70"/>
              <w:left w:type="dxa" w:w="100"/>
              <w:bottom w:type="dxa" w:w="70"/>
              <w:right w:type="dxa" w:w="100"/>
            </w:tcMar>
            <w:vAlign w:val="top"/>
          </w:tcPr>
          <w:p>
            <w:pPr>
              <w:spacing w:after="0" w:line="250"/>
            </w:pPr>
            <w:r>
              <w:rPr>
                <w:rFonts w:ascii="Arial" w:cs="Arial" w:eastAsia="Arial" w:hAnsi="Arial"/>
                <w:color w:val="898781"/>
                <w:sz w:val="13"/>
                <w:szCs w:val="13"/>
              </w:rPr>
              <w:t xml:space="preserve">Council of Financial Regulators, member agencies page · Retrieved 26 July 2026</w:t>
            </w:r>
          </w:p>
        </w:tc>
      </w:tr>
    </w:tbl>
    <w:p>
      <w:r>
        <w:br w:type="page"/>
      </w:r>
    </w:p>
    <w:p>
      <w:pPr>
        <w:pBdr>
          <w:bottom w:val="single" w:color="0072CE" w:sz="6" w:space="4"/>
        </w:pBdr>
        <w:spacing w:after="100" w:before="0"/>
      </w:pPr>
      <w:r>
        <w:rPr>
          <w:rFonts w:ascii="Arial" w:cs="Arial" w:eastAsia="Arial" w:hAnsi="Arial"/>
          <w:b/>
          <w:bCs/>
          <w:color w:val="012169"/>
          <w:sz w:val="22"/>
          <w:szCs w:val="22"/>
        </w:rPr>
        <w:t xml:space="preserve">Annex C — Provenance and fact-check audit trail</w:t>
      </w:r>
    </w:p>
    <w:p>
      <w:pPr>
        <w:spacing w:after="120" w:before="0" w:line="264"/>
      </w:pPr>
      <w:r>
        <w:rPr>
          <w:rFonts w:ascii="Arial" w:cs="Arial" w:eastAsia="Arial" w:hAnsi="Arial"/>
          <w:color w:val="52514E"/>
          <w:sz w:val="17"/>
          <w:szCs w:val="17"/>
        </w:rPr>
        <w:t xml:space="preserve">Every material assertion in the note, classified and checked. 'Created' entries are original analysis written for this note and are marked so they are never mistaken for sourced fact.</w:t>
      </w:r>
    </w:p>
    <w:tbl>
      <w:tblPr>
        <w:tblW w:type="dxa" w:w="990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900"/>
        <w:gridCol w:w="800"/>
        <w:gridCol w:w="4306"/>
        <w:gridCol w:w="900"/>
      </w:tblGrid>
      <w:tr>
        <w:trPr>
          <w:tblHeader/>
        </w:trPr>
        <w:tc>
          <w:tcPr>
            <w:tcW w:type="dxa" w:w="3900"/>
            <w:tcBorders>
              <w:top w:val="single" w:color="0072CE" w:sz="8"/>
              <w:left w:val="none" w:color="FFFFFF" w:sz="0"/>
              <w:bottom w:val="single" w:color="D9D8D2" w:sz="3"/>
              <w:right w:val="none" w:color="FFFFFF" w:sz="0"/>
            </w:tcBorders>
            <w:shd w:fill="F4F9FC" w:color="auto" w:val="clear"/>
            <w:tcMar>
              <w:top w:type="dxa" w:w="70"/>
              <w:left w:type="dxa" w:w="100"/>
              <w:bottom w:type="dxa" w:w="70"/>
              <w:right w:type="dxa" w:w="100"/>
            </w:tcMar>
            <w:vAlign w:val="top"/>
          </w:tcPr>
          <w:p>
            <w:pPr>
              <w:spacing w:after="0" w:line="240"/>
            </w:pPr>
            <w:r>
              <w:rPr>
                <w:rFonts w:ascii="Arial" w:cs="Arial" w:eastAsia="Arial" w:hAnsi="Arial"/>
                <w:b/>
                <w:bCs/>
                <w:caps/>
                <w:color w:val="012169"/>
                <w:sz w:val="15"/>
                <w:szCs w:val="15"/>
              </w:rPr>
              <w:t xml:space="preserve">Assertion</w:t>
            </w:r>
          </w:p>
        </w:tc>
        <w:tc>
          <w:tcPr>
            <w:tcW w:type="dxa" w:w="800"/>
            <w:tcBorders>
              <w:top w:val="single" w:color="0072CE" w:sz="8"/>
              <w:left w:val="none" w:color="FFFFFF" w:sz="0"/>
              <w:bottom w:val="single" w:color="D9D8D2" w:sz="3"/>
              <w:right w:val="none" w:color="FFFFFF" w:sz="0"/>
            </w:tcBorders>
            <w:shd w:fill="F4F9FC" w:color="auto" w:val="clear"/>
            <w:tcMar>
              <w:top w:type="dxa" w:w="70"/>
              <w:left w:type="dxa" w:w="100"/>
              <w:bottom w:type="dxa" w:w="70"/>
              <w:right w:type="dxa" w:w="100"/>
            </w:tcMar>
            <w:vAlign w:val="top"/>
          </w:tcPr>
          <w:p>
            <w:pPr>
              <w:spacing w:after="0" w:line="240"/>
              <w:jc w:val="center"/>
            </w:pPr>
            <w:r>
              <w:rPr>
                <w:rFonts w:ascii="Arial" w:cs="Arial" w:eastAsia="Arial" w:hAnsi="Arial"/>
                <w:b/>
                <w:bCs/>
                <w:caps/>
                <w:color w:val="012169"/>
                <w:sz w:val="15"/>
                <w:szCs w:val="15"/>
              </w:rPr>
              <w:t xml:space="preserve">Type</w:t>
            </w:r>
          </w:p>
        </w:tc>
        <w:tc>
          <w:tcPr>
            <w:tcW w:type="dxa" w:w="4306"/>
            <w:tcBorders>
              <w:top w:val="single" w:color="0072CE" w:sz="8"/>
              <w:left w:val="none" w:color="FFFFFF" w:sz="0"/>
              <w:bottom w:val="single" w:color="D9D8D2" w:sz="3"/>
              <w:right w:val="none" w:color="FFFFFF" w:sz="0"/>
            </w:tcBorders>
            <w:shd w:fill="F4F9FC" w:color="auto" w:val="clear"/>
            <w:tcMar>
              <w:top w:type="dxa" w:w="70"/>
              <w:left w:type="dxa" w:w="100"/>
              <w:bottom w:type="dxa" w:w="70"/>
              <w:right w:type="dxa" w:w="100"/>
            </w:tcMar>
            <w:vAlign w:val="top"/>
          </w:tcPr>
          <w:p>
            <w:pPr>
              <w:spacing w:after="0" w:line="240"/>
            </w:pPr>
            <w:r>
              <w:rPr>
                <w:rFonts w:ascii="Arial" w:cs="Arial" w:eastAsia="Arial" w:hAnsi="Arial"/>
                <w:b/>
                <w:bCs/>
                <w:caps/>
                <w:color w:val="012169"/>
                <w:sz w:val="15"/>
                <w:szCs w:val="15"/>
              </w:rPr>
              <w:t xml:space="preserve">Basis — citation, or reasoning chain</w:t>
            </w:r>
          </w:p>
        </w:tc>
        <w:tc>
          <w:tcPr>
            <w:tcW w:type="dxa" w:w="900"/>
            <w:tcBorders>
              <w:top w:val="single" w:color="0072CE" w:sz="8"/>
              <w:left w:val="none" w:color="FFFFFF" w:sz="0"/>
              <w:bottom w:val="single" w:color="D9D8D2" w:sz="3"/>
              <w:right w:val="none" w:color="FFFFFF" w:sz="0"/>
            </w:tcBorders>
            <w:shd w:fill="F4F9FC" w:color="auto" w:val="clear"/>
            <w:tcMar>
              <w:top w:type="dxa" w:w="70"/>
              <w:left w:type="dxa" w:w="100"/>
              <w:bottom w:type="dxa" w:w="70"/>
              <w:right w:type="dxa" w:w="100"/>
            </w:tcMar>
            <w:vAlign w:val="top"/>
          </w:tcPr>
          <w:p>
            <w:pPr>
              <w:spacing w:after="0" w:line="240"/>
              <w:jc w:val="center"/>
            </w:pPr>
            <w:r>
              <w:rPr>
                <w:rFonts w:ascii="Arial" w:cs="Arial" w:eastAsia="Arial" w:hAnsi="Arial"/>
                <w:b/>
                <w:bCs/>
                <w:caps/>
                <w:color w:val="012169"/>
                <w:sz w:val="15"/>
                <w:szCs w:val="15"/>
              </w:rPr>
              <w:t xml:space="preserve">Check</w:t>
            </w:r>
          </w:p>
        </w:tc>
      </w:tr>
      <w:tr>
        <w:tc>
          <w:tcPr>
            <w:tcW w:type="dxa" w:w="3900"/>
            <w:tcBorders>
              <w:top w:val="single" w:color="D9D8D2" w:sz="3"/>
              <w:left w:val="none" w:color="FFFFFF" w:sz="0"/>
              <w:bottom w:val="single" w:color="D9D8D2" w:sz="3"/>
              <w:right w:val="none" w:color="FFFFFF" w:sz="0"/>
            </w:tcBorders>
            <w:tcMar>
              <w:top w:type="dxa" w:w="70"/>
              <w:left w:type="dxa" w:w="100"/>
              <w:bottom w:type="dxa" w:w="70"/>
              <w:right w:type="dxa" w:w="100"/>
            </w:tcMar>
            <w:vAlign w:val="top"/>
          </w:tcPr>
          <w:p>
            <w:pPr>
              <w:spacing w:after="0" w:line="250"/>
            </w:pPr>
            <w:r>
              <w:rPr>
                <w:rFonts w:ascii="Arial" w:cs="Arial" w:eastAsia="Arial" w:hAnsi="Arial"/>
                <w:color w:val="1A1A1A"/>
                <w:sz w:val="14"/>
                <w:szCs w:val="14"/>
              </w:rPr>
              <w:t xml:space="preserve">Division 296 of the ITAA 1997 is enacted law: Treasury Laws Amendment (Building a Stronger and Fairer Super System) Act 2026 and Superannuation (Building a Stronger and Fairer Super System) Imposition Act 2026, Royal Assent 13 March 2026, commenced 1 July 2026, first measurement date 30 June 2027.</w:t>
            </w:r>
          </w:p>
        </w:tc>
        <w:tc>
          <w:tcPr>
            <w:tcW w:type="dxa" w:w="800"/>
            <w:tcBorders>
              <w:top w:val="single" w:color="D9D8D2" w:sz="3"/>
              <w:left w:val="none" w:color="FFFFFF" w:sz="0"/>
              <w:bottom w:val="single" w:color="D9D8D2" w:sz="3"/>
              <w:right w:val="none" w:color="FFFFFF" w:sz="0"/>
            </w:tcBorders>
            <w:tcMar>
              <w:top w:type="dxa" w:w="70"/>
              <w:left w:type="dxa" w:w="100"/>
              <w:bottom w:type="dxa" w:w="70"/>
              <w:right w:type="dxa" w:w="100"/>
            </w:tcMar>
            <w:vAlign w:val="top"/>
          </w:tcPr>
          <w:p>
            <w:pPr>
              <w:spacing w:after="0" w:line="250"/>
              <w:jc w:val="center"/>
            </w:pPr>
            <w:r>
              <w:rPr>
                <w:rFonts w:ascii="Arial" w:cs="Arial" w:eastAsia="Arial" w:hAnsi="Arial"/>
                <w:b/>
                <w:bCs/>
                <w:color w:val="00806D"/>
                <w:sz w:val="16"/>
                <w:szCs w:val="16"/>
              </w:rPr>
              <w:t xml:space="preserve">S</w:t>
            </w:r>
          </w:p>
        </w:tc>
        <w:tc>
          <w:tcPr>
            <w:tcW w:type="dxa" w:w="4306"/>
            <w:tcBorders>
              <w:top w:val="single" w:color="D9D8D2" w:sz="3"/>
              <w:left w:val="none" w:color="FFFFFF" w:sz="0"/>
              <w:bottom w:val="single" w:color="D9D8D2" w:sz="3"/>
              <w:right w:val="none" w:color="FFFFFF" w:sz="0"/>
            </w:tcBorders>
            <w:tcMar>
              <w:top w:type="dxa" w:w="70"/>
              <w:left w:type="dxa" w:w="100"/>
              <w:bottom w:type="dxa" w:w="70"/>
              <w:right w:type="dxa" w:w="100"/>
            </w:tcMar>
            <w:vAlign w:val="top"/>
          </w:tcPr>
          <w:p>
            <w:pPr>
              <w:spacing w:after="0" w:line="250"/>
            </w:pPr>
            <w:r>
              <w:rPr>
                <w:rFonts w:ascii="Arial" w:cs="Arial" w:eastAsia="Arial" w:hAnsi="Arial"/>
                <w:color w:val="52514E"/>
                <w:sz w:val="13"/>
                <w:szCs w:val="13"/>
              </w:rPr>
              <w:t xml:space="preserve">Enacting Acts as registered (C2026A00008 and the companion Imposition Act); Parliamentary Library Bills Digest No. 48, 2025-26. Established and independently confirmed in the workflow's settled-facts list. The Imposition Act is what fixes the rates and must be named alongside the amending Act.</w:t>
            </w:r>
          </w:p>
        </w:tc>
        <w:tc>
          <w:tcPr>
            <w:tcW w:type="dxa" w:w="900"/>
            <w:tcBorders>
              <w:top w:val="single" w:color="D9D8D2" w:sz="3"/>
              <w:left w:val="none" w:color="FFFFFF" w:sz="0"/>
              <w:bottom w:val="single" w:color="D9D8D2" w:sz="3"/>
              <w:right w:val="none" w:color="FFFFFF" w:sz="0"/>
            </w:tcBorders>
            <w:tcMar>
              <w:top w:type="dxa" w:w="70"/>
              <w:left w:type="dxa" w:w="100"/>
              <w:bottom w:type="dxa" w:w="70"/>
              <w:right w:type="dxa" w:w="100"/>
            </w:tcMar>
            <w:vAlign w:val="top"/>
          </w:tcPr>
          <w:p>
            <w:pPr>
              <w:spacing w:after="0" w:line="250"/>
              <w:jc w:val="center"/>
            </w:pPr>
            <w:r>
              <w:rPr>
                <w:rFonts w:ascii="Arial" w:cs="Arial" w:eastAsia="Arial" w:hAnsi="Arial"/>
                <w:b/>
                <w:bCs/>
                <w:color w:val="00806D"/>
                <w:sz w:val="13"/>
                <w:szCs w:val="13"/>
              </w:rPr>
              <w:t xml:space="preserve">verified</w:t>
            </w:r>
          </w:p>
        </w:tc>
      </w:tr>
      <w:tr>
        <w:tc>
          <w:tcPr>
            <w:tcW w:type="dxa" w:w="3900"/>
            <w:tcBorders>
              <w:top w:val="single" w:color="D9D8D2" w:sz="3"/>
              <w:left w:val="none" w:color="FFFFFF" w:sz="0"/>
              <w:bottom w:val="single" w:color="D9D8D2" w:sz="3"/>
              <w:right w:val="none" w:color="FFFFFF" w:sz="0"/>
            </w:tcBorders>
            <w:shd w:fill="EFEEE9" w:color="auto" w:val="clear"/>
            <w:tcMar>
              <w:top w:type="dxa" w:w="70"/>
              <w:left w:type="dxa" w:w="100"/>
              <w:bottom w:type="dxa" w:w="70"/>
              <w:right w:type="dxa" w:w="100"/>
            </w:tcMar>
            <w:vAlign w:val="top"/>
          </w:tcPr>
          <w:p>
            <w:pPr>
              <w:spacing w:after="0" w:line="250"/>
            </w:pPr>
            <w:r>
              <w:rPr>
                <w:rFonts w:ascii="Arial" w:cs="Arial" w:eastAsia="Arial" w:hAnsi="Arial"/>
                <w:color w:val="1A1A1A"/>
                <w:sz w:val="14"/>
                <w:szCs w:val="14"/>
              </w:rPr>
              <w:t xml:space="preserve">The design is an additional 15% on earnings attributable to a Total Superannuation Balance above $3m (30% headline) and an additional 25% above $10m (40% headline); both thresholds are indexed; the base is realised earnings; unrealised gains were removed from the 2023 design; the tax is assessed on the individual, not the fund, with a release authority to draw it from superannuation.</w:t>
            </w:r>
          </w:p>
        </w:tc>
        <w:tc>
          <w:tcPr>
            <w:tcW w:type="dxa" w:w="800"/>
            <w:tcBorders>
              <w:top w:val="single" w:color="D9D8D2" w:sz="3"/>
              <w:left w:val="none" w:color="FFFFFF" w:sz="0"/>
              <w:bottom w:val="single" w:color="D9D8D2" w:sz="3"/>
              <w:right w:val="none" w:color="FFFFFF" w:sz="0"/>
            </w:tcBorders>
            <w:shd w:fill="EFEEE9" w:color="auto" w:val="clear"/>
            <w:tcMar>
              <w:top w:type="dxa" w:w="70"/>
              <w:left w:type="dxa" w:w="100"/>
              <w:bottom w:type="dxa" w:w="70"/>
              <w:right w:type="dxa" w:w="100"/>
            </w:tcMar>
            <w:vAlign w:val="top"/>
          </w:tcPr>
          <w:p>
            <w:pPr>
              <w:spacing w:after="0" w:line="250"/>
              <w:jc w:val="center"/>
            </w:pPr>
            <w:r>
              <w:rPr>
                <w:rFonts w:ascii="Arial" w:cs="Arial" w:eastAsia="Arial" w:hAnsi="Arial"/>
                <w:b/>
                <w:bCs/>
                <w:color w:val="00806D"/>
                <w:sz w:val="16"/>
                <w:szCs w:val="16"/>
              </w:rPr>
              <w:t xml:space="preserve">S</w:t>
            </w:r>
          </w:p>
        </w:tc>
        <w:tc>
          <w:tcPr>
            <w:tcW w:type="dxa" w:w="4306"/>
            <w:tcBorders>
              <w:top w:val="single" w:color="D9D8D2" w:sz="3"/>
              <w:left w:val="none" w:color="FFFFFF" w:sz="0"/>
              <w:bottom w:val="single" w:color="D9D8D2" w:sz="3"/>
              <w:right w:val="none" w:color="FFFFFF" w:sz="0"/>
            </w:tcBorders>
            <w:shd w:fill="EFEEE9" w:color="auto" w:val="clear"/>
            <w:tcMar>
              <w:top w:type="dxa" w:w="70"/>
              <w:left w:type="dxa" w:w="100"/>
              <w:bottom w:type="dxa" w:w="70"/>
              <w:right w:type="dxa" w:w="100"/>
            </w:tcMar>
            <w:vAlign w:val="top"/>
          </w:tcPr>
          <w:p>
            <w:pPr>
              <w:spacing w:after="0" w:line="250"/>
            </w:pPr>
            <w:r>
              <w:rPr>
                <w:rFonts w:ascii="Arial" w:cs="Arial" w:eastAsia="Arial" w:hAnsi="Arial"/>
                <w:color w:val="52514E"/>
                <w:sz w:val="13"/>
                <w:szCs w:val="13"/>
              </w:rPr>
              <w:t xml:space="preserve">Treasury fact sheet 'Better Targeted Superannuation Concessions', 13 October 2025 (https://treasury.gov.au/publication/p2025-709385-btsc); Bills Digest No. 48. Settled in the workflow's verified-facts list.</w:t>
            </w:r>
          </w:p>
        </w:tc>
        <w:tc>
          <w:tcPr>
            <w:tcW w:type="dxa" w:w="900"/>
            <w:tcBorders>
              <w:top w:val="single" w:color="D9D8D2" w:sz="3"/>
              <w:left w:val="none" w:color="FFFFFF" w:sz="0"/>
              <w:bottom w:val="single" w:color="D9D8D2" w:sz="3"/>
              <w:right w:val="none" w:color="FFFFFF" w:sz="0"/>
            </w:tcBorders>
            <w:shd w:fill="EFEEE9" w:color="auto" w:val="clear"/>
            <w:tcMar>
              <w:top w:type="dxa" w:w="70"/>
              <w:left w:type="dxa" w:w="100"/>
              <w:bottom w:type="dxa" w:w="70"/>
              <w:right w:type="dxa" w:w="100"/>
            </w:tcMar>
            <w:vAlign w:val="top"/>
          </w:tcPr>
          <w:p>
            <w:pPr>
              <w:spacing w:after="0" w:line="250"/>
              <w:jc w:val="center"/>
            </w:pPr>
            <w:r>
              <w:rPr>
                <w:rFonts w:ascii="Arial" w:cs="Arial" w:eastAsia="Arial" w:hAnsi="Arial"/>
                <w:b/>
                <w:bCs/>
                <w:color w:val="00806D"/>
                <w:sz w:val="13"/>
                <w:szCs w:val="13"/>
              </w:rPr>
              <w:t xml:space="preserve">verified</w:t>
            </w:r>
          </w:p>
        </w:tc>
      </w:tr>
      <w:tr>
        <w:tc>
          <w:tcPr>
            <w:tcW w:type="dxa" w:w="3900"/>
            <w:tcBorders>
              <w:top w:val="single" w:color="D9D8D2" w:sz="3"/>
              <w:left w:val="none" w:color="FFFFFF" w:sz="0"/>
              <w:bottom w:val="single" w:color="D9D8D2" w:sz="3"/>
              <w:right w:val="none" w:color="FFFFFF" w:sz="0"/>
            </w:tcBorders>
            <w:tcMar>
              <w:top w:type="dxa" w:w="70"/>
              <w:left w:type="dxa" w:w="100"/>
              <w:bottom w:type="dxa" w:w="70"/>
              <w:right w:type="dxa" w:w="100"/>
            </w:tcMar>
            <w:vAlign w:val="top"/>
          </w:tcPr>
          <w:p>
            <w:pPr>
              <w:spacing w:after="0" w:line="250"/>
            </w:pPr>
            <w:r>
              <w:rPr>
                <w:rFonts w:ascii="Arial" w:cs="Arial" w:eastAsia="Arial" w:hAnsi="Arial"/>
                <w:color w:val="1A1A1A"/>
                <w:sz w:val="14"/>
                <w:szCs w:val="14"/>
              </w:rPr>
              <w:t xml:space="preserve">Subdivision 296-A of the ITAA 1997 contains only s 296-5, an objects clause, and imposes no obligation on any person.</w:t>
            </w:r>
          </w:p>
        </w:tc>
        <w:tc>
          <w:tcPr>
            <w:tcW w:type="dxa" w:w="800"/>
            <w:tcBorders>
              <w:top w:val="single" w:color="D9D8D2" w:sz="3"/>
              <w:left w:val="none" w:color="FFFFFF" w:sz="0"/>
              <w:bottom w:val="single" w:color="D9D8D2" w:sz="3"/>
              <w:right w:val="none" w:color="FFFFFF" w:sz="0"/>
            </w:tcBorders>
            <w:tcMar>
              <w:top w:type="dxa" w:w="70"/>
              <w:left w:type="dxa" w:w="100"/>
              <w:bottom w:type="dxa" w:w="70"/>
              <w:right w:type="dxa" w:w="100"/>
            </w:tcMar>
            <w:vAlign w:val="top"/>
          </w:tcPr>
          <w:p>
            <w:pPr>
              <w:spacing w:after="0" w:line="250"/>
              <w:jc w:val="center"/>
            </w:pPr>
            <w:r>
              <w:rPr>
                <w:rFonts w:ascii="Arial" w:cs="Arial" w:eastAsia="Arial" w:hAnsi="Arial"/>
                <w:b/>
                <w:bCs/>
                <w:color w:val="00806D"/>
                <w:sz w:val="16"/>
                <w:szCs w:val="16"/>
              </w:rPr>
              <w:t xml:space="preserve">S</w:t>
            </w:r>
          </w:p>
        </w:tc>
        <w:tc>
          <w:tcPr>
            <w:tcW w:type="dxa" w:w="4306"/>
            <w:tcBorders>
              <w:top w:val="single" w:color="D9D8D2" w:sz="3"/>
              <w:left w:val="none" w:color="FFFFFF" w:sz="0"/>
              <w:bottom w:val="single" w:color="D9D8D2" w:sz="3"/>
              <w:right w:val="none" w:color="FFFFFF" w:sz="0"/>
            </w:tcBorders>
            <w:tcMar>
              <w:top w:type="dxa" w:w="70"/>
              <w:left w:type="dxa" w:w="100"/>
              <w:bottom w:type="dxa" w:w="70"/>
              <w:right w:type="dxa" w:w="100"/>
            </w:tcMar>
            <w:vAlign w:val="top"/>
          </w:tcPr>
          <w:p>
            <w:pPr>
              <w:spacing w:after="0" w:line="250"/>
            </w:pPr>
            <w:r>
              <w:rPr>
                <w:rFonts w:ascii="Arial" w:cs="Arial" w:eastAsia="Arial" w:hAnsi="Arial"/>
                <w:color w:val="52514E"/>
                <w:sz w:val="13"/>
                <w:szCs w:val="13"/>
              </w:rPr>
              <w:t xml:space="preserve">Compiled ITAA 1997, Compilation No. 266, compilation date 1 July 2026. Independently verified prior to this pass. Consequence for the note: no obligation on trustees can be sourced to Subdivision 296-A, and any earlier draft language implying otherwise has been removed.</w:t>
            </w:r>
          </w:p>
        </w:tc>
        <w:tc>
          <w:tcPr>
            <w:tcW w:type="dxa" w:w="900"/>
            <w:tcBorders>
              <w:top w:val="single" w:color="D9D8D2" w:sz="3"/>
              <w:left w:val="none" w:color="FFFFFF" w:sz="0"/>
              <w:bottom w:val="single" w:color="D9D8D2" w:sz="3"/>
              <w:right w:val="none" w:color="FFFFFF" w:sz="0"/>
            </w:tcBorders>
            <w:tcMar>
              <w:top w:type="dxa" w:w="70"/>
              <w:left w:type="dxa" w:w="100"/>
              <w:bottom w:type="dxa" w:w="70"/>
              <w:right w:type="dxa" w:w="100"/>
            </w:tcMar>
            <w:vAlign w:val="top"/>
          </w:tcPr>
          <w:p>
            <w:pPr>
              <w:spacing w:after="0" w:line="250"/>
              <w:jc w:val="center"/>
            </w:pPr>
            <w:r>
              <w:rPr>
                <w:rFonts w:ascii="Arial" w:cs="Arial" w:eastAsia="Arial" w:hAnsi="Arial"/>
                <w:b/>
                <w:bCs/>
                <w:color w:val="00806D"/>
                <w:sz w:val="13"/>
                <w:szCs w:val="13"/>
              </w:rPr>
              <w:t xml:space="preserve">verified</w:t>
            </w:r>
          </w:p>
        </w:tc>
      </w:tr>
      <w:tr>
        <w:tc>
          <w:tcPr>
            <w:tcW w:type="dxa" w:w="3900"/>
            <w:tcBorders>
              <w:top w:val="single" w:color="D9D8D2" w:sz="3"/>
              <w:left w:val="none" w:color="FFFFFF" w:sz="0"/>
              <w:bottom w:val="single" w:color="D9D8D2" w:sz="3"/>
              <w:right w:val="none" w:color="FFFFFF" w:sz="0"/>
            </w:tcBorders>
            <w:shd w:fill="EFEEE9" w:color="auto" w:val="clear"/>
            <w:tcMar>
              <w:top w:type="dxa" w:w="70"/>
              <w:left w:type="dxa" w:w="100"/>
              <w:bottom w:type="dxa" w:w="70"/>
              <w:right w:type="dxa" w:w="100"/>
            </w:tcMar>
            <w:vAlign w:val="top"/>
          </w:tcPr>
          <w:p>
            <w:pPr>
              <w:spacing w:after="0" w:line="250"/>
            </w:pPr>
            <w:r>
              <w:rPr>
                <w:rFonts w:ascii="Arial" w:cs="Arial" w:eastAsia="Arial" w:hAnsi="Arial"/>
                <w:color w:val="1A1A1A"/>
                <w:sz w:val="14"/>
                <w:szCs w:val="14"/>
              </w:rPr>
              <w:t xml:space="preserve">The term 'RSE licensee' does not appear anywhere in the enacting Act; the Act uses 'superannuation provider'.</w:t>
            </w:r>
          </w:p>
        </w:tc>
        <w:tc>
          <w:tcPr>
            <w:tcW w:type="dxa" w:w="800"/>
            <w:tcBorders>
              <w:top w:val="single" w:color="D9D8D2" w:sz="3"/>
              <w:left w:val="none" w:color="FFFFFF" w:sz="0"/>
              <w:bottom w:val="single" w:color="D9D8D2" w:sz="3"/>
              <w:right w:val="none" w:color="FFFFFF" w:sz="0"/>
            </w:tcBorders>
            <w:shd w:fill="EFEEE9" w:color="auto" w:val="clear"/>
            <w:tcMar>
              <w:top w:type="dxa" w:w="70"/>
              <w:left w:type="dxa" w:w="100"/>
              <w:bottom w:type="dxa" w:w="70"/>
              <w:right w:type="dxa" w:w="100"/>
            </w:tcMar>
            <w:vAlign w:val="top"/>
          </w:tcPr>
          <w:p>
            <w:pPr>
              <w:spacing w:after="0" w:line="250"/>
              <w:jc w:val="center"/>
            </w:pPr>
            <w:r>
              <w:rPr>
                <w:rFonts w:ascii="Arial" w:cs="Arial" w:eastAsia="Arial" w:hAnsi="Arial"/>
                <w:b/>
                <w:bCs/>
                <w:color w:val="00806D"/>
                <w:sz w:val="16"/>
                <w:szCs w:val="16"/>
              </w:rPr>
              <w:t xml:space="preserve">S</w:t>
            </w:r>
          </w:p>
        </w:tc>
        <w:tc>
          <w:tcPr>
            <w:tcW w:type="dxa" w:w="4306"/>
            <w:tcBorders>
              <w:top w:val="single" w:color="D9D8D2" w:sz="3"/>
              <w:left w:val="none" w:color="FFFFFF" w:sz="0"/>
              <w:bottom w:val="single" w:color="D9D8D2" w:sz="3"/>
              <w:right w:val="none" w:color="FFFFFF" w:sz="0"/>
            </w:tcBorders>
            <w:shd w:fill="EFEEE9" w:color="auto" w:val="clear"/>
            <w:tcMar>
              <w:top w:type="dxa" w:w="70"/>
              <w:left w:type="dxa" w:w="100"/>
              <w:bottom w:type="dxa" w:w="70"/>
              <w:right w:type="dxa" w:w="100"/>
            </w:tcMar>
            <w:vAlign w:val="top"/>
          </w:tcPr>
          <w:p>
            <w:pPr>
              <w:spacing w:after="0" w:line="250"/>
            </w:pPr>
            <w:r>
              <w:rPr>
                <w:rFonts w:ascii="Arial" w:cs="Arial" w:eastAsia="Arial" w:hAnsi="Arial"/>
                <w:color w:val="52514E"/>
                <w:sz w:val="13"/>
                <w:szCs w:val="13"/>
              </w:rPr>
              <w:t xml:space="preserve">Full-text check of the enacting Act, independently verified prior to this pass. The note therefore describes duties as falling on 'superannuation providers', and states expressly that APRA's supervised population is a subset of that term rather than its referent.</w:t>
            </w:r>
          </w:p>
        </w:tc>
        <w:tc>
          <w:tcPr>
            <w:tcW w:type="dxa" w:w="900"/>
            <w:tcBorders>
              <w:top w:val="single" w:color="D9D8D2" w:sz="3"/>
              <w:left w:val="none" w:color="FFFFFF" w:sz="0"/>
              <w:bottom w:val="single" w:color="D9D8D2" w:sz="3"/>
              <w:right w:val="none" w:color="FFFFFF" w:sz="0"/>
            </w:tcBorders>
            <w:shd w:fill="EFEEE9" w:color="auto" w:val="clear"/>
            <w:tcMar>
              <w:top w:type="dxa" w:w="70"/>
              <w:left w:type="dxa" w:w="100"/>
              <w:bottom w:type="dxa" w:w="70"/>
              <w:right w:type="dxa" w:w="100"/>
            </w:tcMar>
            <w:vAlign w:val="top"/>
          </w:tcPr>
          <w:p>
            <w:pPr>
              <w:spacing w:after="0" w:line="250"/>
              <w:jc w:val="center"/>
            </w:pPr>
            <w:r>
              <w:rPr>
                <w:rFonts w:ascii="Arial" w:cs="Arial" w:eastAsia="Arial" w:hAnsi="Arial"/>
                <w:b/>
                <w:bCs/>
                <w:color w:val="00806D"/>
                <w:sz w:val="13"/>
                <w:szCs w:val="13"/>
              </w:rPr>
              <w:t xml:space="preserve">verified</w:t>
            </w:r>
          </w:p>
        </w:tc>
      </w:tr>
      <w:tr>
        <w:tc>
          <w:tcPr>
            <w:tcW w:type="dxa" w:w="3900"/>
            <w:tcBorders>
              <w:top w:val="single" w:color="D9D8D2" w:sz="3"/>
              <w:left w:val="none" w:color="FFFFFF" w:sz="0"/>
              <w:bottom w:val="single" w:color="D9D8D2" w:sz="3"/>
              <w:right w:val="none" w:color="FFFFFF" w:sz="0"/>
            </w:tcBorders>
            <w:tcMar>
              <w:top w:type="dxa" w:w="70"/>
              <w:left w:type="dxa" w:w="100"/>
              <w:bottom w:type="dxa" w:w="70"/>
              <w:right w:type="dxa" w:w="100"/>
            </w:tcMar>
            <w:vAlign w:val="top"/>
          </w:tcPr>
          <w:p>
            <w:pPr>
              <w:spacing w:after="0" w:line="250"/>
            </w:pPr>
            <w:r>
              <w:rPr>
                <w:rFonts w:ascii="Arial" w:cs="Arial" w:eastAsia="Arial" w:hAnsi="Arial"/>
                <w:color w:val="1A1A1A"/>
                <w:sz w:val="14"/>
                <w:szCs w:val="14"/>
              </w:rPr>
              <w:t xml:space="preserve">The clearest new duty the regime places on a fund is s 134-140 of Schedule 1 to the Taxation Administration Act 1953: where the Commissioner keeps a Division 296 debt account for a member and the end benefit becomes payable, the provider must notify the Commissioner of the expected payment date within 14 days, in the approved form.</w:t>
            </w:r>
          </w:p>
        </w:tc>
        <w:tc>
          <w:tcPr>
            <w:tcW w:type="dxa" w:w="800"/>
            <w:tcBorders>
              <w:top w:val="single" w:color="D9D8D2" w:sz="3"/>
              <w:left w:val="none" w:color="FFFFFF" w:sz="0"/>
              <w:bottom w:val="single" w:color="D9D8D2" w:sz="3"/>
              <w:right w:val="none" w:color="FFFFFF" w:sz="0"/>
            </w:tcBorders>
            <w:tcMar>
              <w:top w:type="dxa" w:w="70"/>
              <w:left w:type="dxa" w:w="100"/>
              <w:bottom w:type="dxa" w:w="70"/>
              <w:right w:type="dxa" w:w="100"/>
            </w:tcMar>
            <w:vAlign w:val="top"/>
          </w:tcPr>
          <w:p>
            <w:pPr>
              <w:spacing w:after="0" w:line="250"/>
              <w:jc w:val="center"/>
            </w:pPr>
            <w:r>
              <w:rPr>
                <w:rFonts w:ascii="Arial" w:cs="Arial" w:eastAsia="Arial" w:hAnsi="Arial"/>
                <w:b/>
                <w:bCs/>
                <w:color w:val="00806D"/>
                <w:sz w:val="16"/>
                <w:szCs w:val="16"/>
              </w:rPr>
              <w:t xml:space="preserve">S</w:t>
            </w:r>
          </w:p>
        </w:tc>
        <w:tc>
          <w:tcPr>
            <w:tcW w:type="dxa" w:w="4306"/>
            <w:tcBorders>
              <w:top w:val="single" w:color="D9D8D2" w:sz="3"/>
              <w:left w:val="none" w:color="FFFFFF" w:sz="0"/>
              <w:bottom w:val="single" w:color="D9D8D2" w:sz="3"/>
              <w:right w:val="none" w:color="FFFFFF" w:sz="0"/>
            </w:tcBorders>
            <w:tcMar>
              <w:top w:type="dxa" w:w="70"/>
              <w:left w:type="dxa" w:w="100"/>
              <w:bottom w:type="dxa" w:w="70"/>
              <w:right w:type="dxa" w:w="100"/>
            </w:tcMar>
            <w:vAlign w:val="top"/>
          </w:tcPr>
          <w:p>
            <w:pPr>
              <w:spacing w:after="0" w:line="250"/>
            </w:pPr>
            <w:r>
              <w:rPr>
                <w:rFonts w:ascii="Arial" w:cs="Arial" w:eastAsia="Arial" w:hAnsi="Arial"/>
                <w:color w:val="52514E"/>
                <w:sz w:val="13"/>
                <w:szCs w:val="13"/>
              </w:rPr>
              <w:t xml:space="preserve">s 134-140 Sch 1 TAA 1953 as enacted; independently verified prior to this pass. This replaces the draft register's unsupported framing that no instrument imposes a fund-side duty.</w:t>
            </w:r>
          </w:p>
        </w:tc>
        <w:tc>
          <w:tcPr>
            <w:tcW w:type="dxa" w:w="900"/>
            <w:tcBorders>
              <w:top w:val="single" w:color="D9D8D2" w:sz="3"/>
              <w:left w:val="none" w:color="FFFFFF" w:sz="0"/>
              <w:bottom w:val="single" w:color="D9D8D2" w:sz="3"/>
              <w:right w:val="none" w:color="FFFFFF" w:sz="0"/>
            </w:tcBorders>
            <w:tcMar>
              <w:top w:type="dxa" w:w="70"/>
              <w:left w:type="dxa" w:w="100"/>
              <w:bottom w:type="dxa" w:w="70"/>
              <w:right w:type="dxa" w:w="100"/>
            </w:tcMar>
            <w:vAlign w:val="top"/>
          </w:tcPr>
          <w:p>
            <w:pPr>
              <w:spacing w:after="0" w:line="250"/>
              <w:jc w:val="center"/>
            </w:pPr>
            <w:r>
              <w:rPr>
                <w:rFonts w:ascii="Arial" w:cs="Arial" w:eastAsia="Arial" w:hAnsi="Arial"/>
                <w:b/>
                <w:bCs/>
                <w:color w:val="00806D"/>
                <w:sz w:val="13"/>
                <w:szCs w:val="13"/>
              </w:rPr>
              <w:t xml:space="preserve">verified</w:t>
            </w:r>
          </w:p>
        </w:tc>
      </w:tr>
      <w:tr>
        <w:tc>
          <w:tcPr>
            <w:tcW w:type="dxa" w:w="3900"/>
            <w:tcBorders>
              <w:top w:val="single" w:color="D9D8D2" w:sz="3"/>
              <w:left w:val="none" w:color="FFFFFF" w:sz="0"/>
              <w:bottom w:val="single" w:color="D9D8D2" w:sz="3"/>
              <w:right w:val="none" w:color="FFFFFF" w:sz="0"/>
            </w:tcBorders>
            <w:shd w:fill="EFEEE9" w:color="auto" w:val="clear"/>
            <w:tcMar>
              <w:top w:type="dxa" w:w="70"/>
              <w:left w:type="dxa" w:w="100"/>
              <w:bottom w:type="dxa" w:w="70"/>
              <w:right w:type="dxa" w:w="100"/>
            </w:tcMar>
            <w:vAlign w:val="top"/>
          </w:tcPr>
          <w:p>
            <w:pPr>
              <w:spacing w:after="0" w:line="250"/>
            </w:pPr>
            <w:r>
              <w:rPr>
                <w:rFonts w:ascii="Arial" w:cs="Arial" w:eastAsia="Arial" w:hAnsi="Arial"/>
                <w:color w:val="1A1A1A"/>
                <w:sz w:val="14"/>
                <w:szCs w:val="14"/>
              </w:rPr>
              <w:t xml:space="preserve">s 134-145 of Schedule 1 to the TAA 1953 requires a material change or omission in that notification to be corrected within 7 days.</w:t>
            </w:r>
          </w:p>
        </w:tc>
        <w:tc>
          <w:tcPr>
            <w:tcW w:type="dxa" w:w="800"/>
            <w:tcBorders>
              <w:top w:val="single" w:color="D9D8D2" w:sz="3"/>
              <w:left w:val="none" w:color="FFFFFF" w:sz="0"/>
              <w:bottom w:val="single" w:color="D9D8D2" w:sz="3"/>
              <w:right w:val="none" w:color="FFFFFF" w:sz="0"/>
            </w:tcBorders>
            <w:shd w:fill="EFEEE9" w:color="auto" w:val="clear"/>
            <w:tcMar>
              <w:top w:type="dxa" w:w="70"/>
              <w:left w:type="dxa" w:w="100"/>
              <w:bottom w:type="dxa" w:w="70"/>
              <w:right w:type="dxa" w:w="100"/>
            </w:tcMar>
            <w:vAlign w:val="top"/>
          </w:tcPr>
          <w:p>
            <w:pPr>
              <w:spacing w:after="0" w:line="250"/>
              <w:jc w:val="center"/>
            </w:pPr>
            <w:r>
              <w:rPr>
                <w:rFonts w:ascii="Arial" w:cs="Arial" w:eastAsia="Arial" w:hAnsi="Arial"/>
                <w:b/>
                <w:bCs/>
                <w:color w:val="00806D"/>
                <w:sz w:val="16"/>
                <w:szCs w:val="16"/>
              </w:rPr>
              <w:t xml:space="preserve">S</w:t>
            </w:r>
          </w:p>
        </w:tc>
        <w:tc>
          <w:tcPr>
            <w:tcW w:type="dxa" w:w="4306"/>
            <w:tcBorders>
              <w:top w:val="single" w:color="D9D8D2" w:sz="3"/>
              <w:left w:val="none" w:color="FFFFFF" w:sz="0"/>
              <w:bottom w:val="single" w:color="D9D8D2" w:sz="3"/>
              <w:right w:val="none" w:color="FFFFFF" w:sz="0"/>
            </w:tcBorders>
            <w:shd w:fill="EFEEE9" w:color="auto" w:val="clear"/>
            <w:tcMar>
              <w:top w:type="dxa" w:w="70"/>
              <w:left w:type="dxa" w:w="100"/>
              <w:bottom w:type="dxa" w:w="70"/>
              <w:right w:type="dxa" w:w="100"/>
            </w:tcMar>
            <w:vAlign w:val="top"/>
          </w:tcPr>
          <w:p>
            <w:pPr>
              <w:spacing w:after="0" w:line="250"/>
            </w:pPr>
            <w:r>
              <w:rPr>
                <w:rFonts w:ascii="Arial" w:cs="Arial" w:eastAsia="Arial" w:hAnsi="Arial"/>
                <w:color w:val="52514E"/>
                <w:sz w:val="13"/>
                <w:szCs w:val="13"/>
              </w:rPr>
              <w:t xml:space="preserve">s 134-145 Sch 1 TAA 1953 as enacted; independently verified prior to this pass.</w:t>
            </w:r>
          </w:p>
        </w:tc>
        <w:tc>
          <w:tcPr>
            <w:tcW w:type="dxa" w:w="900"/>
            <w:tcBorders>
              <w:top w:val="single" w:color="D9D8D2" w:sz="3"/>
              <w:left w:val="none" w:color="FFFFFF" w:sz="0"/>
              <w:bottom w:val="single" w:color="D9D8D2" w:sz="3"/>
              <w:right w:val="none" w:color="FFFFFF" w:sz="0"/>
            </w:tcBorders>
            <w:shd w:fill="EFEEE9" w:color="auto" w:val="clear"/>
            <w:tcMar>
              <w:top w:type="dxa" w:w="70"/>
              <w:left w:type="dxa" w:w="100"/>
              <w:bottom w:type="dxa" w:w="70"/>
              <w:right w:type="dxa" w:w="100"/>
            </w:tcMar>
            <w:vAlign w:val="top"/>
          </w:tcPr>
          <w:p>
            <w:pPr>
              <w:spacing w:after="0" w:line="250"/>
              <w:jc w:val="center"/>
            </w:pPr>
            <w:r>
              <w:rPr>
                <w:rFonts w:ascii="Arial" w:cs="Arial" w:eastAsia="Arial" w:hAnsi="Arial"/>
                <w:b/>
                <w:bCs/>
                <w:color w:val="00806D"/>
                <w:sz w:val="13"/>
                <w:szCs w:val="13"/>
              </w:rPr>
              <w:t xml:space="preserve">verified</w:t>
            </w:r>
          </w:p>
        </w:tc>
      </w:tr>
      <w:tr>
        <w:tc>
          <w:tcPr>
            <w:tcW w:type="dxa" w:w="3900"/>
            <w:tcBorders>
              <w:top w:val="single" w:color="D9D8D2" w:sz="3"/>
              <w:left w:val="none" w:color="FFFFFF" w:sz="0"/>
              <w:bottom w:val="single" w:color="D9D8D2" w:sz="3"/>
              <w:right w:val="none" w:color="FFFFFF" w:sz="0"/>
            </w:tcBorders>
            <w:tcMar>
              <w:top w:type="dxa" w:w="70"/>
              <w:left w:type="dxa" w:w="100"/>
              <w:bottom w:type="dxa" w:w="70"/>
              <w:right w:type="dxa" w:w="100"/>
            </w:tcMar>
            <w:vAlign w:val="top"/>
          </w:tcPr>
          <w:p>
            <w:pPr>
              <w:spacing w:after="0" w:line="250"/>
            </w:pPr>
            <w:r>
              <w:rPr>
                <w:rFonts w:ascii="Arial" w:cs="Arial" w:eastAsia="Arial" w:hAnsi="Arial"/>
                <w:color w:val="1A1A1A"/>
                <w:sz w:val="14"/>
                <w:szCs w:val="14"/>
              </w:rPr>
              <w:t xml:space="preserve">s 134-140 carries an express note that a person dissatisfied with the provider's conduct may complain under the AFCA scheme.</w:t>
            </w:r>
          </w:p>
        </w:tc>
        <w:tc>
          <w:tcPr>
            <w:tcW w:type="dxa" w:w="800"/>
            <w:tcBorders>
              <w:top w:val="single" w:color="D9D8D2" w:sz="3"/>
              <w:left w:val="none" w:color="FFFFFF" w:sz="0"/>
              <w:bottom w:val="single" w:color="D9D8D2" w:sz="3"/>
              <w:right w:val="none" w:color="FFFFFF" w:sz="0"/>
            </w:tcBorders>
            <w:tcMar>
              <w:top w:type="dxa" w:w="70"/>
              <w:left w:type="dxa" w:w="100"/>
              <w:bottom w:type="dxa" w:w="70"/>
              <w:right w:type="dxa" w:w="100"/>
            </w:tcMar>
            <w:vAlign w:val="top"/>
          </w:tcPr>
          <w:p>
            <w:pPr>
              <w:spacing w:after="0" w:line="250"/>
              <w:jc w:val="center"/>
            </w:pPr>
            <w:r>
              <w:rPr>
                <w:rFonts w:ascii="Arial" w:cs="Arial" w:eastAsia="Arial" w:hAnsi="Arial"/>
                <w:b/>
                <w:bCs/>
                <w:color w:val="00806D"/>
                <w:sz w:val="16"/>
                <w:szCs w:val="16"/>
              </w:rPr>
              <w:t xml:space="preserve">S</w:t>
            </w:r>
          </w:p>
        </w:tc>
        <w:tc>
          <w:tcPr>
            <w:tcW w:type="dxa" w:w="4306"/>
            <w:tcBorders>
              <w:top w:val="single" w:color="D9D8D2" w:sz="3"/>
              <w:left w:val="none" w:color="FFFFFF" w:sz="0"/>
              <w:bottom w:val="single" w:color="D9D8D2" w:sz="3"/>
              <w:right w:val="none" w:color="FFFFFF" w:sz="0"/>
            </w:tcBorders>
            <w:tcMar>
              <w:top w:type="dxa" w:w="70"/>
              <w:left w:type="dxa" w:w="100"/>
              <w:bottom w:type="dxa" w:w="70"/>
              <w:right w:type="dxa" w:w="100"/>
            </w:tcMar>
            <w:vAlign w:val="top"/>
          </w:tcPr>
          <w:p>
            <w:pPr>
              <w:spacing w:after="0" w:line="250"/>
            </w:pPr>
            <w:r>
              <w:rPr>
                <w:rFonts w:ascii="Arial" w:cs="Arial" w:eastAsia="Arial" w:hAnsi="Arial"/>
                <w:color w:val="52514E"/>
                <w:sz w:val="13"/>
                <w:szCs w:val="13"/>
              </w:rPr>
              <w:t xml:space="preserve">Express note to s 134-140 Sch 1 TAA 1953; independently verified prior to this pass.</w:t>
            </w:r>
          </w:p>
        </w:tc>
        <w:tc>
          <w:tcPr>
            <w:tcW w:type="dxa" w:w="900"/>
            <w:tcBorders>
              <w:top w:val="single" w:color="D9D8D2" w:sz="3"/>
              <w:left w:val="none" w:color="FFFFFF" w:sz="0"/>
              <w:bottom w:val="single" w:color="D9D8D2" w:sz="3"/>
              <w:right w:val="none" w:color="FFFFFF" w:sz="0"/>
            </w:tcBorders>
            <w:tcMar>
              <w:top w:type="dxa" w:w="70"/>
              <w:left w:type="dxa" w:w="100"/>
              <w:bottom w:type="dxa" w:w="70"/>
              <w:right w:type="dxa" w:w="100"/>
            </w:tcMar>
            <w:vAlign w:val="top"/>
          </w:tcPr>
          <w:p>
            <w:pPr>
              <w:spacing w:after="0" w:line="250"/>
              <w:jc w:val="center"/>
            </w:pPr>
            <w:r>
              <w:rPr>
                <w:rFonts w:ascii="Arial" w:cs="Arial" w:eastAsia="Arial" w:hAnsi="Arial"/>
                <w:b/>
                <w:bCs/>
                <w:color w:val="00806D"/>
                <w:sz w:val="13"/>
                <w:szCs w:val="13"/>
              </w:rPr>
              <w:t xml:space="preserve">verified</w:t>
            </w:r>
          </w:p>
        </w:tc>
      </w:tr>
      <w:tr>
        <w:tc>
          <w:tcPr>
            <w:tcW w:type="dxa" w:w="3900"/>
            <w:tcBorders>
              <w:top w:val="single" w:color="D9D8D2" w:sz="3"/>
              <w:left w:val="none" w:color="FFFFFF" w:sz="0"/>
              <w:bottom w:val="single" w:color="D9D8D2" w:sz="3"/>
              <w:right w:val="none" w:color="FFFFFF" w:sz="0"/>
            </w:tcBorders>
            <w:shd w:fill="EFEEE9" w:color="auto" w:val="clear"/>
            <w:tcMar>
              <w:top w:type="dxa" w:w="70"/>
              <w:left w:type="dxa" w:w="100"/>
              <w:bottom w:type="dxa" w:w="70"/>
              <w:right w:type="dxa" w:w="100"/>
            </w:tcMar>
            <w:vAlign w:val="top"/>
          </w:tcPr>
          <w:p>
            <w:pPr>
              <w:spacing w:after="0" w:line="250"/>
            </w:pPr>
            <w:r>
              <w:rPr>
                <w:rFonts w:ascii="Arial" w:cs="Arial" w:eastAsia="Arial" w:hAnsi="Arial"/>
                <w:color w:val="1A1A1A"/>
                <w:sz w:val="14"/>
                <w:szCs w:val="14"/>
              </w:rPr>
              <w:t xml:space="preserve">That express AFCA note cuts against the industry request that trustee Division 296 judgements be placed outside external dispute resolution.</w:t>
            </w:r>
          </w:p>
        </w:tc>
        <w:tc>
          <w:tcPr>
            <w:tcW w:type="dxa" w:w="800"/>
            <w:tcBorders>
              <w:top w:val="single" w:color="D9D8D2" w:sz="3"/>
              <w:left w:val="none" w:color="FFFFFF" w:sz="0"/>
              <w:bottom w:val="single" w:color="D9D8D2" w:sz="3"/>
              <w:right w:val="none" w:color="FFFFFF" w:sz="0"/>
            </w:tcBorders>
            <w:shd w:fill="EFEEE9" w:color="auto" w:val="clear"/>
            <w:tcMar>
              <w:top w:type="dxa" w:w="70"/>
              <w:left w:type="dxa" w:w="100"/>
              <w:bottom w:type="dxa" w:w="70"/>
              <w:right w:type="dxa" w:w="100"/>
            </w:tcMar>
            <w:vAlign w:val="top"/>
          </w:tcPr>
          <w:p>
            <w:pPr>
              <w:spacing w:after="0" w:line="250"/>
              <w:jc w:val="center"/>
            </w:pPr>
            <w:r>
              <w:rPr>
                <w:rFonts w:ascii="Arial" w:cs="Arial" w:eastAsia="Arial" w:hAnsi="Arial"/>
                <w:b/>
                <w:bCs/>
                <w:color w:val="0072CE"/>
                <w:sz w:val="16"/>
                <w:szCs w:val="16"/>
              </w:rPr>
              <w:t xml:space="preserve">I</w:t>
            </w:r>
          </w:p>
        </w:tc>
        <w:tc>
          <w:tcPr>
            <w:tcW w:type="dxa" w:w="4306"/>
            <w:tcBorders>
              <w:top w:val="single" w:color="D9D8D2" w:sz="3"/>
              <w:left w:val="none" w:color="FFFFFF" w:sz="0"/>
              <w:bottom w:val="single" w:color="D9D8D2" w:sz="3"/>
              <w:right w:val="none" w:color="FFFFFF" w:sz="0"/>
            </w:tcBorders>
            <w:shd w:fill="EFEEE9" w:color="auto" w:val="clear"/>
            <w:tcMar>
              <w:top w:type="dxa" w:w="70"/>
              <w:left w:type="dxa" w:w="100"/>
              <w:bottom w:type="dxa" w:w="70"/>
              <w:right w:type="dxa" w:w="100"/>
            </w:tcMar>
            <w:vAlign w:val="top"/>
          </w:tcPr>
          <w:p>
            <w:pPr>
              <w:spacing w:after="0" w:line="250"/>
            </w:pPr>
            <w:r>
              <w:rPr>
                <w:rFonts w:ascii="Arial" w:cs="Arial" w:eastAsia="Arial" w:hAnsi="Arial"/>
                <w:color w:val="52514E"/>
                <w:sz w:val="13"/>
                <w:szCs w:val="13"/>
              </w:rPr>
              <w:t xml:space="preserve">Chain: (1) ASFA's 7 April 2026 submission asks that 'fair and reasonable' estimates be 'outside of the scope of matters subject to AFCA review'; (2) Parliament, in the same reform package, attached an express AFCA note to the principal new provider-facing duty; (3) an express statutory note contemplating AFCA complaints about provider conduct under this regime is evidence Parliament assumed AFCA jurisdiction rather than excluding it. The inference is about parliamentary assumption, not about AFCA's jurisdictional source, which lies in the Corporations Act and the AFCA Rules.</w:t>
            </w:r>
          </w:p>
        </w:tc>
        <w:tc>
          <w:tcPr>
            <w:tcW w:type="dxa" w:w="900"/>
            <w:tcBorders>
              <w:top w:val="single" w:color="D9D8D2" w:sz="3"/>
              <w:left w:val="none" w:color="FFFFFF" w:sz="0"/>
              <w:bottom w:val="single" w:color="D9D8D2" w:sz="3"/>
              <w:right w:val="none" w:color="FFFFFF" w:sz="0"/>
            </w:tcBorders>
            <w:shd w:fill="EFEEE9" w:color="auto" w:val="clear"/>
            <w:tcMar>
              <w:top w:type="dxa" w:w="70"/>
              <w:left w:type="dxa" w:w="100"/>
              <w:bottom w:type="dxa" w:w="70"/>
              <w:right w:type="dxa" w:w="100"/>
            </w:tcMar>
            <w:vAlign w:val="top"/>
          </w:tcPr>
          <w:p>
            <w:pPr>
              <w:spacing w:after="0" w:line="250"/>
              <w:jc w:val="center"/>
            </w:pPr>
            <w:r>
              <w:rPr>
                <w:rFonts w:ascii="Arial" w:cs="Arial" w:eastAsia="Arial" w:hAnsi="Arial"/>
                <w:b/>
                <w:bCs/>
                <w:color w:val="00806D"/>
                <w:sz w:val="13"/>
                <w:szCs w:val="13"/>
              </w:rPr>
              <w:t xml:space="preserve">verified</w:t>
            </w:r>
          </w:p>
        </w:tc>
      </w:tr>
      <w:tr>
        <w:tc>
          <w:tcPr>
            <w:tcW w:type="dxa" w:w="3900"/>
            <w:tcBorders>
              <w:top w:val="single" w:color="D9D8D2" w:sz="3"/>
              <w:left w:val="none" w:color="FFFFFF" w:sz="0"/>
              <w:bottom w:val="single" w:color="D9D8D2" w:sz="3"/>
              <w:right w:val="none" w:color="FFFFFF" w:sz="0"/>
            </w:tcBorders>
            <w:tcMar>
              <w:top w:type="dxa" w:w="70"/>
              <w:left w:type="dxa" w:w="100"/>
              <w:bottom w:type="dxa" w:w="70"/>
              <w:right w:type="dxa" w:w="100"/>
            </w:tcMar>
            <w:vAlign w:val="top"/>
          </w:tcPr>
          <w:p>
            <w:pPr>
              <w:spacing w:after="0" w:line="250"/>
            </w:pPr>
            <w:r>
              <w:rPr>
                <w:rFonts w:ascii="Arial" w:cs="Arial" w:eastAsia="Arial" w:hAnsi="Arial"/>
                <w:color w:val="1A1A1A"/>
                <w:sz w:val="14"/>
                <w:szCs w:val="14"/>
              </w:rPr>
              <w:t xml:space="preserve">For funds with more than six members the attribution of Division 296 fund earnings to individual members is on a 'fair and reasonable' basis with the method left to the trustee; funds with six or fewer members use a prescribed formula plus an annual actuarial certificate.</w:t>
            </w:r>
          </w:p>
        </w:tc>
        <w:tc>
          <w:tcPr>
            <w:tcW w:type="dxa" w:w="800"/>
            <w:tcBorders>
              <w:top w:val="single" w:color="D9D8D2" w:sz="3"/>
              <w:left w:val="none" w:color="FFFFFF" w:sz="0"/>
              <w:bottom w:val="single" w:color="D9D8D2" w:sz="3"/>
              <w:right w:val="none" w:color="FFFFFF" w:sz="0"/>
            </w:tcBorders>
            <w:tcMar>
              <w:top w:type="dxa" w:w="70"/>
              <w:left w:type="dxa" w:w="100"/>
              <w:bottom w:type="dxa" w:w="70"/>
              <w:right w:type="dxa" w:w="100"/>
            </w:tcMar>
            <w:vAlign w:val="top"/>
          </w:tcPr>
          <w:p>
            <w:pPr>
              <w:spacing w:after="0" w:line="250"/>
              <w:jc w:val="center"/>
            </w:pPr>
            <w:r>
              <w:rPr>
                <w:rFonts w:ascii="Arial" w:cs="Arial" w:eastAsia="Arial" w:hAnsi="Arial"/>
                <w:b/>
                <w:bCs/>
                <w:color w:val="00806D"/>
                <w:sz w:val="16"/>
                <w:szCs w:val="16"/>
              </w:rPr>
              <w:t xml:space="preserve">S</w:t>
            </w:r>
          </w:p>
        </w:tc>
        <w:tc>
          <w:tcPr>
            <w:tcW w:type="dxa" w:w="4306"/>
            <w:tcBorders>
              <w:top w:val="single" w:color="D9D8D2" w:sz="3"/>
              <w:left w:val="none" w:color="FFFFFF" w:sz="0"/>
              <w:bottom w:val="single" w:color="D9D8D2" w:sz="3"/>
              <w:right w:val="none" w:color="FFFFFF" w:sz="0"/>
            </w:tcBorders>
            <w:tcMar>
              <w:top w:type="dxa" w:w="70"/>
              <w:left w:type="dxa" w:w="100"/>
              <w:bottom w:type="dxa" w:w="70"/>
              <w:right w:type="dxa" w:w="100"/>
            </w:tcMar>
            <w:vAlign w:val="top"/>
          </w:tcPr>
          <w:p>
            <w:pPr>
              <w:spacing w:after="0" w:line="250"/>
            </w:pPr>
            <w:r>
              <w:rPr>
                <w:rFonts w:ascii="Arial" w:cs="Arial" w:eastAsia="Arial" w:hAnsi="Arial"/>
                <w:color w:val="52514E"/>
                <w:sz w:val="13"/>
                <w:szCs w:val="13"/>
              </w:rPr>
              <w:t xml:space="preserve">Bills Digest No. 48, 2025-26; ASFA submission to Treasury, 7 April 2026; practitioner analyses of the draft regulations. The operative text in F2026L00726 could not be read directly (the Federal Register serves documents through a JavaScript front end), so this rests on secondary description of the instrument rather than the instrument itself.</w:t>
            </w:r>
          </w:p>
        </w:tc>
        <w:tc>
          <w:tcPr>
            <w:tcW w:type="dxa" w:w="900"/>
            <w:tcBorders>
              <w:top w:val="single" w:color="D9D8D2" w:sz="3"/>
              <w:left w:val="none" w:color="FFFFFF" w:sz="0"/>
              <w:bottom w:val="single" w:color="D9D8D2" w:sz="3"/>
              <w:right w:val="none" w:color="FFFFFF" w:sz="0"/>
            </w:tcBorders>
            <w:tcMar>
              <w:top w:type="dxa" w:w="70"/>
              <w:left w:type="dxa" w:w="100"/>
              <w:bottom w:type="dxa" w:w="70"/>
              <w:right w:type="dxa" w:w="100"/>
            </w:tcMar>
            <w:vAlign w:val="top"/>
          </w:tcPr>
          <w:p>
            <w:pPr>
              <w:spacing w:after="0" w:line="250"/>
              <w:jc w:val="center"/>
            </w:pPr>
            <w:r>
              <w:rPr>
                <w:rFonts w:ascii="Arial" w:cs="Arial" w:eastAsia="Arial" w:hAnsi="Arial"/>
                <w:b/>
                <w:bCs/>
                <w:color w:val="E87722"/>
                <w:sz w:val="13"/>
                <w:szCs w:val="13"/>
              </w:rPr>
              <w:t xml:space="preserve">unverified</w:t>
            </w:r>
          </w:p>
        </w:tc>
      </w:tr>
      <w:tr>
        <w:tc>
          <w:tcPr>
            <w:tcW w:type="dxa" w:w="3900"/>
            <w:tcBorders>
              <w:top w:val="single" w:color="D9D8D2" w:sz="3"/>
              <w:left w:val="none" w:color="FFFFFF" w:sz="0"/>
              <w:bottom w:val="single" w:color="D9D8D2" w:sz="3"/>
              <w:right w:val="none" w:color="FFFFFF" w:sz="0"/>
            </w:tcBorders>
            <w:shd w:fill="EFEEE9" w:color="auto" w:val="clear"/>
            <w:tcMar>
              <w:top w:type="dxa" w:w="70"/>
              <w:left w:type="dxa" w:w="100"/>
              <w:bottom w:type="dxa" w:w="70"/>
              <w:right w:type="dxa" w:w="100"/>
            </w:tcMar>
            <w:vAlign w:val="top"/>
          </w:tcPr>
          <w:p>
            <w:pPr>
              <w:spacing w:after="0" w:line="250"/>
            </w:pPr>
            <w:r>
              <w:rPr>
                <w:rFonts w:ascii="Arial" w:cs="Arial" w:eastAsia="Arial" w:hAnsi="Arial"/>
                <w:color w:val="1A1A1A"/>
                <w:sz w:val="14"/>
                <w:szCs w:val="14"/>
              </w:rPr>
              <w:t xml:space="preserve">The final regulations, Income Tax Assessment (1997 Act) Amendment Regulations 2026 (F2026L00726), were made 11 June 2026 and registered 18 June 2026 - twelve days before the first measurement year began.</w:t>
            </w:r>
          </w:p>
        </w:tc>
        <w:tc>
          <w:tcPr>
            <w:tcW w:type="dxa" w:w="800"/>
            <w:tcBorders>
              <w:top w:val="single" w:color="D9D8D2" w:sz="3"/>
              <w:left w:val="none" w:color="FFFFFF" w:sz="0"/>
              <w:bottom w:val="single" w:color="D9D8D2" w:sz="3"/>
              <w:right w:val="none" w:color="FFFFFF" w:sz="0"/>
            </w:tcBorders>
            <w:shd w:fill="EFEEE9" w:color="auto" w:val="clear"/>
            <w:tcMar>
              <w:top w:type="dxa" w:w="70"/>
              <w:left w:type="dxa" w:w="100"/>
              <w:bottom w:type="dxa" w:w="70"/>
              <w:right w:type="dxa" w:w="100"/>
            </w:tcMar>
            <w:vAlign w:val="top"/>
          </w:tcPr>
          <w:p>
            <w:pPr>
              <w:spacing w:after="0" w:line="250"/>
              <w:jc w:val="center"/>
            </w:pPr>
            <w:r>
              <w:rPr>
                <w:rFonts w:ascii="Arial" w:cs="Arial" w:eastAsia="Arial" w:hAnsi="Arial"/>
                <w:b/>
                <w:bCs/>
                <w:color w:val="00806D"/>
                <w:sz w:val="16"/>
                <w:szCs w:val="16"/>
              </w:rPr>
              <w:t xml:space="preserve">S</w:t>
            </w:r>
          </w:p>
        </w:tc>
        <w:tc>
          <w:tcPr>
            <w:tcW w:type="dxa" w:w="4306"/>
            <w:tcBorders>
              <w:top w:val="single" w:color="D9D8D2" w:sz="3"/>
              <w:left w:val="none" w:color="FFFFFF" w:sz="0"/>
              <w:bottom w:val="single" w:color="D9D8D2" w:sz="3"/>
              <w:right w:val="none" w:color="FFFFFF" w:sz="0"/>
            </w:tcBorders>
            <w:shd w:fill="EFEEE9" w:color="auto" w:val="clear"/>
            <w:tcMar>
              <w:top w:type="dxa" w:w="70"/>
              <w:left w:type="dxa" w:w="100"/>
              <w:bottom w:type="dxa" w:w="70"/>
              <w:right w:type="dxa" w:w="100"/>
            </w:tcMar>
            <w:vAlign w:val="top"/>
          </w:tcPr>
          <w:p>
            <w:pPr>
              <w:spacing w:after="0" w:line="250"/>
            </w:pPr>
            <w:r>
              <w:rPr>
                <w:rFonts w:ascii="Arial" w:cs="Arial" w:eastAsia="Arial" w:hAnsi="Arial"/>
                <w:color w:val="52514E"/>
                <w:sz w:val="13"/>
                <w:szCs w:val="13"/>
              </w:rPr>
              <w:t xml:space="preserve">Federal Register of Legislation, F2026L00726 'as made' metadata (https://www.legislation.gov.au/F2026L00726/asmade). Registration and making dates are readable from the register listing even where the instrument text is not.</w:t>
            </w:r>
          </w:p>
        </w:tc>
        <w:tc>
          <w:tcPr>
            <w:tcW w:type="dxa" w:w="900"/>
            <w:tcBorders>
              <w:top w:val="single" w:color="D9D8D2" w:sz="3"/>
              <w:left w:val="none" w:color="FFFFFF" w:sz="0"/>
              <w:bottom w:val="single" w:color="D9D8D2" w:sz="3"/>
              <w:right w:val="none" w:color="FFFFFF" w:sz="0"/>
            </w:tcBorders>
            <w:shd w:fill="EFEEE9" w:color="auto" w:val="clear"/>
            <w:tcMar>
              <w:top w:type="dxa" w:w="70"/>
              <w:left w:type="dxa" w:w="100"/>
              <w:bottom w:type="dxa" w:w="70"/>
              <w:right w:type="dxa" w:w="100"/>
            </w:tcMar>
            <w:vAlign w:val="top"/>
          </w:tcPr>
          <w:p>
            <w:pPr>
              <w:spacing w:after="0" w:line="250"/>
              <w:jc w:val="center"/>
            </w:pPr>
            <w:r>
              <w:rPr>
                <w:rFonts w:ascii="Arial" w:cs="Arial" w:eastAsia="Arial" w:hAnsi="Arial"/>
                <w:b/>
                <w:bCs/>
                <w:color w:val="00806D"/>
                <w:sz w:val="13"/>
                <w:szCs w:val="13"/>
              </w:rPr>
              <w:t xml:space="preserve">verified</w:t>
            </w:r>
          </w:p>
        </w:tc>
      </w:tr>
      <w:tr>
        <w:tc>
          <w:tcPr>
            <w:tcW w:type="dxa" w:w="3900"/>
            <w:tcBorders>
              <w:top w:val="single" w:color="D9D8D2" w:sz="3"/>
              <w:left w:val="none" w:color="FFFFFF" w:sz="0"/>
              <w:bottom w:val="single" w:color="D9D8D2" w:sz="3"/>
              <w:right w:val="none" w:color="FFFFFF" w:sz="0"/>
            </w:tcBorders>
            <w:tcMar>
              <w:top w:type="dxa" w:w="70"/>
              <w:left w:type="dxa" w:w="100"/>
              <w:bottom w:type="dxa" w:w="70"/>
              <w:right w:type="dxa" w:w="100"/>
            </w:tcMar>
            <w:vAlign w:val="top"/>
          </w:tcPr>
          <w:p>
            <w:pPr>
              <w:spacing w:after="0" w:line="250"/>
            </w:pPr>
            <w:r>
              <w:rPr>
                <w:rFonts w:ascii="Arial" w:cs="Arial" w:eastAsia="Arial" w:hAnsi="Arial"/>
                <w:color w:val="1A1A1A"/>
                <w:sz w:val="14"/>
                <w:szCs w:val="14"/>
              </w:rPr>
              <w:t xml:space="preserve">The elective 30 June 2026 cost-base reset is available to small funds - SMSFs and small APRA funds - not to SMSFs alone; large funds and pooled superannuation trusts receive only a declining prescribed-factor method over four years.</w:t>
            </w:r>
          </w:p>
        </w:tc>
        <w:tc>
          <w:tcPr>
            <w:tcW w:type="dxa" w:w="800"/>
            <w:tcBorders>
              <w:top w:val="single" w:color="D9D8D2" w:sz="3"/>
              <w:left w:val="none" w:color="FFFFFF" w:sz="0"/>
              <w:bottom w:val="single" w:color="D9D8D2" w:sz="3"/>
              <w:right w:val="none" w:color="FFFFFF" w:sz="0"/>
            </w:tcBorders>
            <w:tcMar>
              <w:top w:type="dxa" w:w="70"/>
              <w:left w:type="dxa" w:w="100"/>
              <w:bottom w:type="dxa" w:w="70"/>
              <w:right w:type="dxa" w:w="100"/>
            </w:tcMar>
            <w:vAlign w:val="top"/>
          </w:tcPr>
          <w:p>
            <w:pPr>
              <w:spacing w:after="0" w:line="250"/>
              <w:jc w:val="center"/>
            </w:pPr>
            <w:r>
              <w:rPr>
                <w:rFonts w:ascii="Arial" w:cs="Arial" w:eastAsia="Arial" w:hAnsi="Arial"/>
                <w:b/>
                <w:bCs/>
                <w:color w:val="00806D"/>
                <w:sz w:val="16"/>
                <w:szCs w:val="16"/>
              </w:rPr>
              <w:t xml:space="preserve">S</w:t>
            </w:r>
          </w:p>
        </w:tc>
        <w:tc>
          <w:tcPr>
            <w:tcW w:type="dxa" w:w="4306"/>
            <w:tcBorders>
              <w:top w:val="single" w:color="D9D8D2" w:sz="3"/>
              <w:left w:val="none" w:color="FFFFFF" w:sz="0"/>
              <w:bottom w:val="single" w:color="D9D8D2" w:sz="3"/>
              <w:right w:val="none" w:color="FFFFFF" w:sz="0"/>
            </w:tcBorders>
            <w:tcMar>
              <w:top w:type="dxa" w:w="70"/>
              <w:left w:type="dxa" w:w="100"/>
              <w:bottom w:type="dxa" w:w="70"/>
              <w:right w:type="dxa" w:w="100"/>
            </w:tcMar>
            <w:vAlign w:val="top"/>
          </w:tcPr>
          <w:p>
            <w:pPr>
              <w:spacing w:after="0" w:line="250"/>
            </w:pPr>
            <w:r>
              <w:rPr>
                <w:rFonts w:ascii="Arial" w:cs="Arial" w:eastAsia="Arial" w:hAnsi="Arial"/>
                <w:color w:val="52514E"/>
                <w:sz w:val="13"/>
                <w:szCs w:val="13"/>
              </w:rPr>
              <w:t xml:space="preserve">Income Tax (Transitional Provisions) Act 1997 Division 296 transitional provisions as described in Bills Digest No. 48 and in the Tax Institute submission; the small-fund boundary was raised by red-team review. Not read against the operative transitional text. Material because small APRA funds are inside APRA's perimeter, which weakens a pure 'migration out of the perimeter' framing.</w:t>
            </w:r>
          </w:p>
        </w:tc>
        <w:tc>
          <w:tcPr>
            <w:tcW w:type="dxa" w:w="900"/>
            <w:tcBorders>
              <w:top w:val="single" w:color="D9D8D2" w:sz="3"/>
              <w:left w:val="none" w:color="FFFFFF" w:sz="0"/>
              <w:bottom w:val="single" w:color="D9D8D2" w:sz="3"/>
              <w:right w:val="none" w:color="FFFFFF" w:sz="0"/>
            </w:tcBorders>
            <w:tcMar>
              <w:top w:type="dxa" w:w="70"/>
              <w:left w:type="dxa" w:w="100"/>
              <w:bottom w:type="dxa" w:w="70"/>
              <w:right w:type="dxa" w:w="100"/>
            </w:tcMar>
            <w:vAlign w:val="top"/>
          </w:tcPr>
          <w:p>
            <w:pPr>
              <w:spacing w:after="0" w:line="250"/>
              <w:jc w:val="center"/>
            </w:pPr>
            <w:r>
              <w:rPr>
                <w:rFonts w:ascii="Arial" w:cs="Arial" w:eastAsia="Arial" w:hAnsi="Arial"/>
                <w:b/>
                <w:bCs/>
                <w:color w:val="E87722"/>
                <w:sz w:val="13"/>
                <w:szCs w:val="13"/>
              </w:rPr>
              <w:t xml:space="preserve">unverified</w:t>
            </w:r>
          </w:p>
        </w:tc>
      </w:tr>
      <w:tr>
        <w:tc>
          <w:tcPr>
            <w:tcW w:type="dxa" w:w="3900"/>
            <w:tcBorders>
              <w:top w:val="single" w:color="D9D8D2" w:sz="3"/>
              <w:left w:val="none" w:color="FFFFFF" w:sz="0"/>
              <w:bottom w:val="single" w:color="D9D8D2" w:sz="3"/>
              <w:right w:val="none" w:color="FFFFFF" w:sz="0"/>
            </w:tcBorders>
            <w:shd w:fill="EFEEE9" w:color="auto" w:val="clear"/>
            <w:tcMar>
              <w:top w:type="dxa" w:w="70"/>
              <w:left w:type="dxa" w:w="100"/>
              <w:bottom w:type="dxa" w:w="70"/>
              <w:right w:type="dxa" w:w="100"/>
            </w:tcMar>
            <w:vAlign w:val="top"/>
          </w:tcPr>
          <w:p>
            <w:pPr>
              <w:spacing w:after="0" w:line="250"/>
            </w:pPr>
            <w:r>
              <w:rPr>
                <w:rFonts w:ascii="Arial" w:cs="Arial" w:eastAsia="Arial" w:hAnsi="Arial"/>
                <w:color w:val="1A1A1A"/>
                <w:sz w:val="14"/>
                <w:szCs w:val="14"/>
              </w:rPr>
              <w:t xml:space="preserve">Post-death attribution of earnings survived into the made regulations; the earlier recommendation that licensees should not build to it has been removed as wrong.</w:t>
            </w:r>
          </w:p>
        </w:tc>
        <w:tc>
          <w:tcPr>
            <w:tcW w:type="dxa" w:w="800"/>
            <w:tcBorders>
              <w:top w:val="single" w:color="D9D8D2" w:sz="3"/>
              <w:left w:val="none" w:color="FFFFFF" w:sz="0"/>
              <w:bottom w:val="single" w:color="D9D8D2" w:sz="3"/>
              <w:right w:val="none" w:color="FFFFFF" w:sz="0"/>
            </w:tcBorders>
            <w:shd w:fill="EFEEE9" w:color="auto" w:val="clear"/>
            <w:tcMar>
              <w:top w:type="dxa" w:w="70"/>
              <w:left w:type="dxa" w:w="100"/>
              <w:bottom w:type="dxa" w:w="70"/>
              <w:right w:type="dxa" w:w="100"/>
            </w:tcMar>
            <w:vAlign w:val="top"/>
          </w:tcPr>
          <w:p>
            <w:pPr>
              <w:spacing w:after="0" w:line="250"/>
              <w:jc w:val="center"/>
            </w:pPr>
            <w:r>
              <w:rPr>
                <w:rFonts w:ascii="Arial" w:cs="Arial" w:eastAsia="Arial" w:hAnsi="Arial"/>
                <w:b/>
                <w:bCs/>
                <w:color w:val="00806D"/>
                <w:sz w:val="16"/>
                <w:szCs w:val="16"/>
              </w:rPr>
              <w:t xml:space="preserve">S</w:t>
            </w:r>
          </w:p>
        </w:tc>
        <w:tc>
          <w:tcPr>
            <w:tcW w:type="dxa" w:w="4306"/>
            <w:tcBorders>
              <w:top w:val="single" w:color="D9D8D2" w:sz="3"/>
              <w:left w:val="none" w:color="FFFFFF" w:sz="0"/>
              <w:bottom w:val="single" w:color="D9D8D2" w:sz="3"/>
              <w:right w:val="none" w:color="FFFFFF" w:sz="0"/>
            </w:tcBorders>
            <w:shd w:fill="EFEEE9" w:color="auto" w:val="clear"/>
            <w:tcMar>
              <w:top w:type="dxa" w:w="70"/>
              <w:left w:type="dxa" w:w="100"/>
              <w:bottom w:type="dxa" w:w="70"/>
              <w:right w:type="dxa" w:w="100"/>
            </w:tcMar>
            <w:vAlign w:val="top"/>
          </w:tcPr>
          <w:p>
            <w:pPr>
              <w:spacing w:after="0" w:line="250"/>
            </w:pPr>
            <w:r>
              <w:rPr>
                <w:rFonts w:ascii="Arial" w:cs="Arial" w:eastAsia="Arial" w:hAnsi="Arial"/>
                <w:color w:val="52514E"/>
                <w:sz w:val="13"/>
                <w:szCs w:val="13"/>
              </w:rPr>
              <w:t xml:space="preserve">Practitioner commentary on release of the made regulations reporting no change to post-death earnings treatment and the introduction of a 'death benefit income stream' concept, raised in red-team review. Primary text not read. The corrected position - the rule is operative law and licensees must build to it - is stated in the note; the reconciliation of post-death attribution with the duty to cash death benefits as soon as practicable is put as a supervisory question, not as an instruction to disregard the instrument.</w:t>
            </w:r>
          </w:p>
        </w:tc>
        <w:tc>
          <w:tcPr>
            <w:tcW w:type="dxa" w:w="900"/>
            <w:tcBorders>
              <w:top w:val="single" w:color="D9D8D2" w:sz="3"/>
              <w:left w:val="none" w:color="FFFFFF" w:sz="0"/>
              <w:bottom w:val="single" w:color="D9D8D2" w:sz="3"/>
              <w:right w:val="none" w:color="FFFFFF" w:sz="0"/>
            </w:tcBorders>
            <w:shd w:fill="EFEEE9" w:color="auto" w:val="clear"/>
            <w:tcMar>
              <w:top w:type="dxa" w:w="70"/>
              <w:left w:type="dxa" w:w="100"/>
              <w:bottom w:type="dxa" w:w="70"/>
              <w:right w:type="dxa" w:w="100"/>
            </w:tcMar>
            <w:vAlign w:val="top"/>
          </w:tcPr>
          <w:p>
            <w:pPr>
              <w:spacing w:after="0" w:line="250"/>
              <w:jc w:val="center"/>
            </w:pPr>
            <w:r>
              <w:rPr>
                <w:rFonts w:ascii="Arial" w:cs="Arial" w:eastAsia="Arial" w:hAnsi="Arial"/>
                <w:b/>
                <w:bCs/>
                <w:color w:val="E87722"/>
                <w:sz w:val="13"/>
                <w:szCs w:val="13"/>
              </w:rPr>
              <w:t xml:space="preserve">unverified</w:t>
            </w:r>
          </w:p>
        </w:tc>
      </w:tr>
      <w:tr>
        <w:tc>
          <w:tcPr>
            <w:tcW w:type="dxa" w:w="3900"/>
            <w:tcBorders>
              <w:top w:val="single" w:color="D9D8D2" w:sz="3"/>
              <w:left w:val="none" w:color="FFFFFF" w:sz="0"/>
              <w:bottom w:val="single" w:color="D9D8D2" w:sz="3"/>
              <w:right w:val="none" w:color="FFFFFF" w:sz="0"/>
            </w:tcBorders>
            <w:tcMar>
              <w:top w:type="dxa" w:w="70"/>
              <w:left w:type="dxa" w:w="100"/>
              <w:bottom w:type="dxa" w:w="70"/>
              <w:right w:type="dxa" w:w="100"/>
            </w:tcMar>
            <w:vAlign w:val="top"/>
          </w:tcPr>
          <w:p>
            <w:pPr>
              <w:spacing w:after="0" w:line="250"/>
            </w:pPr>
            <w:r>
              <w:rPr>
                <w:rFonts w:ascii="Arial" w:cs="Arial" w:eastAsia="Arial" w:hAnsi="Arial"/>
                <w:color w:val="1A1A1A"/>
                <w:sz w:val="14"/>
                <w:szCs w:val="14"/>
              </w:rPr>
              <w:t xml:space="preserve">CPS 230 paragraph 24, not paragraph 23, requires an entity to manage its full range of operational risks including legal, regulatory, compliance, conduct, technology, data and change management risk; paragraph 23 is senior management's duty to inform the Board.</w:t>
            </w:r>
          </w:p>
        </w:tc>
        <w:tc>
          <w:tcPr>
            <w:tcW w:type="dxa" w:w="800"/>
            <w:tcBorders>
              <w:top w:val="single" w:color="D9D8D2" w:sz="3"/>
              <w:left w:val="none" w:color="FFFFFF" w:sz="0"/>
              <w:bottom w:val="single" w:color="D9D8D2" w:sz="3"/>
              <w:right w:val="none" w:color="FFFFFF" w:sz="0"/>
            </w:tcBorders>
            <w:tcMar>
              <w:top w:type="dxa" w:w="70"/>
              <w:left w:type="dxa" w:w="100"/>
              <w:bottom w:type="dxa" w:w="70"/>
              <w:right w:type="dxa" w:w="100"/>
            </w:tcMar>
            <w:vAlign w:val="top"/>
          </w:tcPr>
          <w:p>
            <w:pPr>
              <w:spacing w:after="0" w:line="250"/>
              <w:jc w:val="center"/>
            </w:pPr>
            <w:r>
              <w:rPr>
                <w:rFonts w:ascii="Arial" w:cs="Arial" w:eastAsia="Arial" w:hAnsi="Arial"/>
                <w:b/>
                <w:bCs/>
                <w:color w:val="00806D"/>
                <w:sz w:val="16"/>
                <w:szCs w:val="16"/>
              </w:rPr>
              <w:t xml:space="preserve">S</w:t>
            </w:r>
          </w:p>
        </w:tc>
        <w:tc>
          <w:tcPr>
            <w:tcW w:type="dxa" w:w="4306"/>
            <w:tcBorders>
              <w:top w:val="single" w:color="D9D8D2" w:sz="3"/>
              <w:left w:val="none" w:color="FFFFFF" w:sz="0"/>
              <w:bottom w:val="single" w:color="D9D8D2" w:sz="3"/>
              <w:right w:val="none" w:color="FFFFFF" w:sz="0"/>
            </w:tcBorders>
            <w:tcMar>
              <w:top w:type="dxa" w:w="70"/>
              <w:left w:type="dxa" w:w="100"/>
              <w:bottom w:type="dxa" w:w="70"/>
              <w:right w:type="dxa" w:w="100"/>
            </w:tcMar>
            <w:vAlign w:val="top"/>
          </w:tcPr>
          <w:p>
            <w:pPr>
              <w:spacing w:after="0" w:line="250"/>
            </w:pPr>
            <w:r>
              <w:rPr>
                <w:rFonts w:ascii="Arial" w:cs="Arial" w:eastAsia="Arial" w:hAnsi="Arial"/>
                <w:color w:val="52514E"/>
                <w:sz w:val="13"/>
                <w:szCs w:val="13"/>
              </w:rPr>
              <w:t xml:space="preserve">Prudential Standard CPS 230 Operational Risk Management, in-force July 2025 version, read verbatim. Independently verified prior to this pass. The register's off-by-one appeared in five places and has been corrected throughout.</w:t>
            </w:r>
          </w:p>
        </w:tc>
        <w:tc>
          <w:tcPr>
            <w:tcW w:type="dxa" w:w="900"/>
            <w:tcBorders>
              <w:top w:val="single" w:color="D9D8D2" w:sz="3"/>
              <w:left w:val="none" w:color="FFFFFF" w:sz="0"/>
              <w:bottom w:val="single" w:color="D9D8D2" w:sz="3"/>
              <w:right w:val="none" w:color="FFFFFF" w:sz="0"/>
            </w:tcBorders>
            <w:tcMar>
              <w:top w:type="dxa" w:w="70"/>
              <w:left w:type="dxa" w:w="100"/>
              <w:bottom w:type="dxa" w:w="70"/>
              <w:right w:type="dxa" w:w="100"/>
            </w:tcMar>
            <w:vAlign w:val="top"/>
          </w:tcPr>
          <w:p>
            <w:pPr>
              <w:spacing w:after="0" w:line="250"/>
              <w:jc w:val="center"/>
            </w:pPr>
            <w:r>
              <w:rPr>
                <w:rFonts w:ascii="Arial" w:cs="Arial" w:eastAsia="Arial" w:hAnsi="Arial"/>
                <w:b/>
                <w:bCs/>
                <w:color w:val="00806D"/>
                <w:sz w:val="13"/>
                <w:szCs w:val="13"/>
              </w:rPr>
              <w:t xml:space="preserve">verified</w:t>
            </w:r>
          </w:p>
        </w:tc>
      </w:tr>
      <w:tr>
        <w:tc>
          <w:tcPr>
            <w:tcW w:type="dxa" w:w="3900"/>
            <w:tcBorders>
              <w:top w:val="single" w:color="D9D8D2" w:sz="3"/>
              <w:left w:val="none" w:color="FFFFFF" w:sz="0"/>
              <w:bottom w:val="single" w:color="D9D8D2" w:sz="3"/>
              <w:right w:val="none" w:color="FFFFFF" w:sz="0"/>
            </w:tcBorders>
            <w:shd w:fill="EFEEE9" w:color="auto" w:val="clear"/>
            <w:tcMar>
              <w:top w:type="dxa" w:w="70"/>
              <w:left w:type="dxa" w:w="100"/>
              <w:bottom w:type="dxa" w:w="70"/>
              <w:right w:type="dxa" w:w="100"/>
            </w:tcMar>
            <w:vAlign w:val="top"/>
          </w:tcPr>
          <w:p>
            <w:pPr>
              <w:spacing w:after="0" w:line="250"/>
            </w:pPr>
            <w:r>
              <w:rPr>
                <w:rFonts w:ascii="Arial" w:cs="Arial" w:eastAsia="Arial" w:hAnsi="Arial"/>
                <w:color w:val="1A1A1A"/>
                <w:sz w:val="14"/>
                <w:szCs w:val="14"/>
              </w:rPr>
              <w:t xml:space="preserve">CPS 230 paragraph 36(c) makes investment management and fund administration default critical operations for an RSE licensee unless the licensee can justify otherwise; paragraphs 35, 38 and 44 (tolerance levels and business continuity testing) apply accordingly.</w:t>
            </w:r>
          </w:p>
        </w:tc>
        <w:tc>
          <w:tcPr>
            <w:tcW w:type="dxa" w:w="800"/>
            <w:tcBorders>
              <w:top w:val="single" w:color="D9D8D2" w:sz="3"/>
              <w:left w:val="none" w:color="FFFFFF" w:sz="0"/>
              <w:bottom w:val="single" w:color="D9D8D2" w:sz="3"/>
              <w:right w:val="none" w:color="FFFFFF" w:sz="0"/>
            </w:tcBorders>
            <w:shd w:fill="EFEEE9" w:color="auto" w:val="clear"/>
            <w:tcMar>
              <w:top w:type="dxa" w:w="70"/>
              <w:left w:type="dxa" w:w="100"/>
              <w:bottom w:type="dxa" w:w="70"/>
              <w:right w:type="dxa" w:w="100"/>
            </w:tcMar>
            <w:vAlign w:val="top"/>
          </w:tcPr>
          <w:p>
            <w:pPr>
              <w:spacing w:after="0" w:line="250"/>
              <w:jc w:val="center"/>
            </w:pPr>
            <w:r>
              <w:rPr>
                <w:rFonts w:ascii="Arial" w:cs="Arial" w:eastAsia="Arial" w:hAnsi="Arial"/>
                <w:b/>
                <w:bCs/>
                <w:color w:val="00806D"/>
                <w:sz w:val="16"/>
                <w:szCs w:val="16"/>
              </w:rPr>
              <w:t xml:space="preserve">S</w:t>
            </w:r>
          </w:p>
        </w:tc>
        <w:tc>
          <w:tcPr>
            <w:tcW w:type="dxa" w:w="4306"/>
            <w:tcBorders>
              <w:top w:val="single" w:color="D9D8D2" w:sz="3"/>
              <w:left w:val="none" w:color="FFFFFF" w:sz="0"/>
              <w:bottom w:val="single" w:color="D9D8D2" w:sz="3"/>
              <w:right w:val="none" w:color="FFFFFF" w:sz="0"/>
            </w:tcBorders>
            <w:shd w:fill="EFEEE9" w:color="auto" w:val="clear"/>
            <w:tcMar>
              <w:top w:type="dxa" w:w="70"/>
              <w:left w:type="dxa" w:w="100"/>
              <w:bottom w:type="dxa" w:w="70"/>
              <w:right w:type="dxa" w:w="100"/>
            </w:tcMar>
            <w:vAlign w:val="top"/>
          </w:tcPr>
          <w:p>
            <w:pPr>
              <w:spacing w:after="0" w:line="250"/>
            </w:pPr>
            <w:r>
              <w:rPr>
                <w:rFonts w:ascii="Arial" w:cs="Arial" w:eastAsia="Arial" w:hAnsi="Arial"/>
                <w:color w:val="52514E"/>
                <w:sz w:val="13"/>
                <w:szCs w:val="13"/>
              </w:rPr>
              <w:t xml:space="preserve">CPS 230 in-force July 2025 version, paragraphs read verbatim.</w:t>
            </w:r>
          </w:p>
        </w:tc>
        <w:tc>
          <w:tcPr>
            <w:tcW w:type="dxa" w:w="900"/>
            <w:tcBorders>
              <w:top w:val="single" w:color="D9D8D2" w:sz="3"/>
              <w:left w:val="none" w:color="FFFFFF" w:sz="0"/>
              <w:bottom w:val="single" w:color="D9D8D2" w:sz="3"/>
              <w:right w:val="none" w:color="FFFFFF" w:sz="0"/>
            </w:tcBorders>
            <w:shd w:fill="EFEEE9" w:color="auto" w:val="clear"/>
            <w:tcMar>
              <w:top w:type="dxa" w:w="70"/>
              <w:left w:type="dxa" w:w="100"/>
              <w:bottom w:type="dxa" w:w="70"/>
              <w:right w:type="dxa" w:w="100"/>
            </w:tcMar>
            <w:vAlign w:val="top"/>
          </w:tcPr>
          <w:p>
            <w:pPr>
              <w:spacing w:after="0" w:line="250"/>
              <w:jc w:val="center"/>
            </w:pPr>
            <w:r>
              <w:rPr>
                <w:rFonts w:ascii="Arial" w:cs="Arial" w:eastAsia="Arial" w:hAnsi="Arial"/>
                <w:b/>
                <w:bCs/>
                <w:color w:val="00806D"/>
                <w:sz w:val="13"/>
                <w:szCs w:val="13"/>
              </w:rPr>
              <w:t xml:space="preserve">verified</w:t>
            </w:r>
          </w:p>
        </w:tc>
      </w:tr>
      <w:tr>
        <w:tc>
          <w:tcPr>
            <w:tcW w:type="dxa" w:w="3900"/>
            <w:tcBorders>
              <w:top w:val="single" w:color="D9D8D2" w:sz="3"/>
              <w:left w:val="none" w:color="FFFFFF" w:sz="0"/>
              <w:bottom w:val="single" w:color="D9D8D2" w:sz="3"/>
              <w:right w:val="none" w:color="FFFFFF" w:sz="0"/>
            </w:tcBorders>
            <w:tcMar>
              <w:top w:type="dxa" w:w="70"/>
              <w:left w:type="dxa" w:w="100"/>
              <w:bottom w:type="dxa" w:w="70"/>
              <w:right w:type="dxa" w:w="100"/>
            </w:tcMar>
            <w:vAlign w:val="top"/>
          </w:tcPr>
          <w:p>
            <w:pPr>
              <w:spacing w:after="0" w:line="250"/>
            </w:pPr>
            <w:r>
              <w:rPr>
                <w:rFonts w:ascii="Arial" w:cs="Arial" w:eastAsia="Arial" w:hAnsi="Arial"/>
                <w:color w:val="1A1A1A"/>
                <w:sz w:val="14"/>
                <w:szCs w:val="14"/>
              </w:rPr>
              <w:t xml:space="preserve">CPS 230 also carries a service provider management limb, and APRA already holds a completed material service provider register from every superannuation trustee, submitted by 1 October 2025, collected for the stated purpose of identifying concentration risk across the sector.</w:t>
            </w:r>
          </w:p>
        </w:tc>
        <w:tc>
          <w:tcPr>
            <w:tcW w:type="dxa" w:w="800"/>
            <w:tcBorders>
              <w:top w:val="single" w:color="D9D8D2" w:sz="3"/>
              <w:left w:val="none" w:color="FFFFFF" w:sz="0"/>
              <w:bottom w:val="single" w:color="D9D8D2" w:sz="3"/>
              <w:right w:val="none" w:color="FFFFFF" w:sz="0"/>
            </w:tcBorders>
            <w:tcMar>
              <w:top w:type="dxa" w:w="70"/>
              <w:left w:type="dxa" w:w="100"/>
              <w:bottom w:type="dxa" w:w="70"/>
              <w:right w:type="dxa" w:w="100"/>
            </w:tcMar>
            <w:vAlign w:val="top"/>
          </w:tcPr>
          <w:p>
            <w:pPr>
              <w:spacing w:after="0" w:line="250"/>
              <w:jc w:val="center"/>
            </w:pPr>
            <w:r>
              <w:rPr>
                <w:rFonts w:ascii="Arial" w:cs="Arial" w:eastAsia="Arial" w:hAnsi="Arial"/>
                <w:b/>
                <w:bCs/>
                <w:color w:val="00806D"/>
                <w:sz w:val="16"/>
                <w:szCs w:val="16"/>
              </w:rPr>
              <w:t xml:space="preserve">S</w:t>
            </w:r>
          </w:p>
        </w:tc>
        <w:tc>
          <w:tcPr>
            <w:tcW w:type="dxa" w:w="4306"/>
            <w:tcBorders>
              <w:top w:val="single" w:color="D9D8D2" w:sz="3"/>
              <w:left w:val="none" w:color="FFFFFF" w:sz="0"/>
              <w:bottom w:val="single" w:color="D9D8D2" w:sz="3"/>
              <w:right w:val="none" w:color="FFFFFF" w:sz="0"/>
            </w:tcBorders>
            <w:tcMar>
              <w:top w:type="dxa" w:w="70"/>
              <w:left w:type="dxa" w:w="100"/>
              <w:bottom w:type="dxa" w:w="70"/>
              <w:right w:type="dxa" w:w="100"/>
            </w:tcMar>
            <w:vAlign w:val="top"/>
          </w:tcPr>
          <w:p>
            <w:pPr>
              <w:spacing w:after="0" w:line="250"/>
            </w:pPr>
            <w:r>
              <w:rPr>
                <w:rFonts w:ascii="Arial" w:cs="Arial" w:eastAsia="Arial" w:hAnsi="Arial"/>
                <w:color w:val="52514E"/>
                <w:sz w:val="13"/>
                <w:szCs w:val="13"/>
              </w:rPr>
              <w:t xml:space="preserve">APRA, 'APRA releases material service provider register template' (https://www.apra.gov.au/news-and-publications/apra-releases-material-service-provider-register-template) - confirmed this pass: registers due from ADIs, superannuation trustees and insurers by 1 October 2025, purpose includes identifying where multiple entities rely on a single provider. APRA also finalised targeted CPS 230 amendments on 30 April 2026.</w:t>
            </w:r>
          </w:p>
        </w:tc>
        <w:tc>
          <w:tcPr>
            <w:tcW w:type="dxa" w:w="900"/>
            <w:tcBorders>
              <w:top w:val="single" w:color="D9D8D2" w:sz="3"/>
              <w:left w:val="none" w:color="FFFFFF" w:sz="0"/>
              <w:bottom w:val="single" w:color="D9D8D2" w:sz="3"/>
              <w:right w:val="none" w:color="FFFFFF" w:sz="0"/>
            </w:tcBorders>
            <w:tcMar>
              <w:top w:type="dxa" w:w="70"/>
              <w:left w:type="dxa" w:w="100"/>
              <w:bottom w:type="dxa" w:w="70"/>
              <w:right w:type="dxa" w:w="100"/>
            </w:tcMar>
            <w:vAlign w:val="top"/>
          </w:tcPr>
          <w:p>
            <w:pPr>
              <w:spacing w:after="0" w:line="250"/>
              <w:jc w:val="center"/>
            </w:pPr>
            <w:r>
              <w:rPr>
                <w:rFonts w:ascii="Arial" w:cs="Arial" w:eastAsia="Arial" w:hAnsi="Arial"/>
                <w:b/>
                <w:bCs/>
                <w:color w:val="00806D"/>
                <w:sz w:val="13"/>
                <w:szCs w:val="13"/>
              </w:rPr>
              <w:t xml:space="preserve">verified</w:t>
            </w:r>
          </w:p>
        </w:tc>
      </w:tr>
      <w:tr>
        <w:tc>
          <w:tcPr>
            <w:tcW w:type="dxa" w:w="3900"/>
            <w:tcBorders>
              <w:top w:val="single" w:color="D9D8D2" w:sz="3"/>
              <w:left w:val="none" w:color="FFFFFF" w:sz="0"/>
              <w:bottom w:val="single" w:color="D9D8D2" w:sz="3"/>
              <w:right w:val="none" w:color="FFFFFF" w:sz="0"/>
            </w:tcBorders>
            <w:shd w:fill="EFEEE9" w:color="auto" w:val="clear"/>
            <w:tcMar>
              <w:top w:type="dxa" w:w="70"/>
              <w:left w:type="dxa" w:w="100"/>
              <w:bottom w:type="dxa" w:w="70"/>
              <w:right w:type="dxa" w:w="100"/>
            </w:tcMar>
            <w:vAlign w:val="top"/>
          </w:tcPr>
          <w:p>
            <w:pPr>
              <w:spacing w:after="0" w:line="250"/>
            </w:pPr>
            <w:r>
              <w:rPr>
                <w:rFonts w:ascii="Arial" w:cs="Arial" w:eastAsia="Arial" w:hAnsi="Arial"/>
                <w:color w:val="1A1A1A"/>
                <w:sz w:val="14"/>
                <w:szCs w:val="14"/>
              </w:rPr>
              <w:t xml:space="preserve">SPS 231 Outsourcing was revoked on 1 July 2025 and its subject matter absorbed into CPS 230; citing SPS 231 in 2026 is an error and the defined benefit actuarial outsourcing question runs under CPS 230's service provider requirements.</w:t>
            </w:r>
          </w:p>
        </w:tc>
        <w:tc>
          <w:tcPr>
            <w:tcW w:type="dxa" w:w="800"/>
            <w:tcBorders>
              <w:top w:val="single" w:color="D9D8D2" w:sz="3"/>
              <w:left w:val="none" w:color="FFFFFF" w:sz="0"/>
              <w:bottom w:val="single" w:color="D9D8D2" w:sz="3"/>
              <w:right w:val="none" w:color="FFFFFF" w:sz="0"/>
            </w:tcBorders>
            <w:shd w:fill="EFEEE9" w:color="auto" w:val="clear"/>
            <w:tcMar>
              <w:top w:type="dxa" w:w="70"/>
              <w:left w:type="dxa" w:w="100"/>
              <w:bottom w:type="dxa" w:w="70"/>
              <w:right w:type="dxa" w:w="100"/>
            </w:tcMar>
            <w:vAlign w:val="top"/>
          </w:tcPr>
          <w:p>
            <w:pPr>
              <w:spacing w:after="0" w:line="250"/>
              <w:jc w:val="center"/>
            </w:pPr>
            <w:r>
              <w:rPr>
                <w:rFonts w:ascii="Arial" w:cs="Arial" w:eastAsia="Arial" w:hAnsi="Arial"/>
                <w:b/>
                <w:bCs/>
                <w:color w:val="00806D"/>
                <w:sz w:val="16"/>
                <w:szCs w:val="16"/>
              </w:rPr>
              <w:t xml:space="preserve">S</w:t>
            </w:r>
          </w:p>
        </w:tc>
        <w:tc>
          <w:tcPr>
            <w:tcW w:type="dxa" w:w="4306"/>
            <w:tcBorders>
              <w:top w:val="single" w:color="D9D8D2" w:sz="3"/>
              <w:left w:val="none" w:color="FFFFFF" w:sz="0"/>
              <w:bottom w:val="single" w:color="D9D8D2" w:sz="3"/>
              <w:right w:val="none" w:color="FFFFFF" w:sz="0"/>
            </w:tcBorders>
            <w:shd w:fill="EFEEE9" w:color="auto" w:val="clear"/>
            <w:tcMar>
              <w:top w:type="dxa" w:w="70"/>
              <w:left w:type="dxa" w:w="100"/>
              <w:bottom w:type="dxa" w:w="70"/>
              <w:right w:type="dxa" w:w="100"/>
            </w:tcMar>
            <w:vAlign w:val="top"/>
          </w:tcPr>
          <w:p>
            <w:pPr>
              <w:spacing w:after="0" w:line="250"/>
            </w:pPr>
            <w:r>
              <w:rPr>
                <w:rFonts w:ascii="Arial" w:cs="Arial" w:eastAsia="Arial" w:hAnsi="Arial"/>
                <w:color w:val="52514E"/>
                <w:sz w:val="13"/>
                <w:szCs w:val="13"/>
              </w:rPr>
              <w:t xml:space="preserve">APRA Prudential Handbook and CPS 230 response materials - confirmed this pass that CPS 230 came into effect 1 July 2025 replacing CPS/SPS 231 Outsourcing and 232 Business Continuity Management.</w:t>
            </w:r>
          </w:p>
        </w:tc>
        <w:tc>
          <w:tcPr>
            <w:tcW w:type="dxa" w:w="900"/>
            <w:tcBorders>
              <w:top w:val="single" w:color="D9D8D2" w:sz="3"/>
              <w:left w:val="none" w:color="FFFFFF" w:sz="0"/>
              <w:bottom w:val="single" w:color="D9D8D2" w:sz="3"/>
              <w:right w:val="none" w:color="FFFFFF" w:sz="0"/>
            </w:tcBorders>
            <w:shd w:fill="EFEEE9" w:color="auto" w:val="clear"/>
            <w:tcMar>
              <w:top w:type="dxa" w:w="70"/>
              <w:left w:type="dxa" w:w="100"/>
              <w:bottom w:type="dxa" w:w="70"/>
              <w:right w:type="dxa" w:w="100"/>
            </w:tcMar>
            <w:vAlign w:val="top"/>
          </w:tcPr>
          <w:p>
            <w:pPr>
              <w:spacing w:after="0" w:line="250"/>
              <w:jc w:val="center"/>
            </w:pPr>
            <w:r>
              <w:rPr>
                <w:rFonts w:ascii="Arial" w:cs="Arial" w:eastAsia="Arial" w:hAnsi="Arial"/>
                <w:b/>
                <w:bCs/>
                <w:color w:val="00806D"/>
                <w:sz w:val="13"/>
                <w:szCs w:val="13"/>
              </w:rPr>
              <w:t xml:space="preserve">verified</w:t>
            </w:r>
          </w:p>
        </w:tc>
      </w:tr>
      <w:tr>
        <w:tc>
          <w:tcPr>
            <w:tcW w:type="dxa" w:w="3900"/>
            <w:tcBorders>
              <w:top w:val="single" w:color="D9D8D2" w:sz="3"/>
              <w:left w:val="none" w:color="FFFFFF" w:sz="0"/>
              <w:bottom w:val="single" w:color="D9D8D2" w:sz="3"/>
              <w:right w:val="none" w:color="FFFFFF" w:sz="0"/>
            </w:tcBorders>
            <w:tcMar>
              <w:top w:type="dxa" w:w="70"/>
              <w:left w:type="dxa" w:w="100"/>
              <w:bottom w:type="dxa" w:w="70"/>
              <w:right w:type="dxa" w:w="100"/>
            </w:tcMar>
            <w:vAlign w:val="top"/>
          </w:tcPr>
          <w:p>
            <w:pPr>
              <w:spacing w:after="0" w:line="250"/>
            </w:pPr>
            <w:r>
              <w:rPr>
                <w:rFonts w:ascii="Arial" w:cs="Arial" w:eastAsia="Arial" w:hAnsi="Arial"/>
                <w:color w:val="1A1A1A"/>
                <w:sz w:val="14"/>
                <w:szCs w:val="14"/>
              </w:rPr>
              <w:t xml:space="preserve">The comprehensive investment stress testing programme is SPS 530 paragraph 31, not paragraph 29; SPS 530 paragraph 38 cross-refers to 'paragraph 31'.</w:t>
            </w:r>
          </w:p>
        </w:tc>
        <w:tc>
          <w:tcPr>
            <w:tcW w:type="dxa" w:w="800"/>
            <w:tcBorders>
              <w:top w:val="single" w:color="D9D8D2" w:sz="3"/>
              <w:left w:val="none" w:color="FFFFFF" w:sz="0"/>
              <w:bottom w:val="single" w:color="D9D8D2" w:sz="3"/>
              <w:right w:val="none" w:color="FFFFFF" w:sz="0"/>
            </w:tcBorders>
            <w:tcMar>
              <w:top w:type="dxa" w:w="70"/>
              <w:left w:type="dxa" w:w="100"/>
              <w:bottom w:type="dxa" w:w="70"/>
              <w:right w:type="dxa" w:w="100"/>
            </w:tcMar>
            <w:vAlign w:val="top"/>
          </w:tcPr>
          <w:p>
            <w:pPr>
              <w:spacing w:after="0" w:line="250"/>
              <w:jc w:val="center"/>
            </w:pPr>
            <w:r>
              <w:rPr>
                <w:rFonts w:ascii="Arial" w:cs="Arial" w:eastAsia="Arial" w:hAnsi="Arial"/>
                <w:b/>
                <w:bCs/>
                <w:color w:val="00806D"/>
                <w:sz w:val="16"/>
                <w:szCs w:val="16"/>
              </w:rPr>
              <w:t xml:space="preserve">S</w:t>
            </w:r>
          </w:p>
        </w:tc>
        <w:tc>
          <w:tcPr>
            <w:tcW w:type="dxa" w:w="4306"/>
            <w:tcBorders>
              <w:top w:val="single" w:color="D9D8D2" w:sz="3"/>
              <w:left w:val="none" w:color="FFFFFF" w:sz="0"/>
              <w:bottom w:val="single" w:color="D9D8D2" w:sz="3"/>
              <w:right w:val="none" w:color="FFFFFF" w:sz="0"/>
            </w:tcBorders>
            <w:tcMar>
              <w:top w:type="dxa" w:w="70"/>
              <w:left w:type="dxa" w:w="100"/>
              <w:bottom w:type="dxa" w:w="70"/>
              <w:right w:type="dxa" w:w="100"/>
            </w:tcMar>
            <w:vAlign w:val="top"/>
          </w:tcPr>
          <w:p>
            <w:pPr>
              <w:spacing w:after="0" w:line="250"/>
            </w:pPr>
            <w:r>
              <w:rPr>
                <w:rFonts w:ascii="Arial" w:cs="Arial" w:eastAsia="Arial" w:hAnsi="Arial"/>
                <w:color w:val="52514E"/>
                <w:sz w:val="13"/>
                <w:szCs w:val="13"/>
              </w:rPr>
              <w:t xml:space="preserve">SPS 530 Investment Governance, read via the integrated SPS/SPG 530 text; para 38 self-referentially confirms para 31. Independently verified prior to this pass. Paragraph 29 concerns Board justification for amending an investment strategy.</w:t>
            </w:r>
          </w:p>
        </w:tc>
        <w:tc>
          <w:tcPr>
            <w:tcW w:type="dxa" w:w="900"/>
            <w:tcBorders>
              <w:top w:val="single" w:color="D9D8D2" w:sz="3"/>
              <w:left w:val="none" w:color="FFFFFF" w:sz="0"/>
              <w:bottom w:val="single" w:color="D9D8D2" w:sz="3"/>
              <w:right w:val="none" w:color="FFFFFF" w:sz="0"/>
            </w:tcBorders>
            <w:tcMar>
              <w:top w:type="dxa" w:w="70"/>
              <w:left w:type="dxa" w:w="100"/>
              <w:bottom w:type="dxa" w:w="70"/>
              <w:right w:type="dxa" w:w="100"/>
            </w:tcMar>
            <w:vAlign w:val="top"/>
          </w:tcPr>
          <w:p>
            <w:pPr>
              <w:spacing w:after="0" w:line="250"/>
              <w:jc w:val="center"/>
            </w:pPr>
            <w:r>
              <w:rPr>
                <w:rFonts w:ascii="Arial" w:cs="Arial" w:eastAsia="Arial" w:hAnsi="Arial"/>
                <w:b/>
                <w:bCs/>
                <w:color w:val="00806D"/>
                <w:sz w:val="13"/>
                <w:szCs w:val="13"/>
              </w:rPr>
              <w:t xml:space="preserve">verified</w:t>
            </w:r>
          </w:p>
        </w:tc>
      </w:tr>
      <w:tr>
        <w:tc>
          <w:tcPr>
            <w:tcW w:type="dxa" w:w="3900"/>
            <w:tcBorders>
              <w:top w:val="single" w:color="D9D8D2" w:sz="3"/>
              <w:left w:val="none" w:color="FFFFFF" w:sz="0"/>
              <w:bottom w:val="single" w:color="D9D8D2" w:sz="3"/>
              <w:right w:val="none" w:color="FFFFFF" w:sz="0"/>
            </w:tcBorders>
            <w:shd w:fill="EFEEE9" w:color="auto" w:val="clear"/>
            <w:tcMar>
              <w:top w:type="dxa" w:w="70"/>
              <w:left w:type="dxa" w:w="100"/>
              <w:bottom w:type="dxa" w:w="70"/>
              <w:right w:type="dxa" w:w="100"/>
            </w:tcMar>
            <w:vAlign w:val="top"/>
          </w:tcPr>
          <w:p>
            <w:pPr>
              <w:spacing w:after="0" w:line="250"/>
            </w:pPr>
            <w:r>
              <w:rPr>
                <w:rFonts w:ascii="Arial" w:cs="Arial" w:eastAsia="Arial" w:hAnsi="Arial"/>
                <w:color w:val="1A1A1A"/>
                <w:sz w:val="14"/>
                <w:szCs w:val="14"/>
              </w:rPr>
              <w:t xml:space="preserve">SPS 530 paragraphs 36(d) and 36(e) require the liquidity management plan to identify a liquidity event and the action to be taken; paragraphs 39-41 establish the valuation governance framework, including triggers for interim valuations.</w:t>
            </w:r>
          </w:p>
        </w:tc>
        <w:tc>
          <w:tcPr>
            <w:tcW w:type="dxa" w:w="800"/>
            <w:tcBorders>
              <w:top w:val="single" w:color="D9D8D2" w:sz="3"/>
              <w:left w:val="none" w:color="FFFFFF" w:sz="0"/>
              <w:bottom w:val="single" w:color="D9D8D2" w:sz="3"/>
              <w:right w:val="none" w:color="FFFFFF" w:sz="0"/>
            </w:tcBorders>
            <w:shd w:fill="EFEEE9" w:color="auto" w:val="clear"/>
            <w:tcMar>
              <w:top w:type="dxa" w:w="70"/>
              <w:left w:type="dxa" w:w="100"/>
              <w:bottom w:type="dxa" w:w="70"/>
              <w:right w:type="dxa" w:w="100"/>
            </w:tcMar>
            <w:vAlign w:val="top"/>
          </w:tcPr>
          <w:p>
            <w:pPr>
              <w:spacing w:after="0" w:line="250"/>
              <w:jc w:val="center"/>
            </w:pPr>
            <w:r>
              <w:rPr>
                <w:rFonts w:ascii="Arial" w:cs="Arial" w:eastAsia="Arial" w:hAnsi="Arial"/>
                <w:b/>
                <w:bCs/>
                <w:color w:val="00806D"/>
                <w:sz w:val="16"/>
                <w:szCs w:val="16"/>
              </w:rPr>
              <w:t xml:space="preserve">S</w:t>
            </w:r>
          </w:p>
        </w:tc>
        <w:tc>
          <w:tcPr>
            <w:tcW w:type="dxa" w:w="4306"/>
            <w:tcBorders>
              <w:top w:val="single" w:color="D9D8D2" w:sz="3"/>
              <w:left w:val="none" w:color="FFFFFF" w:sz="0"/>
              <w:bottom w:val="single" w:color="D9D8D2" w:sz="3"/>
              <w:right w:val="none" w:color="FFFFFF" w:sz="0"/>
            </w:tcBorders>
            <w:shd w:fill="EFEEE9" w:color="auto" w:val="clear"/>
            <w:tcMar>
              <w:top w:type="dxa" w:w="70"/>
              <w:left w:type="dxa" w:w="100"/>
              <w:bottom w:type="dxa" w:w="70"/>
              <w:right w:type="dxa" w:w="100"/>
            </w:tcMar>
            <w:vAlign w:val="top"/>
          </w:tcPr>
          <w:p>
            <w:pPr>
              <w:spacing w:after="0" w:line="250"/>
            </w:pPr>
            <w:r>
              <w:rPr>
                <w:rFonts w:ascii="Arial" w:cs="Arial" w:eastAsia="Arial" w:hAnsi="Arial"/>
                <w:color w:val="52514E"/>
                <w:sz w:val="13"/>
                <w:szCs w:val="13"/>
              </w:rPr>
              <w:t xml:space="preserve">SPS 530 Investment Governance, paragraphs read verbatim from the integrated text.</w:t>
            </w:r>
          </w:p>
        </w:tc>
        <w:tc>
          <w:tcPr>
            <w:tcW w:type="dxa" w:w="900"/>
            <w:tcBorders>
              <w:top w:val="single" w:color="D9D8D2" w:sz="3"/>
              <w:left w:val="none" w:color="FFFFFF" w:sz="0"/>
              <w:bottom w:val="single" w:color="D9D8D2" w:sz="3"/>
              <w:right w:val="none" w:color="FFFFFF" w:sz="0"/>
            </w:tcBorders>
            <w:shd w:fill="EFEEE9" w:color="auto" w:val="clear"/>
            <w:tcMar>
              <w:top w:type="dxa" w:w="70"/>
              <w:left w:type="dxa" w:w="100"/>
              <w:bottom w:type="dxa" w:w="70"/>
              <w:right w:type="dxa" w:w="100"/>
            </w:tcMar>
            <w:vAlign w:val="top"/>
          </w:tcPr>
          <w:p>
            <w:pPr>
              <w:spacing w:after="0" w:line="250"/>
              <w:jc w:val="center"/>
            </w:pPr>
            <w:r>
              <w:rPr>
                <w:rFonts w:ascii="Arial" w:cs="Arial" w:eastAsia="Arial" w:hAnsi="Arial"/>
                <w:b/>
                <w:bCs/>
                <w:color w:val="00806D"/>
                <w:sz w:val="13"/>
                <w:szCs w:val="13"/>
              </w:rPr>
              <w:t xml:space="preserve">verified</w:t>
            </w:r>
          </w:p>
        </w:tc>
      </w:tr>
      <w:tr>
        <w:tc>
          <w:tcPr>
            <w:tcW w:type="dxa" w:w="3900"/>
            <w:tcBorders>
              <w:top w:val="single" w:color="D9D8D2" w:sz="3"/>
              <w:left w:val="none" w:color="FFFFFF" w:sz="0"/>
              <w:bottom w:val="single" w:color="D9D8D2" w:sz="3"/>
              <w:right w:val="none" w:color="FFFFFF" w:sz="0"/>
            </w:tcBorders>
            <w:tcMar>
              <w:top w:type="dxa" w:w="70"/>
              <w:left w:type="dxa" w:w="100"/>
              <w:bottom w:type="dxa" w:w="70"/>
              <w:right w:type="dxa" w:w="100"/>
            </w:tcMar>
            <w:vAlign w:val="top"/>
          </w:tcPr>
          <w:p>
            <w:pPr>
              <w:spacing w:after="0" w:line="250"/>
            </w:pPr>
            <w:r>
              <w:rPr>
                <w:rFonts w:ascii="Arial" w:cs="Arial" w:eastAsia="Arial" w:hAnsi="Arial"/>
                <w:color w:val="1A1A1A"/>
                <w:sz w:val="14"/>
                <w:szCs w:val="14"/>
              </w:rPr>
              <w:t xml:space="preserve">SPG 530 paragraph 9 states APRA's expectation that member equity risk be considered with a view to all beneficiaries being dealt with fairly; paragraph 79(e) names 'policy driven events: a change in Government policy, for example, related to access to accrued member assets'; paragraph 110 names 'changes in Government policy settings' as a trigger for more frequent valuations.</w:t>
            </w:r>
          </w:p>
        </w:tc>
        <w:tc>
          <w:tcPr>
            <w:tcW w:type="dxa" w:w="800"/>
            <w:tcBorders>
              <w:top w:val="single" w:color="D9D8D2" w:sz="3"/>
              <w:left w:val="none" w:color="FFFFFF" w:sz="0"/>
              <w:bottom w:val="single" w:color="D9D8D2" w:sz="3"/>
              <w:right w:val="none" w:color="FFFFFF" w:sz="0"/>
            </w:tcBorders>
            <w:tcMar>
              <w:top w:type="dxa" w:w="70"/>
              <w:left w:type="dxa" w:w="100"/>
              <w:bottom w:type="dxa" w:w="70"/>
              <w:right w:type="dxa" w:w="100"/>
            </w:tcMar>
            <w:vAlign w:val="top"/>
          </w:tcPr>
          <w:p>
            <w:pPr>
              <w:spacing w:after="0" w:line="250"/>
              <w:jc w:val="center"/>
            </w:pPr>
            <w:r>
              <w:rPr>
                <w:rFonts w:ascii="Arial" w:cs="Arial" w:eastAsia="Arial" w:hAnsi="Arial"/>
                <w:b/>
                <w:bCs/>
                <w:color w:val="00806D"/>
                <w:sz w:val="16"/>
                <w:szCs w:val="16"/>
              </w:rPr>
              <w:t xml:space="preserve">S</w:t>
            </w:r>
          </w:p>
        </w:tc>
        <w:tc>
          <w:tcPr>
            <w:tcW w:type="dxa" w:w="4306"/>
            <w:tcBorders>
              <w:top w:val="single" w:color="D9D8D2" w:sz="3"/>
              <w:left w:val="none" w:color="FFFFFF" w:sz="0"/>
              <w:bottom w:val="single" w:color="D9D8D2" w:sz="3"/>
              <w:right w:val="none" w:color="FFFFFF" w:sz="0"/>
            </w:tcBorders>
            <w:tcMar>
              <w:top w:type="dxa" w:w="70"/>
              <w:left w:type="dxa" w:w="100"/>
              <w:bottom w:type="dxa" w:w="70"/>
              <w:right w:type="dxa" w:w="100"/>
            </w:tcMar>
            <w:vAlign w:val="top"/>
          </w:tcPr>
          <w:p>
            <w:pPr>
              <w:spacing w:after="0" w:line="250"/>
            </w:pPr>
            <w:r>
              <w:rPr>
                <w:rFonts w:ascii="Arial" w:cs="Arial" w:eastAsia="Arial" w:hAnsi="Arial"/>
                <w:color w:val="52514E"/>
                <w:sz w:val="13"/>
                <w:szCs w:val="13"/>
              </w:rPr>
              <w:t xml:space="preserve">Prudential Practice Guide SPG 530 Investment Governance, integrated version (https://www.apra.gov.au/system/files/2023-07/Prudential%20Practice%20Guide%20SPG%20530%20Investment%20Governance%20Integrated%20version%20-%20clean.pdf).</w:t>
            </w:r>
          </w:p>
        </w:tc>
        <w:tc>
          <w:tcPr>
            <w:tcW w:type="dxa" w:w="900"/>
            <w:tcBorders>
              <w:top w:val="single" w:color="D9D8D2" w:sz="3"/>
              <w:left w:val="none" w:color="FFFFFF" w:sz="0"/>
              <w:bottom w:val="single" w:color="D9D8D2" w:sz="3"/>
              <w:right w:val="none" w:color="FFFFFF" w:sz="0"/>
            </w:tcBorders>
            <w:tcMar>
              <w:top w:type="dxa" w:w="70"/>
              <w:left w:type="dxa" w:w="100"/>
              <w:bottom w:type="dxa" w:w="70"/>
              <w:right w:type="dxa" w:w="100"/>
            </w:tcMar>
            <w:vAlign w:val="top"/>
          </w:tcPr>
          <w:p>
            <w:pPr>
              <w:spacing w:after="0" w:line="250"/>
              <w:jc w:val="center"/>
            </w:pPr>
            <w:r>
              <w:rPr>
                <w:rFonts w:ascii="Arial" w:cs="Arial" w:eastAsia="Arial" w:hAnsi="Arial"/>
                <w:b/>
                <w:bCs/>
                <w:color w:val="00806D"/>
                <w:sz w:val="13"/>
                <w:szCs w:val="13"/>
              </w:rPr>
              <w:t xml:space="preserve">verified</w:t>
            </w:r>
          </w:p>
        </w:tc>
      </w:tr>
      <w:tr>
        <w:tc>
          <w:tcPr>
            <w:tcW w:type="dxa" w:w="3900"/>
            <w:tcBorders>
              <w:top w:val="single" w:color="D9D8D2" w:sz="3"/>
              <w:left w:val="none" w:color="FFFFFF" w:sz="0"/>
              <w:bottom w:val="single" w:color="D9D8D2" w:sz="3"/>
              <w:right w:val="none" w:color="FFFFFF" w:sz="0"/>
            </w:tcBorders>
            <w:shd w:fill="EFEEE9" w:color="auto" w:val="clear"/>
            <w:tcMar>
              <w:top w:type="dxa" w:w="70"/>
              <w:left w:type="dxa" w:w="100"/>
              <w:bottom w:type="dxa" w:w="70"/>
              <w:right w:type="dxa" w:w="100"/>
            </w:tcMar>
            <w:vAlign w:val="top"/>
          </w:tcPr>
          <w:p>
            <w:pPr>
              <w:spacing w:after="0" w:line="250"/>
            </w:pPr>
            <w:r>
              <w:rPr>
                <w:rFonts w:ascii="Arial" w:cs="Arial" w:eastAsia="Arial" w:hAnsi="Arial"/>
                <w:color w:val="1A1A1A"/>
                <w:sz w:val="14"/>
                <w:szCs w:val="14"/>
              </w:rPr>
              <w:t xml:space="preserve">SPG 516 already permits cohorts based on balance size, so high-balance members can be named as an expected cohort in the annual business performance review without amending a prudential standard.</w:t>
            </w:r>
          </w:p>
        </w:tc>
        <w:tc>
          <w:tcPr>
            <w:tcW w:type="dxa" w:w="800"/>
            <w:tcBorders>
              <w:top w:val="single" w:color="D9D8D2" w:sz="3"/>
              <w:left w:val="none" w:color="FFFFFF" w:sz="0"/>
              <w:bottom w:val="single" w:color="D9D8D2" w:sz="3"/>
              <w:right w:val="none" w:color="FFFFFF" w:sz="0"/>
            </w:tcBorders>
            <w:shd w:fill="EFEEE9" w:color="auto" w:val="clear"/>
            <w:tcMar>
              <w:top w:type="dxa" w:w="70"/>
              <w:left w:type="dxa" w:w="100"/>
              <w:bottom w:type="dxa" w:w="70"/>
              <w:right w:type="dxa" w:w="100"/>
            </w:tcMar>
            <w:vAlign w:val="top"/>
          </w:tcPr>
          <w:p>
            <w:pPr>
              <w:spacing w:after="0" w:line="250"/>
              <w:jc w:val="center"/>
            </w:pPr>
            <w:r>
              <w:rPr>
                <w:rFonts w:ascii="Arial" w:cs="Arial" w:eastAsia="Arial" w:hAnsi="Arial"/>
                <w:b/>
                <w:bCs/>
                <w:color w:val="00806D"/>
                <w:sz w:val="16"/>
                <w:szCs w:val="16"/>
              </w:rPr>
              <w:t xml:space="preserve">S</w:t>
            </w:r>
          </w:p>
        </w:tc>
        <w:tc>
          <w:tcPr>
            <w:tcW w:type="dxa" w:w="4306"/>
            <w:tcBorders>
              <w:top w:val="single" w:color="D9D8D2" w:sz="3"/>
              <w:left w:val="none" w:color="FFFFFF" w:sz="0"/>
              <w:bottom w:val="single" w:color="D9D8D2" w:sz="3"/>
              <w:right w:val="none" w:color="FFFFFF" w:sz="0"/>
            </w:tcBorders>
            <w:shd w:fill="EFEEE9" w:color="auto" w:val="clear"/>
            <w:tcMar>
              <w:top w:type="dxa" w:w="70"/>
              <w:left w:type="dxa" w:w="100"/>
              <w:bottom w:type="dxa" w:w="70"/>
              <w:right w:type="dxa" w:w="100"/>
            </w:tcMar>
            <w:vAlign w:val="top"/>
          </w:tcPr>
          <w:p>
            <w:pPr>
              <w:spacing w:after="0" w:line="250"/>
            </w:pPr>
            <w:r>
              <w:rPr>
                <w:rFonts w:ascii="Arial" w:cs="Arial" w:eastAsia="Arial" w:hAnsi="Arial"/>
                <w:color w:val="52514E"/>
                <w:sz w:val="13"/>
                <w:szCs w:val="13"/>
              </w:rPr>
              <w:t xml:space="preserve">SPG 516 Business Performance Review: 'Separate cohorts may also be established using membership characteristics that cut across superannuation products, for example cohorts based on balance size.'</w:t>
            </w:r>
          </w:p>
        </w:tc>
        <w:tc>
          <w:tcPr>
            <w:tcW w:type="dxa" w:w="900"/>
            <w:tcBorders>
              <w:top w:val="single" w:color="D9D8D2" w:sz="3"/>
              <w:left w:val="none" w:color="FFFFFF" w:sz="0"/>
              <w:bottom w:val="single" w:color="D9D8D2" w:sz="3"/>
              <w:right w:val="none" w:color="FFFFFF" w:sz="0"/>
            </w:tcBorders>
            <w:shd w:fill="EFEEE9" w:color="auto" w:val="clear"/>
            <w:tcMar>
              <w:top w:type="dxa" w:w="70"/>
              <w:left w:type="dxa" w:w="100"/>
              <w:bottom w:type="dxa" w:w="70"/>
              <w:right w:type="dxa" w:w="100"/>
            </w:tcMar>
            <w:vAlign w:val="top"/>
          </w:tcPr>
          <w:p>
            <w:pPr>
              <w:spacing w:after="0" w:line="250"/>
              <w:jc w:val="center"/>
            </w:pPr>
            <w:r>
              <w:rPr>
                <w:rFonts w:ascii="Arial" w:cs="Arial" w:eastAsia="Arial" w:hAnsi="Arial"/>
                <w:b/>
                <w:bCs/>
                <w:color w:val="00806D"/>
                <w:sz w:val="13"/>
                <w:szCs w:val="13"/>
              </w:rPr>
              <w:t xml:space="preserve">verified</w:t>
            </w:r>
          </w:p>
        </w:tc>
      </w:tr>
      <w:tr>
        <w:tc>
          <w:tcPr>
            <w:tcW w:type="dxa" w:w="3900"/>
            <w:tcBorders>
              <w:top w:val="single" w:color="D9D8D2" w:sz="3"/>
              <w:left w:val="none" w:color="FFFFFF" w:sz="0"/>
              <w:bottom w:val="single" w:color="D9D8D2" w:sz="3"/>
              <w:right w:val="none" w:color="FFFFFF" w:sz="0"/>
            </w:tcBorders>
            <w:tcMar>
              <w:top w:type="dxa" w:w="70"/>
              <w:left w:type="dxa" w:w="100"/>
              <w:bottom w:type="dxa" w:w="70"/>
              <w:right w:type="dxa" w:w="100"/>
            </w:tcMar>
            <w:vAlign w:val="top"/>
          </w:tcPr>
          <w:p>
            <w:pPr>
              <w:spacing w:after="0" w:line="250"/>
            </w:pPr>
            <w:r>
              <w:rPr>
                <w:rFonts w:ascii="Arial" w:cs="Arial" w:eastAsia="Arial" w:hAnsi="Arial"/>
                <w:color w:val="1A1A1A"/>
                <w:sz w:val="14"/>
                <w:szCs w:val="14"/>
              </w:rPr>
              <w:t xml:space="preserve">RSE auditor assurance under SPS 310 does not currently reach the Division 296 calculation and attribution.</w:t>
            </w:r>
          </w:p>
        </w:tc>
        <w:tc>
          <w:tcPr>
            <w:tcW w:type="dxa" w:w="800"/>
            <w:tcBorders>
              <w:top w:val="single" w:color="D9D8D2" w:sz="3"/>
              <w:left w:val="none" w:color="FFFFFF" w:sz="0"/>
              <w:bottom w:val="single" w:color="D9D8D2" w:sz="3"/>
              <w:right w:val="none" w:color="FFFFFF" w:sz="0"/>
            </w:tcBorders>
            <w:tcMar>
              <w:top w:type="dxa" w:w="70"/>
              <w:left w:type="dxa" w:w="100"/>
              <w:bottom w:type="dxa" w:w="70"/>
              <w:right w:type="dxa" w:w="100"/>
            </w:tcMar>
            <w:vAlign w:val="top"/>
          </w:tcPr>
          <w:p>
            <w:pPr>
              <w:spacing w:after="0" w:line="250"/>
              <w:jc w:val="center"/>
            </w:pPr>
            <w:r>
              <w:rPr>
                <w:rFonts w:ascii="Arial" w:cs="Arial" w:eastAsia="Arial" w:hAnsi="Arial"/>
                <w:b/>
                <w:bCs/>
                <w:color w:val="0072CE"/>
                <w:sz w:val="16"/>
                <w:szCs w:val="16"/>
              </w:rPr>
              <w:t xml:space="preserve">I</w:t>
            </w:r>
          </w:p>
        </w:tc>
        <w:tc>
          <w:tcPr>
            <w:tcW w:type="dxa" w:w="4306"/>
            <w:tcBorders>
              <w:top w:val="single" w:color="D9D8D2" w:sz="3"/>
              <w:left w:val="none" w:color="FFFFFF" w:sz="0"/>
              <w:bottom w:val="single" w:color="D9D8D2" w:sz="3"/>
              <w:right w:val="none" w:color="FFFFFF" w:sz="0"/>
            </w:tcBorders>
            <w:tcMar>
              <w:top w:type="dxa" w:w="70"/>
              <w:left w:type="dxa" w:w="100"/>
              <w:bottom w:type="dxa" w:w="70"/>
              <w:right w:type="dxa" w:w="100"/>
            </w:tcMar>
            <w:vAlign w:val="top"/>
          </w:tcPr>
          <w:p>
            <w:pPr>
              <w:spacing w:after="0" w:line="250"/>
            </w:pPr>
            <w:r>
              <w:rPr>
                <w:rFonts w:ascii="Arial" w:cs="Arial" w:eastAsia="Arial" w:hAnsi="Arial"/>
                <w:color w:val="52514E"/>
                <w:sz w:val="13"/>
                <w:szCs w:val="13"/>
              </w:rPr>
              <w:t xml:space="preserve">Chain: (1) SPS 310 Attachment A directs reasonable assurance at data reported under APRA reporting standards and Attachment B at specified legislative compliance; (2) Division 296 fund earnings and member attribution are reported to the Commissioner under the ITAA 1997 and TAA 1953, not under any APRA reporting standard, and do not arise under the SIS Act; (3) therefore neither assurance limb reaches the calculation. Stated in the note as an assurance gap to be tested by asking what voluntary assurance licensees have obtained, not as a proposal to amend SPS 310.</w:t>
            </w:r>
          </w:p>
        </w:tc>
        <w:tc>
          <w:tcPr>
            <w:tcW w:type="dxa" w:w="900"/>
            <w:tcBorders>
              <w:top w:val="single" w:color="D9D8D2" w:sz="3"/>
              <w:left w:val="none" w:color="FFFFFF" w:sz="0"/>
              <w:bottom w:val="single" w:color="D9D8D2" w:sz="3"/>
              <w:right w:val="none" w:color="FFFFFF" w:sz="0"/>
            </w:tcBorders>
            <w:tcMar>
              <w:top w:type="dxa" w:w="70"/>
              <w:left w:type="dxa" w:w="100"/>
              <w:bottom w:type="dxa" w:w="70"/>
              <w:right w:type="dxa" w:w="100"/>
            </w:tcMar>
            <w:vAlign w:val="top"/>
          </w:tcPr>
          <w:p>
            <w:pPr>
              <w:spacing w:after="0" w:line="250"/>
              <w:jc w:val="center"/>
            </w:pPr>
            <w:r>
              <w:rPr>
                <w:rFonts w:ascii="Arial" w:cs="Arial" w:eastAsia="Arial" w:hAnsi="Arial"/>
                <w:b/>
                <w:bCs/>
                <w:color w:val="00806D"/>
                <w:sz w:val="13"/>
                <w:szCs w:val="13"/>
              </w:rPr>
              <w:t xml:space="preserve">verified</w:t>
            </w:r>
          </w:p>
        </w:tc>
      </w:tr>
      <w:tr>
        <w:tc>
          <w:tcPr>
            <w:tcW w:type="dxa" w:w="3900"/>
            <w:tcBorders>
              <w:top w:val="single" w:color="D9D8D2" w:sz="3"/>
              <w:left w:val="none" w:color="FFFFFF" w:sz="0"/>
              <w:bottom w:val="single" w:color="D9D8D2" w:sz="3"/>
              <w:right w:val="none" w:color="FFFFFF" w:sz="0"/>
            </w:tcBorders>
            <w:shd w:fill="EFEEE9" w:color="auto" w:val="clear"/>
            <w:tcMar>
              <w:top w:type="dxa" w:w="70"/>
              <w:left w:type="dxa" w:w="100"/>
              <w:bottom w:type="dxa" w:w="70"/>
              <w:right w:type="dxa" w:w="100"/>
            </w:tcMar>
            <w:vAlign w:val="top"/>
          </w:tcPr>
          <w:p>
            <w:pPr>
              <w:spacing w:after="0" w:line="250"/>
            </w:pPr>
            <w:r>
              <w:rPr>
                <w:rFonts w:ascii="Arial" w:cs="Arial" w:eastAsia="Arial" w:hAnsi="Arial"/>
                <w:color w:val="1A1A1A"/>
                <w:sz w:val="14"/>
                <w:szCs w:val="14"/>
              </w:rPr>
              <w:t xml:space="preserve">A late, incomplete or materially wrong Division 296 report to the Commissioner is not, of itself, a breach notifiable to APRA under SIS Act s 29JA; it becomes notifiable only derivatively, where it evidences inadequate compliance arrangements or produces member loss.</w:t>
            </w:r>
          </w:p>
        </w:tc>
        <w:tc>
          <w:tcPr>
            <w:tcW w:type="dxa" w:w="800"/>
            <w:tcBorders>
              <w:top w:val="single" w:color="D9D8D2" w:sz="3"/>
              <w:left w:val="none" w:color="FFFFFF" w:sz="0"/>
              <w:bottom w:val="single" w:color="D9D8D2" w:sz="3"/>
              <w:right w:val="none" w:color="FFFFFF" w:sz="0"/>
            </w:tcBorders>
            <w:shd w:fill="EFEEE9" w:color="auto" w:val="clear"/>
            <w:tcMar>
              <w:top w:type="dxa" w:w="70"/>
              <w:left w:type="dxa" w:w="100"/>
              <w:bottom w:type="dxa" w:w="70"/>
              <w:right w:type="dxa" w:w="100"/>
            </w:tcMar>
            <w:vAlign w:val="top"/>
          </w:tcPr>
          <w:p>
            <w:pPr>
              <w:spacing w:after="0" w:line="250"/>
              <w:jc w:val="center"/>
            </w:pPr>
            <w:r>
              <w:rPr>
                <w:rFonts w:ascii="Arial" w:cs="Arial" w:eastAsia="Arial" w:hAnsi="Arial"/>
                <w:b/>
                <w:bCs/>
                <w:color w:val="0072CE"/>
                <w:sz w:val="16"/>
                <w:szCs w:val="16"/>
              </w:rPr>
              <w:t xml:space="preserve">I</w:t>
            </w:r>
          </w:p>
        </w:tc>
        <w:tc>
          <w:tcPr>
            <w:tcW w:type="dxa" w:w="4306"/>
            <w:tcBorders>
              <w:top w:val="single" w:color="D9D8D2" w:sz="3"/>
              <w:left w:val="none" w:color="FFFFFF" w:sz="0"/>
              <w:bottom w:val="single" w:color="D9D8D2" w:sz="3"/>
              <w:right w:val="none" w:color="FFFFFF" w:sz="0"/>
            </w:tcBorders>
            <w:shd w:fill="EFEEE9" w:color="auto" w:val="clear"/>
            <w:tcMar>
              <w:top w:type="dxa" w:w="70"/>
              <w:left w:type="dxa" w:w="100"/>
              <w:bottom w:type="dxa" w:w="70"/>
              <w:right w:type="dxa" w:w="100"/>
            </w:tcMar>
            <w:vAlign w:val="top"/>
          </w:tcPr>
          <w:p>
            <w:pPr>
              <w:spacing w:after="0" w:line="250"/>
            </w:pPr>
            <w:r>
              <w:rPr>
                <w:rFonts w:ascii="Arial" w:cs="Arial" w:eastAsia="Arial" w:hAnsi="Arial"/>
                <w:color w:val="52514E"/>
                <w:sz w:val="13"/>
                <w:szCs w:val="13"/>
              </w:rPr>
              <w:t xml:space="preserve">Chain: (1) s 29JA keys significant-breach notification to breaches of licence conditions, assessed by reference to arrangements to comply with the RSE licensee law and Chapter 2M of the Corporations Act; (2) Division 296 obligations arise under the ITAA 1997 and TAA 1953, which are not RSE licensee law; (3) so the direct trigger is absent. The s 29JA text was not read verbatim in this pass, so the legal premise should be confirmed by APRA Legal before the note is relied on externally. The recommended fix - stating an expectation of notification in a letter - does not depend on resolving it.</w:t>
            </w:r>
          </w:p>
        </w:tc>
        <w:tc>
          <w:tcPr>
            <w:tcW w:type="dxa" w:w="900"/>
            <w:tcBorders>
              <w:top w:val="single" w:color="D9D8D2" w:sz="3"/>
              <w:left w:val="none" w:color="FFFFFF" w:sz="0"/>
              <w:bottom w:val="single" w:color="D9D8D2" w:sz="3"/>
              <w:right w:val="none" w:color="FFFFFF" w:sz="0"/>
            </w:tcBorders>
            <w:shd w:fill="EFEEE9" w:color="auto" w:val="clear"/>
            <w:tcMar>
              <w:top w:type="dxa" w:w="70"/>
              <w:left w:type="dxa" w:w="100"/>
              <w:bottom w:type="dxa" w:w="70"/>
              <w:right w:type="dxa" w:w="100"/>
            </w:tcMar>
            <w:vAlign w:val="top"/>
          </w:tcPr>
          <w:p>
            <w:pPr>
              <w:spacing w:after="0" w:line="250"/>
              <w:jc w:val="center"/>
            </w:pPr>
            <w:r>
              <w:rPr>
                <w:rFonts w:ascii="Arial" w:cs="Arial" w:eastAsia="Arial" w:hAnsi="Arial"/>
                <w:b/>
                <w:bCs/>
                <w:color w:val="E87722"/>
                <w:sz w:val="13"/>
                <w:szCs w:val="13"/>
              </w:rPr>
              <w:t xml:space="preserve">unverified</w:t>
            </w:r>
          </w:p>
        </w:tc>
      </w:tr>
      <w:tr>
        <w:tc>
          <w:tcPr>
            <w:tcW w:type="dxa" w:w="3900"/>
            <w:tcBorders>
              <w:top w:val="single" w:color="D9D8D2" w:sz="3"/>
              <w:left w:val="none" w:color="FFFFFF" w:sz="0"/>
              <w:bottom w:val="single" w:color="D9D8D2" w:sz="3"/>
              <w:right w:val="none" w:color="FFFFFF" w:sz="0"/>
            </w:tcBorders>
            <w:tcMar>
              <w:top w:type="dxa" w:w="70"/>
              <w:left w:type="dxa" w:w="100"/>
              <w:bottom w:type="dxa" w:w="70"/>
              <w:right w:type="dxa" w:w="100"/>
            </w:tcMar>
            <w:vAlign w:val="top"/>
          </w:tcPr>
          <w:p>
            <w:pPr>
              <w:spacing w:after="0" w:line="250"/>
            </w:pPr>
            <w:r>
              <w:rPr>
                <w:rFonts w:ascii="Arial" w:cs="Arial" w:eastAsia="Arial" w:hAnsi="Arial"/>
                <w:color w:val="1A1A1A"/>
                <w:sz w:val="14"/>
                <w:szCs w:val="14"/>
              </w:rPr>
              <w:t xml:space="preserve">APRA has an immediate, four-month-old precedent for the intervention recommended here: its 'Payday Super Readiness' letter to RSE licensees of March 2026, which told licensees to revisit implementation timelines, stated that APRA would expect contribution processing to be a CPS 230 critical operation, and stated that significant breaches of the new requirements would necessitate a breach notification to APRA.</w:t>
            </w:r>
          </w:p>
        </w:tc>
        <w:tc>
          <w:tcPr>
            <w:tcW w:type="dxa" w:w="800"/>
            <w:tcBorders>
              <w:top w:val="single" w:color="D9D8D2" w:sz="3"/>
              <w:left w:val="none" w:color="FFFFFF" w:sz="0"/>
              <w:bottom w:val="single" w:color="D9D8D2" w:sz="3"/>
              <w:right w:val="none" w:color="FFFFFF" w:sz="0"/>
            </w:tcBorders>
            <w:tcMar>
              <w:top w:type="dxa" w:w="70"/>
              <w:left w:type="dxa" w:w="100"/>
              <w:bottom w:type="dxa" w:w="70"/>
              <w:right w:type="dxa" w:w="100"/>
            </w:tcMar>
            <w:vAlign w:val="top"/>
          </w:tcPr>
          <w:p>
            <w:pPr>
              <w:spacing w:after="0" w:line="250"/>
              <w:jc w:val="center"/>
            </w:pPr>
            <w:r>
              <w:rPr>
                <w:rFonts w:ascii="Arial" w:cs="Arial" w:eastAsia="Arial" w:hAnsi="Arial"/>
                <w:b/>
                <w:bCs/>
                <w:color w:val="00806D"/>
                <w:sz w:val="16"/>
                <w:szCs w:val="16"/>
              </w:rPr>
              <w:t xml:space="preserve">S</w:t>
            </w:r>
          </w:p>
        </w:tc>
        <w:tc>
          <w:tcPr>
            <w:tcW w:type="dxa" w:w="4306"/>
            <w:tcBorders>
              <w:top w:val="single" w:color="D9D8D2" w:sz="3"/>
              <w:left w:val="none" w:color="FFFFFF" w:sz="0"/>
              <w:bottom w:val="single" w:color="D9D8D2" w:sz="3"/>
              <w:right w:val="none" w:color="FFFFFF" w:sz="0"/>
            </w:tcBorders>
            <w:tcMar>
              <w:top w:type="dxa" w:w="70"/>
              <w:left w:type="dxa" w:w="100"/>
              <w:bottom w:type="dxa" w:w="70"/>
              <w:right w:type="dxa" w:w="100"/>
            </w:tcMar>
            <w:vAlign w:val="top"/>
          </w:tcPr>
          <w:p>
            <w:pPr>
              <w:spacing w:after="0" w:line="250"/>
            </w:pPr>
            <w:r>
              <w:rPr>
                <w:rFonts w:ascii="Arial" w:cs="Arial" w:eastAsia="Arial" w:hAnsi="Arial"/>
                <w:color w:val="52514E"/>
                <w:sz w:val="13"/>
                <w:szCs w:val="13"/>
              </w:rPr>
              <w:t xml:space="preserve">APRA, 'Payday Super Readiness' (https://www.apra.gov.au/payday-super-readiness) - content confirmed this pass, including the three-business-day allocation requirement from 1 July 2026, the ATO's concern that a material number of licensees were not on track for SuperStream 3.0 Member Verification Request, and the CPS 230 and breach-notification statements.</w:t>
            </w:r>
          </w:p>
        </w:tc>
        <w:tc>
          <w:tcPr>
            <w:tcW w:type="dxa" w:w="900"/>
            <w:tcBorders>
              <w:top w:val="single" w:color="D9D8D2" w:sz="3"/>
              <w:left w:val="none" w:color="FFFFFF" w:sz="0"/>
              <w:bottom w:val="single" w:color="D9D8D2" w:sz="3"/>
              <w:right w:val="none" w:color="FFFFFF" w:sz="0"/>
            </w:tcBorders>
            <w:tcMar>
              <w:top w:type="dxa" w:w="70"/>
              <w:left w:type="dxa" w:w="100"/>
              <w:bottom w:type="dxa" w:w="70"/>
              <w:right w:type="dxa" w:w="100"/>
            </w:tcMar>
            <w:vAlign w:val="top"/>
          </w:tcPr>
          <w:p>
            <w:pPr>
              <w:spacing w:after="0" w:line="250"/>
              <w:jc w:val="center"/>
            </w:pPr>
            <w:r>
              <w:rPr>
                <w:rFonts w:ascii="Arial" w:cs="Arial" w:eastAsia="Arial" w:hAnsi="Arial"/>
                <w:b/>
                <w:bCs/>
                <w:color w:val="00806D"/>
                <w:sz w:val="13"/>
                <w:szCs w:val="13"/>
              </w:rPr>
              <w:t xml:space="preserve">verified</w:t>
            </w:r>
          </w:p>
        </w:tc>
      </w:tr>
      <w:tr>
        <w:tc>
          <w:tcPr>
            <w:tcW w:type="dxa" w:w="3900"/>
            <w:tcBorders>
              <w:top w:val="single" w:color="D9D8D2" w:sz="3"/>
              <w:left w:val="none" w:color="FFFFFF" w:sz="0"/>
              <w:bottom w:val="single" w:color="D9D8D2" w:sz="3"/>
              <w:right w:val="none" w:color="FFFFFF" w:sz="0"/>
            </w:tcBorders>
            <w:shd w:fill="EFEEE9" w:color="auto" w:val="clear"/>
            <w:tcMar>
              <w:top w:type="dxa" w:w="70"/>
              <w:left w:type="dxa" w:w="100"/>
              <w:bottom w:type="dxa" w:w="70"/>
              <w:right w:type="dxa" w:w="100"/>
            </w:tcMar>
            <w:vAlign w:val="top"/>
          </w:tcPr>
          <w:p>
            <w:pPr>
              <w:spacing w:after="0" w:line="250"/>
            </w:pPr>
            <w:r>
              <w:rPr>
                <w:rFonts w:ascii="Arial" w:cs="Arial" w:eastAsia="Arial" w:hAnsi="Arial"/>
                <w:color w:val="1A1A1A"/>
                <w:sz w:val="14"/>
                <w:szCs w:val="14"/>
              </w:rPr>
              <w:t xml:space="preserve">Payday Super and Division 296 commence on the same day, 1 July 2026, and land on the same administration platforms, data pipelines and finite administrator change capacity; Payday Super carries the earlier and more visible deadline, so Division 296 is the change more likely to be deprioritised.</w:t>
            </w:r>
          </w:p>
        </w:tc>
        <w:tc>
          <w:tcPr>
            <w:tcW w:type="dxa" w:w="800"/>
            <w:tcBorders>
              <w:top w:val="single" w:color="D9D8D2" w:sz="3"/>
              <w:left w:val="none" w:color="FFFFFF" w:sz="0"/>
              <w:bottom w:val="single" w:color="D9D8D2" w:sz="3"/>
              <w:right w:val="none" w:color="FFFFFF" w:sz="0"/>
            </w:tcBorders>
            <w:shd w:fill="EFEEE9" w:color="auto" w:val="clear"/>
            <w:tcMar>
              <w:top w:type="dxa" w:w="70"/>
              <w:left w:type="dxa" w:w="100"/>
              <w:bottom w:type="dxa" w:w="70"/>
              <w:right w:type="dxa" w:w="100"/>
            </w:tcMar>
            <w:vAlign w:val="top"/>
          </w:tcPr>
          <w:p>
            <w:pPr>
              <w:spacing w:after="0" w:line="250"/>
              <w:jc w:val="center"/>
            </w:pPr>
            <w:r>
              <w:rPr>
                <w:rFonts w:ascii="Arial" w:cs="Arial" w:eastAsia="Arial" w:hAnsi="Arial"/>
                <w:b/>
                <w:bCs/>
                <w:color w:val="0072CE"/>
                <w:sz w:val="16"/>
                <w:szCs w:val="16"/>
              </w:rPr>
              <w:t xml:space="preserve">I</w:t>
            </w:r>
          </w:p>
        </w:tc>
        <w:tc>
          <w:tcPr>
            <w:tcW w:type="dxa" w:w="4306"/>
            <w:tcBorders>
              <w:top w:val="single" w:color="D9D8D2" w:sz="3"/>
              <w:left w:val="none" w:color="FFFFFF" w:sz="0"/>
              <w:bottom w:val="single" w:color="D9D8D2" w:sz="3"/>
              <w:right w:val="none" w:color="FFFFFF" w:sz="0"/>
            </w:tcBorders>
            <w:shd w:fill="EFEEE9" w:color="auto" w:val="clear"/>
            <w:tcMar>
              <w:top w:type="dxa" w:w="70"/>
              <w:left w:type="dxa" w:w="100"/>
              <w:bottom w:type="dxa" w:w="70"/>
              <w:right w:type="dxa" w:w="100"/>
            </w:tcMar>
            <w:vAlign w:val="top"/>
          </w:tcPr>
          <w:p>
            <w:pPr>
              <w:spacing w:after="0" w:line="250"/>
            </w:pPr>
            <w:r>
              <w:rPr>
                <w:rFonts w:ascii="Arial" w:cs="Arial" w:eastAsia="Arial" w:hAnsi="Arial"/>
                <w:color w:val="52514E"/>
                <w:sz w:val="13"/>
                <w:szCs w:val="13"/>
              </w:rPr>
              <w:t xml:space="preserve">Chain: (1) both measures commence 1 July 2026 (APRA Payday Super Readiness letter; Division 296 commencement); (2) both are delivered through fund administration and registry systems, which CPS 230 para 36(c) treats as a critical operation; (3) Payday Super has a daily, visible, employer-facing deadline while Division 296 has no external test until the ATO's first information requests in 2027-28; (4) scarce change capacity is therefore allocated to the visible deadline. Behavioural claim, not measured.</w:t>
            </w:r>
          </w:p>
        </w:tc>
        <w:tc>
          <w:tcPr>
            <w:tcW w:type="dxa" w:w="900"/>
            <w:tcBorders>
              <w:top w:val="single" w:color="D9D8D2" w:sz="3"/>
              <w:left w:val="none" w:color="FFFFFF" w:sz="0"/>
              <w:bottom w:val="single" w:color="D9D8D2" w:sz="3"/>
              <w:right w:val="none" w:color="FFFFFF" w:sz="0"/>
            </w:tcBorders>
            <w:shd w:fill="EFEEE9" w:color="auto" w:val="clear"/>
            <w:tcMar>
              <w:top w:type="dxa" w:w="70"/>
              <w:left w:type="dxa" w:w="100"/>
              <w:bottom w:type="dxa" w:w="70"/>
              <w:right w:type="dxa" w:w="100"/>
            </w:tcMar>
            <w:vAlign w:val="top"/>
          </w:tcPr>
          <w:p>
            <w:pPr>
              <w:spacing w:after="0" w:line="250"/>
              <w:jc w:val="center"/>
            </w:pPr>
            <w:r>
              <w:rPr>
                <w:rFonts w:ascii="Arial" w:cs="Arial" w:eastAsia="Arial" w:hAnsi="Arial"/>
                <w:b/>
                <w:bCs/>
                <w:color w:val="E87722"/>
                <w:sz w:val="13"/>
                <w:szCs w:val="13"/>
              </w:rPr>
              <w:t xml:space="preserve">unverified</w:t>
            </w:r>
          </w:p>
        </w:tc>
      </w:tr>
      <w:tr>
        <w:tc>
          <w:tcPr>
            <w:tcW w:type="dxa" w:w="3900"/>
            <w:tcBorders>
              <w:top w:val="single" w:color="D9D8D2" w:sz="3"/>
              <w:left w:val="none" w:color="FFFFFF" w:sz="0"/>
              <w:bottom w:val="single" w:color="D9D8D2" w:sz="3"/>
              <w:right w:val="none" w:color="FFFFFF" w:sz="0"/>
            </w:tcBorders>
            <w:tcMar>
              <w:top w:type="dxa" w:w="70"/>
              <w:left w:type="dxa" w:w="100"/>
              <w:bottom w:type="dxa" w:w="70"/>
              <w:right w:type="dxa" w:w="100"/>
            </w:tcMar>
            <w:vAlign w:val="top"/>
          </w:tcPr>
          <w:p>
            <w:pPr>
              <w:spacing w:after="0" w:line="250"/>
            </w:pPr>
            <w:r>
              <w:rPr>
                <w:rFonts w:ascii="Arial" w:cs="Arial" w:eastAsia="Arial" w:hAnsi="Arial"/>
                <w:color w:val="1A1A1A"/>
                <w:sz w:val="14"/>
                <w:szCs w:val="14"/>
              </w:rPr>
              <w:t xml:space="preserve">APRA engages bilaterally with Treasury and the ATO, and the remaining calculation and attribution work is progressing through an ATO co-design process; the opportunity is to contribute a prudential perspective to that work, not to remedy an exclusion.</w:t>
            </w:r>
          </w:p>
        </w:tc>
        <w:tc>
          <w:tcPr>
            <w:tcW w:type="dxa" w:w="800"/>
            <w:tcBorders>
              <w:top w:val="single" w:color="D9D8D2" w:sz="3"/>
              <w:left w:val="none" w:color="FFFFFF" w:sz="0"/>
              <w:bottom w:val="single" w:color="D9D8D2" w:sz="3"/>
              <w:right w:val="none" w:color="FFFFFF" w:sz="0"/>
            </w:tcBorders>
            <w:tcMar>
              <w:top w:type="dxa" w:w="70"/>
              <w:left w:type="dxa" w:w="100"/>
              <w:bottom w:type="dxa" w:w="70"/>
              <w:right w:type="dxa" w:w="100"/>
            </w:tcMar>
            <w:vAlign w:val="top"/>
          </w:tcPr>
          <w:p>
            <w:pPr>
              <w:spacing w:after="0" w:line="250"/>
              <w:jc w:val="center"/>
            </w:pPr>
            <w:r>
              <w:rPr>
                <w:rFonts w:ascii="Arial" w:cs="Arial" w:eastAsia="Arial" w:hAnsi="Arial"/>
                <w:b/>
                <w:bCs/>
                <w:color w:val="00806D"/>
                <w:sz w:val="16"/>
                <w:szCs w:val="16"/>
              </w:rPr>
              <w:t xml:space="preserve">S</w:t>
            </w:r>
          </w:p>
        </w:tc>
        <w:tc>
          <w:tcPr>
            <w:tcW w:type="dxa" w:w="4306"/>
            <w:tcBorders>
              <w:top w:val="single" w:color="D9D8D2" w:sz="3"/>
              <w:left w:val="none" w:color="FFFFFF" w:sz="0"/>
              <w:bottom w:val="single" w:color="D9D8D2" w:sz="3"/>
              <w:right w:val="none" w:color="FFFFFF" w:sz="0"/>
            </w:tcBorders>
            <w:tcMar>
              <w:top w:type="dxa" w:w="70"/>
              <w:left w:type="dxa" w:w="100"/>
              <w:bottom w:type="dxa" w:w="70"/>
              <w:right w:type="dxa" w:w="100"/>
            </w:tcMar>
            <w:vAlign w:val="top"/>
          </w:tcPr>
          <w:p>
            <w:pPr>
              <w:spacing w:after="0" w:line="250"/>
            </w:pPr>
            <w:r>
              <w:rPr>
                <w:rFonts w:ascii="Arial" w:cs="Arial" w:eastAsia="Arial" w:hAnsi="Arial"/>
                <w:color w:val="52514E"/>
                <w:sz w:val="13"/>
                <w:szCs w:val="13"/>
              </w:rPr>
              <w:t xml:space="preserve">Established and confirmed in the workflow's settled-facts list. The published membership page for the ATO Superannuation Administration Group does not list APRA, but a published stakeholder-group membership list is not evidence of the full engagement channel, and the note no longer asserts that APRA has 'no voice' or is 'not in the room'.</w:t>
            </w:r>
          </w:p>
        </w:tc>
        <w:tc>
          <w:tcPr>
            <w:tcW w:type="dxa" w:w="900"/>
            <w:tcBorders>
              <w:top w:val="single" w:color="D9D8D2" w:sz="3"/>
              <w:left w:val="none" w:color="FFFFFF" w:sz="0"/>
              <w:bottom w:val="single" w:color="D9D8D2" w:sz="3"/>
              <w:right w:val="none" w:color="FFFFFF" w:sz="0"/>
            </w:tcBorders>
            <w:tcMar>
              <w:top w:type="dxa" w:w="70"/>
              <w:left w:type="dxa" w:w="100"/>
              <w:bottom w:type="dxa" w:w="70"/>
              <w:right w:type="dxa" w:w="100"/>
            </w:tcMar>
            <w:vAlign w:val="top"/>
          </w:tcPr>
          <w:p>
            <w:pPr>
              <w:spacing w:after="0" w:line="250"/>
              <w:jc w:val="center"/>
            </w:pPr>
            <w:r>
              <w:rPr>
                <w:rFonts w:ascii="Arial" w:cs="Arial" w:eastAsia="Arial" w:hAnsi="Arial"/>
                <w:b/>
                <w:bCs/>
                <w:color w:val="00806D"/>
                <w:sz w:val="13"/>
                <w:szCs w:val="13"/>
              </w:rPr>
              <w:t xml:space="preserve">verified</w:t>
            </w:r>
          </w:p>
        </w:tc>
      </w:tr>
      <w:tr>
        <w:tc>
          <w:tcPr>
            <w:tcW w:type="dxa" w:w="3900"/>
            <w:tcBorders>
              <w:top w:val="single" w:color="D9D8D2" w:sz="3"/>
              <w:left w:val="none" w:color="FFFFFF" w:sz="0"/>
              <w:bottom w:val="single" w:color="D9D8D2" w:sz="3"/>
              <w:right w:val="none" w:color="FFFFFF" w:sz="0"/>
            </w:tcBorders>
            <w:shd w:fill="EFEEE9" w:color="auto" w:val="clear"/>
            <w:tcMar>
              <w:top w:type="dxa" w:w="70"/>
              <w:left w:type="dxa" w:w="100"/>
              <w:bottom w:type="dxa" w:w="70"/>
              <w:right w:type="dxa" w:w="100"/>
            </w:tcMar>
            <w:vAlign w:val="top"/>
          </w:tcPr>
          <w:p>
            <w:pPr>
              <w:spacing w:after="0" w:line="250"/>
            </w:pPr>
            <w:r>
              <w:rPr>
                <w:rFonts w:ascii="Arial" w:cs="Arial" w:eastAsia="Arial" w:hAnsi="Arial"/>
                <w:color w:val="1A1A1A"/>
                <w:sz w:val="14"/>
                <w:szCs w:val="14"/>
              </w:rPr>
              <w:t xml:space="preserve">As at 26 July 2026 APRA has published no Division 296-specific letter, guide, FAQ or speech.</w:t>
            </w:r>
          </w:p>
        </w:tc>
        <w:tc>
          <w:tcPr>
            <w:tcW w:type="dxa" w:w="800"/>
            <w:tcBorders>
              <w:top w:val="single" w:color="D9D8D2" w:sz="3"/>
              <w:left w:val="none" w:color="FFFFFF" w:sz="0"/>
              <w:bottom w:val="single" w:color="D9D8D2" w:sz="3"/>
              <w:right w:val="none" w:color="FFFFFF" w:sz="0"/>
            </w:tcBorders>
            <w:shd w:fill="EFEEE9" w:color="auto" w:val="clear"/>
            <w:tcMar>
              <w:top w:type="dxa" w:w="70"/>
              <w:left w:type="dxa" w:w="100"/>
              <w:bottom w:type="dxa" w:w="70"/>
              <w:right w:type="dxa" w:w="100"/>
            </w:tcMar>
            <w:vAlign w:val="top"/>
          </w:tcPr>
          <w:p>
            <w:pPr>
              <w:spacing w:after="0" w:line="250"/>
              <w:jc w:val="center"/>
            </w:pPr>
            <w:r>
              <w:rPr>
                <w:rFonts w:ascii="Arial" w:cs="Arial" w:eastAsia="Arial" w:hAnsi="Arial"/>
                <w:b/>
                <w:bCs/>
                <w:color w:val="00806D"/>
                <w:sz w:val="16"/>
                <w:szCs w:val="16"/>
              </w:rPr>
              <w:t xml:space="preserve">S</w:t>
            </w:r>
          </w:p>
        </w:tc>
        <w:tc>
          <w:tcPr>
            <w:tcW w:type="dxa" w:w="4306"/>
            <w:tcBorders>
              <w:top w:val="single" w:color="D9D8D2" w:sz="3"/>
              <w:left w:val="none" w:color="FFFFFF" w:sz="0"/>
              <w:bottom w:val="single" w:color="D9D8D2" w:sz="3"/>
              <w:right w:val="none" w:color="FFFFFF" w:sz="0"/>
            </w:tcBorders>
            <w:shd w:fill="EFEEE9" w:color="auto" w:val="clear"/>
            <w:tcMar>
              <w:top w:type="dxa" w:w="70"/>
              <w:left w:type="dxa" w:w="100"/>
              <w:bottom w:type="dxa" w:w="70"/>
              <w:right w:type="dxa" w:w="100"/>
            </w:tcMar>
            <w:vAlign w:val="top"/>
          </w:tcPr>
          <w:p>
            <w:pPr>
              <w:spacing w:after="0" w:line="250"/>
            </w:pPr>
            <w:r>
              <w:rPr>
                <w:rFonts w:ascii="Arial" w:cs="Arial" w:eastAsia="Arial" w:hAnsi="Arial"/>
                <w:color w:val="52514E"/>
                <w:sz w:val="13"/>
                <w:szCs w:val="13"/>
              </w:rPr>
              <w:t xml:space="preserve">Domain-restricted searches of apra.gov.au; the Chair's June 2026 Senate opening statement does not mention the measure. This is a search-based negative finding, not an exhaustive check of APRA's internal publication index, and should be confirmed internally before being stated externally.</w:t>
            </w:r>
          </w:p>
        </w:tc>
        <w:tc>
          <w:tcPr>
            <w:tcW w:type="dxa" w:w="900"/>
            <w:tcBorders>
              <w:top w:val="single" w:color="D9D8D2" w:sz="3"/>
              <w:left w:val="none" w:color="FFFFFF" w:sz="0"/>
              <w:bottom w:val="single" w:color="D9D8D2" w:sz="3"/>
              <w:right w:val="none" w:color="FFFFFF" w:sz="0"/>
            </w:tcBorders>
            <w:shd w:fill="EFEEE9" w:color="auto" w:val="clear"/>
            <w:tcMar>
              <w:top w:type="dxa" w:w="70"/>
              <w:left w:type="dxa" w:w="100"/>
              <w:bottom w:type="dxa" w:w="70"/>
              <w:right w:type="dxa" w:w="100"/>
            </w:tcMar>
            <w:vAlign w:val="top"/>
          </w:tcPr>
          <w:p>
            <w:pPr>
              <w:spacing w:after="0" w:line="250"/>
              <w:jc w:val="center"/>
            </w:pPr>
            <w:r>
              <w:rPr>
                <w:rFonts w:ascii="Arial" w:cs="Arial" w:eastAsia="Arial" w:hAnsi="Arial"/>
                <w:b/>
                <w:bCs/>
                <w:color w:val="E87722"/>
                <w:sz w:val="13"/>
                <w:szCs w:val="13"/>
              </w:rPr>
              <w:t xml:space="preserve">unverified</w:t>
            </w:r>
          </w:p>
        </w:tc>
      </w:tr>
      <w:tr>
        <w:tc>
          <w:tcPr>
            <w:tcW w:type="dxa" w:w="3900"/>
            <w:tcBorders>
              <w:top w:val="single" w:color="D9D8D2" w:sz="3"/>
              <w:left w:val="none" w:color="FFFFFF" w:sz="0"/>
              <w:bottom w:val="single" w:color="D9D8D2" w:sz="3"/>
              <w:right w:val="none" w:color="FFFFFF" w:sz="0"/>
            </w:tcBorders>
            <w:tcMar>
              <w:top w:type="dxa" w:w="70"/>
              <w:left w:type="dxa" w:w="100"/>
              <w:bottom w:type="dxa" w:w="70"/>
              <w:right w:type="dxa" w:w="100"/>
            </w:tcMar>
            <w:vAlign w:val="top"/>
          </w:tcPr>
          <w:p>
            <w:pPr>
              <w:spacing w:after="0" w:line="250"/>
            </w:pPr>
            <w:r>
              <w:rPr>
                <w:rFonts w:ascii="Arial" w:cs="Arial" w:eastAsia="Arial" w:hAnsi="Arial"/>
                <w:color w:val="1A1A1A"/>
                <w:sz w:val="14"/>
                <w:szCs w:val="14"/>
              </w:rPr>
              <w:t xml:space="preserve">APRA's highest published member benefit bracket is '$1,000,000+', which is one third of the lower threshold; at 31 March 2026 that bracket held 305,000 accounts (1.28% of accounts) and $441.5bn of members' benefits (13.8%), with an average balance in the bracket of $1.45m.</w:t>
            </w:r>
          </w:p>
        </w:tc>
        <w:tc>
          <w:tcPr>
            <w:tcW w:type="dxa" w:w="800"/>
            <w:tcBorders>
              <w:top w:val="single" w:color="D9D8D2" w:sz="3"/>
              <w:left w:val="none" w:color="FFFFFF" w:sz="0"/>
              <w:bottom w:val="single" w:color="D9D8D2" w:sz="3"/>
              <w:right w:val="none" w:color="FFFFFF" w:sz="0"/>
            </w:tcBorders>
            <w:tcMar>
              <w:top w:type="dxa" w:w="70"/>
              <w:left w:type="dxa" w:w="100"/>
              <w:bottom w:type="dxa" w:w="70"/>
              <w:right w:type="dxa" w:w="100"/>
            </w:tcMar>
            <w:vAlign w:val="top"/>
          </w:tcPr>
          <w:p>
            <w:pPr>
              <w:spacing w:after="0" w:line="250"/>
              <w:jc w:val="center"/>
            </w:pPr>
            <w:r>
              <w:rPr>
                <w:rFonts w:ascii="Arial" w:cs="Arial" w:eastAsia="Arial" w:hAnsi="Arial"/>
                <w:b/>
                <w:bCs/>
                <w:color w:val="00806D"/>
                <w:sz w:val="16"/>
                <w:szCs w:val="16"/>
              </w:rPr>
              <w:t xml:space="preserve">S</w:t>
            </w:r>
          </w:p>
        </w:tc>
        <w:tc>
          <w:tcPr>
            <w:tcW w:type="dxa" w:w="4306"/>
            <w:tcBorders>
              <w:top w:val="single" w:color="D9D8D2" w:sz="3"/>
              <w:left w:val="none" w:color="FFFFFF" w:sz="0"/>
              <w:bottom w:val="single" w:color="D9D8D2" w:sz="3"/>
              <w:right w:val="none" w:color="FFFFFF" w:sz="0"/>
            </w:tcBorders>
            <w:tcMar>
              <w:top w:type="dxa" w:w="70"/>
              <w:left w:type="dxa" w:w="100"/>
              <w:bottom w:type="dxa" w:w="70"/>
              <w:right w:type="dxa" w:w="100"/>
            </w:tcMar>
            <w:vAlign w:val="top"/>
          </w:tcPr>
          <w:p>
            <w:pPr>
              <w:spacing w:after="0" w:line="250"/>
            </w:pPr>
            <w:r>
              <w:rPr>
                <w:rFonts w:ascii="Arial" w:cs="Arial" w:eastAsia="Arial" w:hAnsi="Arial"/>
                <w:color w:val="52514E"/>
                <w:sz w:val="13"/>
                <w:szCs w:val="13"/>
              </w:rPr>
              <w:t xml:space="preserve">Reporting Standard SRS 611.0 Member Accounts, SRF 611.0 Instructions Table 1 Column 3; APRA Quarterly Superannuation Industry Publication, March 2026, Table 8.</w:t>
            </w:r>
          </w:p>
        </w:tc>
        <w:tc>
          <w:tcPr>
            <w:tcW w:type="dxa" w:w="900"/>
            <w:tcBorders>
              <w:top w:val="single" w:color="D9D8D2" w:sz="3"/>
              <w:left w:val="none" w:color="FFFFFF" w:sz="0"/>
              <w:bottom w:val="single" w:color="D9D8D2" w:sz="3"/>
              <w:right w:val="none" w:color="FFFFFF" w:sz="0"/>
            </w:tcBorders>
            <w:tcMar>
              <w:top w:type="dxa" w:w="70"/>
              <w:left w:type="dxa" w:w="100"/>
              <w:bottom w:type="dxa" w:w="70"/>
              <w:right w:type="dxa" w:w="100"/>
            </w:tcMar>
            <w:vAlign w:val="top"/>
          </w:tcPr>
          <w:p>
            <w:pPr>
              <w:spacing w:after="0" w:line="250"/>
              <w:jc w:val="center"/>
            </w:pPr>
            <w:r>
              <w:rPr>
                <w:rFonts w:ascii="Arial" w:cs="Arial" w:eastAsia="Arial" w:hAnsi="Arial"/>
                <w:b/>
                <w:bCs/>
                <w:color w:val="00806D"/>
                <w:sz w:val="13"/>
                <w:szCs w:val="13"/>
              </w:rPr>
              <w:t xml:space="preserve">verified</w:t>
            </w:r>
          </w:p>
        </w:tc>
      </w:tr>
      <w:tr>
        <w:tc>
          <w:tcPr>
            <w:tcW w:type="dxa" w:w="3900"/>
            <w:tcBorders>
              <w:top w:val="single" w:color="D9D8D2" w:sz="3"/>
              <w:left w:val="none" w:color="FFFFFF" w:sz="0"/>
              <w:bottom w:val="single" w:color="D9D8D2" w:sz="3"/>
              <w:right w:val="none" w:color="FFFFFF" w:sz="0"/>
            </w:tcBorders>
            <w:shd w:fill="EFEEE9" w:color="auto" w:val="clear"/>
            <w:tcMar>
              <w:top w:type="dxa" w:w="70"/>
              <w:left w:type="dxa" w:w="100"/>
              <w:bottom w:type="dxa" w:w="70"/>
              <w:right w:type="dxa" w:w="100"/>
            </w:tcMar>
            <w:vAlign w:val="top"/>
          </w:tcPr>
          <w:p>
            <w:pPr>
              <w:spacing w:after="0" w:line="250"/>
            </w:pPr>
            <w:r>
              <w:rPr>
                <w:rFonts w:ascii="Arial" w:cs="Arial" w:eastAsia="Arial" w:hAnsi="Arial"/>
                <w:color w:val="1A1A1A"/>
                <w:sz w:val="14"/>
                <w:szCs w:val="14"/>
              </w:rPr>
              <w:t xml:space="preserve">An average balance of $1.45m against a $1m floor implies a steeply decaying right tail, so the population above $3m in APRA-regulated funds is small - most likely in the hundreds per large licensee rather than the thousands.</w:t>
            </w:r>
          </w:p>
        </w:tc>
        <w:tc>
          <w:tcPr>
            <w:tcW w:type="dxa" w:w="800"/>
            <w:tcBorders>
              <w:top w:val="single" w:color="D9D8D2" w:sz="3"/>
              <w:left w:val="none" w:color="FFFFFF" w:sz="0"/>
              <w:bottom w:val="single" w:color="D9D8D2" w:sz="3"/>
              <w:right w:val="none" w:color="FFFFFF" w:sz="0"/>
            </w:tcBorders>
            <w:shd w:fill="EFEEE9" w:color="auto" w:val="clear"/>
            <w:tcMar>
              <w:top w:type="dxa" w:w="70"/>
              <w:left w:type="dxa" w:w="100"/>
              <w:bottom w:type="dxa" w:w="70"/>
              <w:right w:type="dxa" w:w="100"/>
            </w:tcMar>
            <w:vAlign w:val="top"/>
          </w:tcPr>
          <w:p>
            <w:pPr>
              <w:spacing w:after="0" w:line="250"/>
              <w:jc w:val="center"/>
            </w:pPr>
            <w:r>
              <w:rPr>
                <w:rFonts w:ascii="Arial" w:cs="Arial" w:eastAsia="Arial" w:hAnsi="Arial"/>
                <w:b/>
                <w:bCs/>
                <w:color w:val="0072CE"/>
                <w:sz w:val="16"/>
                <w:szCs w:val="16"/>
              </w:rPr>
              <w:t xml:space="preserve">I</w:t>
            </w:r>
          </w:p>
        </w:tc>
        <w:tc>
          <w:tcPr>
            <w:tcW w:type="dxa" w:w="4306"/>
            <w:tcBorders>
              <w:top w:val="single" w:color="D9D8D2" w:sz="3"/>
              <w:left w:val="none" w:color="FFFFFF" w:sz="0"/>
              <w:bottom w:val="single" w:color="D9D8D2" w:sz="3"/>
              <w:right w:val="none" w:color="FFFFFF" w:sz="0"/>
            </w:tcBorders>
            <w:shd w:fill="EFEEE9" w:color="auto" w:val="clear"/>
            <w:tcMar>
              <w:top w:type="dxa" w:w="70"/>
              <w:left w:type="dxa" w:w="100"/>
              <w:bottom w:type="dxa" w:w="70"/>
              <w:right w:type="dxa" w:w="100"/>
            </w:tcMar>
            <w:vAlign w:val="top"/>
          </w:tcPr>
          <w:p>
            <w:pPr>
              <w:spacing w:after="0" w:line="250"/>
            </w:pPr>
            <w:r>
              <w:rPr>
                <w:rFonts w:ascii="Arial" w:cs="Arial" w:eastAsia="Arial" w:hAnsi="Arial"/>
                <w:color w:val="52514E"/>
                <w:sz w:val="13"/>
                <w:szCs w:val="13"/>
              </w:rPr>
              <w:t xml:space="preserve">Chain: (1) the $1m+ bracket averages $1.45m across 305,000 accounts; (2) an average only 45% above the floor is inconsistent with a heavy tail; (3) that is consistent with Treasury's estimate of roughly 31,800 affected individuals across all APRA-regulated funds and exempt public sector schemes; (4) spread across the large-licensee population this implies hundreds per fund. Presented in the note as APRA's own inference used to calibrate supervisory intensity, and as the reason a per-licensee in-scope headcount should be obtained.</w:t>
            </w:r>
          </w:p>
        </w:tc>
        <w:tc>
          <w:tcPr>
            <w:tcW w:type="dxa" w:w="900"/>
            <w:tcBorders>
              <w:top w:val="single" w:color="D9D8D2" w:sz="3"/>
              <w:left w:val="none" w:color="FFFFFF" w:sz="0"/>
              <w:bottom w:val="single" w:color="D9D8D2" w:sz="3"/>
              <w:right w:val="none" w:color="FFFFFF" w:sz="0"/>
            </w:tcBorders>
            <w:shd w:fill="EFEEE9" w:color="auto" w:val="clear"/>
            <w:tcMar>
              <w:top w:type="dxa" w:w="70"/>
              <w:left w:type="dxa" w:w="100"/>
              <w:bottom w:type="dxa" w:w="70"/>
              <w:right w:type="dxa" w:w="100"/>
            </w:tcMar>
            <w:vAlign w:val="top"/>
          </w:tcPr>
          <w:p>
            <w:pPr>
              <w:spacing w:after="0" w:line="250"/>
              <w:jc w:val="center"/>
            </w:pPr>
            <w:r>
              <w:rPr>
                <w:rFonts w:ascii="Arial" w:cs="Arial" w:eastAsia="Arial" w:hAnsi="Arial"/>
                <w:b/>
                <w:bCs/>
                <w:color w:val="E87722"/>
                <w:sz w:val="13"/>
                <w:szCs w:val="13"/>
              </w:rPr>
              <w:t xml:space="preserve">unverified</w:t>
            </w:r>
          </w:p>
        </w:tc>
      </w:tr>
      <w:tr>
        <w:tc>
          <w:tcPr>
            <w:tcW w:type="dxa" w:w="3900"/>
            <w:tcBorders>
              <w:top w:val="single" w:color="D9D8D2" w:sz="3"/>
              <w:left w:val="none" w:color="FFFFFF" w:sz="0"/>
              <w:bottom w:val="single" w:color="D9D8D2" w:sz="3"/>
              <w:right w:val="none" w:color="FFFFFF" w:sz="0"/>
            </w:tcBorders>
            <w:tcMar>
              <w:top w:type="dxa" w:w="70"/>
              <w:left w:type="dxa" w:w="100"/>
              <w:bottom w:type="dxa" w:w="70"/>
              <w:right w:type="dxa" w:w="100"/>
            </w:tcMar>
            <w:vAlign w:val="top"/>
          </w:tcPr>
          <w:p>
            <w:pPr>
              <w:spacing w:after="0" w:line="250"/>
            </w:pPr>
            <w:r>
              <w:rPr>
                <w:rFonts w:ascii="Arial" w:cs="Arial" w:eastAsia="Arial" w:hAnsi="Arial"/>
                <w:color w:val="1A1A1A"/>
                <w:sz w:val="14"/>
                <w:szCs w:val="14"/>
              </w:rPr>
              <w:t xml:space="preserve">An affected member's liability is small near the lower threshold: on a 6% earnings assumption, roughly $1,800 at a $3.2m balance, roughly $9,000 at $4m and roughly $63,000 at $10m, because only the proportion of earnings referable to the balance above $3m is taxed.</w:t>
            </w:r>
          </w:p>
        </w:tc>
        <w:tc>
          <w:tcPr>
            <w:tcW w:type="dxa" w:w="800"/>
            <w:tcBorders>
              <w:top w:val="single" w:color="D9D8D2" w:sz="3"/>
              <w:left w:val="none" w:color="FFFFFF" w:sz="0"/>
              <w:bottom w:val="single" w:color="D9D8D2" w:sz="3"/>
              <w:right w:val="none" w:color="FFFFFF" w:sz="0"/>
            </w:tcBorders>
            <w:tcMar>
              <w:top w:type="dxa" w:w="70"/>
              <w:left w:type="dxa" w:w="100"/>
              <w:bottom w:type="dxa" w:w="70"/>
              <w:right w:type="dxa" w:w="100"/>
            </w:tcMar>
            <w:vAlign w:val="top"/>
          </w:tcPr>
          <w:p>
            <w:pPr>
              <w:spacing w:after="0" w:line="250"/>
              <w:jc w:val="center"/>
            </w:pPr>
            <w:r>
              <w:rPr>
                <w:rFonts w:ascii="Arial" w:cs="Arial" w:eastAsia="Arial" w:hAnsi="Arial"/>
                <w:b/>
                <w:bCs/>
                <w:color w:val="E87722"/>
                <w:sz w:val="16"/>
                <w:szCs w:val="16"/>
              </w:rPr>
              <w:t xml:space="preserve">C</w:t>
            </w:r>
          </w:p>
        </w:tc>
        <w:tc>
          <w:tcPr>
            <w:tcW w:type="dxa" w:w="4306"/>
            <w:tcBorders>
              <w:top w:val="single" w:color="D9D8D2" w:sz="3"/>
              <w:left w:val="none" w:color="FFFFFF" w:sz="0"/>
              <w:bottom w:val="single" w:color="D9D8D2" w:sz="3"/>
              <w:right w:val="none" w:color="FFFFFF" w:sz="0"/>
            </w:tcBorders>
            <w:tcMar>
              <w:top w:type="dxa" w:w="70"/>
              <w:left w:type="dxa" w:w="100"/>
              <w:bottom w:type="dxa" w:w="70"/>
              <w:right w:type="dxa" w:w="100"/>
            </w:tcMar>
            <w:vAlign w:val="top"/>
          </w:tcPr>
          <w:p>
            <w:pPr>
              <w:spacing w:after="0" w:line="250"/>
            </w:pPr>
            <w:r>
              <w:rPr>
                <w:rFonts w:ascii="Arial" w:cs="Arial" w:eastAsia="Arial" w:hAnsi="Arial"/>
                <w:color w:val="52514E"/>
                <w:sz w:val="13"/>
                <w:szCs w:val="13"/>
              </w:rPr>
              <w:t xml:space="preserve">Own arithmetic from the enacted proportioning mechanic (taxed proportion = (TSB - $3m)/TSB) and a stated 6% earnings assumption, generated for this meeting because no source publishes worked per-member amounts. Labelled in the note as APRA's own illustration with the assumption shown. It is the calibration figure against which the behavioural and materiality judgements in the note should be tested.</w:t>
            </w:r>
          </w:p>
        </w:tc>
        <w:tc>
          <w:tcPr>
            <w:tcW w:type="dxa" w:w="900"/>
            <w:tcBorders>
              <w:top w:val="single" w:color="D9D8D2" w:sz="3"/>
              <w:left w:val="none" w:color="FFFFFF" w:sz="0"/>
              <w:bottom w:val="single" w:color="D9D8D2" w:sz="3"/>
              <w:right w:val="none" w:color="FFFFFF" w:sz="0"/>
            </w:tcBorders>
            <w:tcMar>
              <w:top w:type="dxa" w:w="70"/>
              <w:left w:type="dxa" w:w="100"/>
              <w:bottom w:type="dxa" w:w="70"/>
              <w:right w:type="dxa" w:w="100"/>
            </w:tcMar>
            <w:vAlign w:val="top"/>
          </w:tcPr>
          <w:p>
            <w:pPr>
              <w:spacing w:after="0" w:line="250"/>
              <w:jc w:val="center"/>
            </w:pPr>
            <w:r>
              <w:rPr>
                <w:rFonts w:ascii="Arial" w:cs="Arial" w:eastAsia="Arial" w:hAnsi="Arial"/>
                <w:b/>
                <w:bCs/>
                <w:color w:val="E87722"/>
                <w:sz w:val="13"/>
                <w:szCs w:val="13"/>
              </w:rPr>
              <w:t xml:space="preserve">unverified</w:t>
            </w:r>
          </w:p>
        </w:tc>
      </w:tr>
      <w:tr>
        <w:tc>
          <w:tcPr>
            <w:tcW w:type="dxa" w:w="3900"/>
            <w:tcBorders>
              <w:top w:val="single" w:color="D9D8D2" w:sz="3"/>
              <w:left w:val="none" w:color="FFFFFF" w:sz="0"/>
              <w:bottom w:val="single" w:color="D9D8D2" w:sz="3"/>
              <w:right w:val="none" w:color="FFFFFF" w:sz="0"/>
            </w:tcBorders>
            <w:shd w:fill="EFEEE9" w:color="auto" w:val="clear"/>
            <w:tcMar>
              <w:top w:type="dxa" w:w="70"/>
              <w:left w:type="dxa" w:w="100"/>
              <w:bottom w:type="dxa" w:w="70"/>
              <w:right w:type="dxa" w:w="100"/>
            </w:tcMar>
            <w:vAlign w:val="top"/>
          </w:tcPr>
          <w:p>
            <w:pPr>
              <w:spacing w:after="0" w:line="250"/>
            </w:pPr>
            <w:r>
              <w:rPr>
                <w:rFonts w:ascii="Arial" w:cs="Arial" w:eastAsia="Arial" w:hAnsi="Arial"/>
                <w:color w:val="1A1A1A"/>
                <w:sz w:val="14"/>
                <w:szCs w:val="14"/>
              </w:rPr>
              <w:t xml:space="preserve">Aggregate Division 296 outflow is not a system liquidity event: an indicative APRA-side liability of about $0.9bn a year is roughly 1.1% of annual lump sum payments, about 0.03% of assets, and about 3% of a single peak month in APRA's own system stress test.</w:t>
            </w:r>
          </w:p>
        </w:tc>
        <w:tc>
          <w:tcPr>
            <w:tcW w:type="dxa" w:w="800"/>
            <w:tcBorders>
              <w:top w:val="single" w:color="D9D8D2" w:sz="3"/>
              <w:left w:val="none" w:color="FFFFFF" w:sz="0"/>
              <w:bottom w:val="single" w:color="D9D8D2" w:sz="3"/>
              <w:right w:val="none" w:color="FFFFFF" w:sz="0"/>
            </w:tcBorders>
            <w:shd w:fill="EFEEE9" w:color="auto" w:val="clear"/>
            <w:tcMar>
              <w:top w:type="dxa" w:w="70"/>
              <w:left w:type="dxa" w:w="100"/>
              <w:bottom w:type="dxa" w:w="70"/>
              <w:right w:type="dxa" w:w="100"/>
            </w:tcMar>
            <w:vAlign w:val="top"/>
          </w:tcPr>
          <w:p>
            <w:pPr>
              <w:spacing w:after="0" w:line="250"/>
              <w:jc w:val="center"/>
            </w:pPr>
            <w:r>
              <w:rPr>
                <w:rFonts w:ascii="Arial" w:cs="Arial" w:eastAsia="Arial" w:hAnsi="Arial"/>
                <w:b/>
                <w:bCs/>
                <w:color w:val="E87722"/>
                <w:sz w:val="16"/>
                <w:szCs w:val="16"/>
              </w:rPr>
              <w:t xml:space="preserve">C</w:t>
            </w:r>
          </w:p>
        </w:tc>
        <w:tc>
          <w:tcPr>
            <w:tcW w:type="dxa" w:w="4306"/>
            <w:tcBorders>
              <w:top w:val="single" w:color="D9D8D2" w:sz="3"/>
              <w:left w:val="none" w:color="FFFFFF" w:sz="0"/>
              <w:bottom w:val="single" w:color="D9D8D2" w:sz="3"/>
              <w:right w:val="none" w:color="FFFFFF" w:sz="0"/>
            </w:tcBorders>
            <w:shd w:fill="EFEEE9" w:color="auto" w:val="clear"/>
            <w:tcMar>
              <w:top w:type="dxa" w:w="70"/>
              <w:left w:type="dxa" w:w="100"/>
              <w:bottom w:type="dxa" w:w="70"/>
              <w:right w:type="dxa" w:w="100"/>
            </w:tcMar>
            <w:vAlign w:val="top"/>
          </w:tcPr>
          <w:p>
            <w:pPr>
              <w:spacing w:after="0" w:line="250"/>
            </w:pPr>
            <w:r>
              <w:rPr>
                <w:rFonts w:ascii="Arial" w:cs="Arial" w:eastAsia="Arial" w:hAnsi="Arial"/>
                <w:color w:val="52514E"/>
                <w:sz w:val="13"/>
                <w:szCs w:val="13"/>
              </w:rPr>
              <w:t xml:space="preserve">Own derivation, clearly labelled: Treasury's superseded-design costing of $2.3bn in 2027-28 across ~80,000 individuals, scaled by the 31,800-of-80,000 APRA-side share, against APRA-regulated lump sums of $79.7bn and assets of $3,141.1bn for the year to March 2026. The earlier 'one fifteenth of a peak month' figure was wrong - it mixed a whole-of-system numerator with an APRA-side comparison - and has been corrected to a single consistent numerator. Rests on a superseded-design revenue estimate, so it bounds the order of magnitude only.</w:t>
            </w:r>
          </w:p>
        </w:tc>
        <w:tc>
          <w:tcPr>
            <w:tcW w:type="dxa" w:w="900"/>
            <w:tcBorders>
              <w:top w:val="single" w:color="D9D8D2" w:sz="3"/>
              <w:left w:val="none" w:color="FFFFFF" w:sz="0"/>
              <w:bottom w:val="single" w:color="D9D8D2" w:sz="3"/>
              <w:right w:val="none" w:color="FFFFFF" w:sz="0"/>
            </w:tcBorders>
            <w:shd w:fill="EFEEE9" w:color="auto" w:val="clear"/>
            <w:tcMar>
              <w:top w:type="dxa" w:w="70"/>
              <w:left w:type="dxa" w:w="100"/>
              <w:bottom w:type="dxa" w:w="70"/>
              <w:right w:type="dxa" w:w="100"/>
            </w:tcMar>
            <w:vAlign w:val="top"/>
          </w:tcPr>
          <w:p>
            <w:pPr>
              <w:spacing w:after="0" w:line="250"/>
              <w:jc w:val="center"/>
            </w:pPr>
            <w:r>
              <w:rPr>
                <w:rFonts w:ascii="Arial" w:cs="Arial" w:eastAsia="Arial" w:hAnsi="Arial"/>
                <w:b/>
                <w:bCs/>
                <w:color w:val="E87722"/>
                <w:sz w:val="13"/>
                <w:szCs w:val="13"/>
              </w:rPr>
              <w:t xml:space="preserve">unverified</w:t>
            </w:r>
          </w:p>
        </w:tc>
      </w:tr>
      <w:tr>
        <w:tc>
          <w:tcPr>
            <w:tcW w:type="dxa" w:w="3900"/>
            <w:tcBorders>
              <w:top w:val="single" w:color="D9D8D2" w:sz="3"/>
              <w:left w:val="none" w:color="FFFFFF" w:sz="0"/>
              <w:bottom w:val="single" w:color="D9D8D2" w:sz="3"/>
              <w:right w:val="none" w:color="FFFFFF" w:sz="0"/>
            </w:tcBorders>
            <w:tcMar>
              <w:top w:type="dxa" w:w="70"/>
              <w:left w:type="dxa" w:w="100"/>
              <w:bottom w:type="dxa" w:w="70"/>
              <w:right w:type="dxa" w:w="100"/>
            </w:tcMar>
            <w:vAlign w:val="top"/>
          </w:tcPr>
          <w:p>
            <w:pPr>
              <w:spacing w:after="0" w:line="250"/>
            </w:pPr>
            <w:r>
              <w:rPr>
                <w:rFonts w:ascii="Arial" w:cs="Arial" w:eastAsia="Arial" w:hAnsi="Arial"/>
                <w:color w:val="1A1A1A"/>
                <w:sz w:val="14"/>
                <w:szCs w:val="14"/>
              </w:rPr>
              <w:t xml:space="preserve">APRA's inaugural System Risk Stress Test modelled $174bn of cumulative liquidity demand, just under 16% of net assets, with peak monthly calls of about $30bn, and funds largely avoided selling unlisted assets, meeting the shock primarily through listed holdings.</w:t>
            </w:r>
          </w:p>
        </w:tc>
        <w:tc>
          <w:tcPr>
            <w:tcW w:type="dxa" w:w="800"/>
            <w:tcBorders>
              <w:top w:val="single" w:color="D9D8D2" w:sz="3"/>
              <w:left w:val="none" w:color="FFFFFF" w:sz="0"/>
              <w:bottom w:val="single" w:color="D9D8D2" w:sz="3"/>
              <w:right w:val="none" w:color="FFFFFF" w:sz="0"/>
            </w:tcBorders>
            <w:tcMar>
              <w:top w:type="dxa" w:w="70"/>
              <w:left w:type="dxa" w:w="100"/>
              <w:bottom w:type="dxa" w:w="70"/>
              <w:right w:type="dxa" w:w="100"/>
            </w:tcMar>
            <w:vAlign w:val="top"/>
          </w:tcPr>
          <w:p>
            <w:pPr>
              <w:spacing w:after="0" w:line="250"/>
              <w:jc w:val="center"/>
            </w:pPr>
            <w:r>
              <w:rPr>
                <w:rFonts w:ascii="Arial" w:cs="Arial" w:eastAsia="Arial" w:hAnsi="Arial"/>
                <w:b/>
                <w:bCs/>
                <w:color w:val="00806D"/>
                <w:sz w:val="16"/>
                <w:szCs w:val="16"/>
              </w:rPr>
              <w:t xml:space="preserve">S</w:t>
            </w:r>
          </w:p>
        </w:tc>
        <w:tc>
          <w:tcPr>
            <w:tcW w:type="dxa" w:w="4306"/>
            <w:tcBorders>
              <w:top w:val="single" w:color="D9D8D2" w:sz="3"/>
              <w:left w:val="none" w:color="FFFFFF" w:sz="0"/>
              <w:bottom w:val="single" w:color="D9D8D2" w:sz="3"/>
              <w:right w:val="none" w:color="FFFFFF" w:sz="0"/>
            </w:tcBorders>
            <w:tcMar>
              <w:top w:type="dxa" w:w="70"/>
              <w:left w:type="dxa" w:w="100"/>
              <w:bottom w:type="dxa" w:w="70"/>
              <w:right w:type="dxa" w:w="100"/>
            </w:tcMar>
            <w:vAlign w:val="top"/>
          </w:tcPr>
          <w:p>
            <w:pPr>
              <w:spacing w:after="0" w:line="250"/>
            </w:pPr>
            <w:r>
              <w:rPr>
                <w:rFonts w:ascii="Arial" w:cs="Arial" w:eastAsia="Arial" w:hAnsi="Arial"/>
                <w:color w:val="52514E"/>
                <w:sz w:val="13"/>
                <w:szCs w:val="13"/>
              </w:rPr>
              <w:t xml:space="preserve">APRA System Risk Stress Test, 30 June 2026 (https://www.apra.gov.au/news-and-publications/system-risk-stress-test). Wording corrected from the draft's categorical 'without selling a single unlisted asset', which the source does not support.</w:t>
            </w:r>
          </w:p>
        </w:tc>
        <w:tc>
          <w:tcPr>
            <w:tcW w:type="dxa" w:w="900"/>
            <w:tcBorders>
              <w:top w:val="single" w:color="D9D8D2" w:sz="3"/>
              <w:left w:val="none" w:color="FFFFFF" w:sz="0"/>
              <w:bottom w:val="single" w:color="D9D8D2" w:sz="3"/>
              <w:right w:val="none" w:color="FFFFFF" w:sz="0"/>
            </w:tcBorders>
            <w:tcMar>
              <w:top w:type="dxa" w:w="70"/>
              <w:left w:type="dxa" w:w="100"/>
              <w:bottom w:type="dxa" w:w="70"/>
              <w:right w:type="dxa" w:w="100"/>
            </w:tcMar>
            <w:vAlign w:val="top"/>
          </w:tcPr>
          <w:p>
            <w:pPr>
              <w:spacing w:after="0" w:line="250"/>
              <w:jc w:val="center"/>
            </w:pPr>
            <w:r>
              <w:rPr>
                <w:rFonts w:ascii="Arial" w:cs="Arial" w:eastAsia="Arial" w:hAnsi="Arial"/>
                <w:b/>
                <w:bCs/>
                <w:color w:val="00806D"/>
                <w:sz w:val="13"/>
                <w:szCs w:val="13"/>
              </w:rPr>
              <w:t xml:space="preserve">verified</w:t>
            </w:r>
          </w:p>
        </w:tc>
      </w:tr>
      <w:tr>
        <w:tc>
          <w:tcPr>
            <w:tcW w:type="dxa" w:w="3900"/>
            <w:tcBorders>
              <w:top w:val="single" w:color="D9D8D2" w:sz="3"/>
              <w:left w:val="none" w:color="FFFFFF" w:sz="0"/>
              <w:bottom w:val="single" w:color="D9D8D2" w:sz="3"/>
              <w:right w:val="none" w:color="FFFFFF" w:sz="0"/>
            </w:tcBorders>
            <w:shd w:fill="EFEEE9" w:color="auto" w:val="clear"/>
            <w:tcMar>
              <w:top w:type="dxa" w:w="70"/>
              <w:left w:type="dxa" w:w="100"/>
              <w:bottom w:type="dxa" w:w="70"/>
              <w:right w:type="dxa" w:w="100"/>
            </w:tcMar>
            <w:vAlign w:val="top"/>
          </w:tcPr>
          <w:p>
            <w:pPr>
              <w:spacing w:after="0" w:line="250"/>
            </w:pPr>
            <w:r>
              <w:rPr>
                <w:rFonts w:ascii="Arial" w:cs="Arial" w:eastAsia="Arial" w:hAnsi="Arial"/>
                <w:color w:val="1A1A1A"/>
                <w:sz w:val="14"/>
                <w:szCs w:val="14"/>
              </w:rPr>
              <w:t xml:space="preserve">APRA's December 2024 thematic reviewed 23 RSE licensees holding $2,018bn and 18.7m member accounts, and found 12 require material improvement in valuation governance, liquidity risk management or both; the eight-licensee liquidity subgroup represents 27% of funds under management and 5.4m member accounts.</w:t>
            </w:r>
          </w:p>
        </w:tc>
        <w:tc>
          <w:tcPr>
            <w:tcW w:type="dxa" w:w="800"/>
            <w:tcBorders>
              <w:top w:val="single" w:color="D9D8D2" w:sz="3"/>
              <w:left w:val="none" w:color="FFFFFF" w:sz="0"/>
              <w:bottom w:val="single" w:color="D9D8D2" w:sz="3"/>
              <w:right w:val="none" w:color="FFFFFF" w:sz="0"/>
            </w:tcBorders>
            <w:shd w:fill="EFEEE9" w:color="auto" w:val="clear"/>
            <w:tcMar>
              <w:top w:type="dxa" w:w="70"/>
              <w:left w:type="dxa" w:w="100"/>
              <w:bottom w:type="dxa" w:w="70"/>
              <w:right w:type="dxa" w:w="100"/>
            </w:tcMar>
            <w:vAlign w:val="top"/>
          </w:tcPr>
          <w:p>
            <w:pPr>
              <w:spacing w:after="0" w:line="250"/>
              <w:jc w:val="center"/>
            </w:pPr>
            <w:r>
              <w:rPr>
                <w:rFonts w:ascii="Arial" w:cs="Arial" w:eastAsia="Arial" w:hAnsi="Arial"/>
                <w:b/>
                <w:bCs/>
                <w:color w:val="00806D"/>
                <w:sz w:val="16"/>
                <w:szCs w:val="16"/>
              </w:rPr>
              <w:t xml:space="preserve">S</w:t>
            </w:r>
          </w:p>
        </w:tc>
        <w:tc>
          <w:tcPr>
            <w:tcW w:type="dxa" w:w="4306"/>
            <w:tcBorders>
              <w:top w:val="single" w:color="D9D8D2" w:sz="3"/>
              <w:left w:val="none" w:color="FFFFFF" w:sz="0"/>
              <w:bottom w:val="single" w:color="D9D8D2" w:sz="3"/>
              <w:right w:val="none" w:color="FFFFFF" w:sz="0"/>
            </w:tcBorders>
            <w:shd w:fill="EFEEE9" w:color="auto" w:val="clear"/>
            <w:tcMar>
              <w:top w:type="dxa" w:w="70"/>
              <w:left w:type="dxa" w:w="100"/>
              <w:bottom w:type="dxa" w:w="70"/>
              <w:right w:type="dxa" w:w="100"/>
            </w:tcMar>
            <w:vAlign w:val="top"/>
          </w:tcPr>
          <w:p>
            <w:pPr>
              <w:spacing w:after="0" w:line="250"/>
            </w:pPr>
            <w:r>
              <w:rPr>
                <w:rFonts w:ascii="Arial" w:cs="Arial" w:eastAsia="Arial" w:hAnsi="Arial"/>
                <w:color w:val="52514E"/>
                <w:sz w:val="13"/>
                <w:szCs w:val="13"/>
              </w:rPr>
              <w:t xml:space="preserve">APRA, 'Governance of unlisted asset valuation and liquidity risk management in superannuation', 17 December 2024. Corrected: the $2,018bn and 18.7m figures are the scope of the review, not the size of the 12 licensees requiring improvement, as the draft register implied.</w:t>
            </w:r>
          </w:p>
        </w:tc>
        <w:tc>
          <w:tcPr>
            <w:tcW w:type="dxa" w:w="900"/>
            <w:tcBorders>
              <w:top w:val="single" w:color="D9D8D2" w:sz="3"/>
              <w:left w:val="none" w:color="FFFFFF" w:sz="0"/>
              <w:bottom w:val="single" w:color="D9D8D2" w:sz="3"/>
              <w:right w:val="none" w:color="FFFFFF" w:sz="0"/>
            </w:tcBorders>
            <w:shd w:fill="EFEEE9" w:color="auto" w:val="clear"/>
            <w:tcMar>
              <w:top w:type="dxa" w:w="70"/>
              <w:left w:type="dxa" w:w="100"/>
              <w:bottom w:type="dxa" w:w="70"/>
              <w:right w:type="dxa" w:w="100"/>
            </w:tcMar>
            <w:vAlign w:val="top"/>
          </w:tcPr>
          <w:p>
            <w:pPr>
              <w:spacing w:after="0" w:line="250"/>
              <w:jc w:val="center"/>
            </w:pPr>
            <w:r>
              <w:rPr>
                <w:rFonts w:ascii="Arial" w:cs="Arial" w:eastAsia="Arial" w:hAnsi="Arial"/>
                <w:b/>
                <w:bCs/>
                <w:color w:val="00806D"/>
                <w:sz w:val="13"/>
                <w:szCs w:val="13"/>
              </w:rPr>
              <w:t xml:space="preserve">verified</w:t>
            </w:r>
          </w:p>
        </w:tc>
      </w:tr>
      <w:tr>
        <w:tc>
          <w:tcPr>
            <w:tcW w:type="dxa" w:w="3900"/>
            <w:tcBorders>
              <w:top w:val="single" w:color="D9D8D2" w:sz="3"/>
              <w:left w:val="none" w:color="FFFFFF" w:sz="0"/>
              <w:bottom w:val="single" w:color="D9D8D2" w:sz="3"/>
              <w:right w:val="none" w:color="FFFFFF" w:sz="0"/>
            </w:tcBorders>
            <w:tcMar>
              <w:top w:type="dxa" w:w="70"/>
              <w:left w:type="dxa" w:w="100"/>
              <w:bottom w:type="dxa" w:w="70"/>
              <w:right w:type="dxa" w:w="100"/>
            </w:tcMar>
            <w:vAlign w:val="top"/>
          </w:tcPr>
          <w:p>
            <w:pPr>
              <w:spacing w:after="0" w:line="250"/>
            </w:pPr>
            <w:r>
              <w:rPr>
                <w:rFonts w:ascii="Arial" w:cs="Arial" w:eastAsia="Arial" w:hAnsi="Arial"/>
                <w:color w:val="1A1A1A"/>
                <w:sz w:val="14"/>
                <w:szCs w:val="14"/>
              </w:rPr>
              <w:t xml:space="preserve">The December 2024 findings bear on general governance capacity in the platform and mid-sized cohort; they are not evidence of unreadiness for the Division 296 calculation, which sits in different systems and teams.</w:t>
            </w:r>
          </w:p>
        </w:tc>
        <w:tc>
          <w:tcPr>
            <w:tcW w:type="dxa" w:w="800"/>
            <w:tcBorders>
              <w:top w:val="single" w:color="D9D8D2" w:sz="3"/>
              <w:left w:val="none" w:color="FFFFFF" w:sz="0"/>
              <w:bottom w:val="single" w:color="D9D8D2" w:sz="3"/>
              <w:right w:val="none" w:color="FFFFFF" w:sz="0"/>
            </w:tcBorders>
            <w:tcMar>
              <w:top w:type="dxa" w:w="70"/>
              <w:left w:type="dxa" w:w="100"/>
              <w:bottom w:type="dxa" w:w="70"/>
              <w:right w:type="dxa" w:w="100"/>
            </w:tcMar>
            <w:vAlign w:val="top"/>
          </w:tcPr>
          <w:p>
            <w:pPr>
              <w:spacing w:after="0" w:line="250"/>
              <w:jc w:val="center"/>
            </w:pPr>
            <w:r>
              <w:rPr>
                <w:rFonts w:ascii="Arial" w:cs="Arial" w:eastAsia="Arial" w:hAnsi="Arial"/>
                <w:b/>
                <w:bCs/>
                <w:color w:val="0072CE"/>
                <w:sz w:val="16"/>
                <w:szCs w:val="16"/>
              </w:rPr>
              <w:t xml:space="preserve">I</w:t>
            </w:r>
          </w:p>
        </w:tc>
        <w:tc>
          <w:tcPr>
            <w:tcW w:type="dxa" w:w="4306"/>
            <w:tcBorders>
              <w:top w:val="single" w:color="D9D8D2" w:sz="3"/>
              <w:left w:val="none" w:color="FFFFFF" w:sz="0"/>
              <w:bottom w:val="single" w:color="D9D8D2" w:sz="3"/>
              <w:right w:val="none" w:color="FFFFFF" w:sz="0"/>
            </w:tcBorders>
            <w:tcMar>
              <w:top w:type="dxa" w:w="70"/>
              <w:left w:type="dxa" w:w="100"/>
              <w:bottom w:type="dxa" w:w="70"/>
              <w:right w:type="dxa" w:w="100"/>
            </w:tcMar>
            <w:vAlign w:val="top"/>
          </w:tcPr>
          <w:p>
            <w:pPr>
              <w:spacing w:after="0" w:line="250"/>
            </w:pPr>
            <w:r>
              <w:rPr>
                <w:rFonts w:ascii="Arial" w:cs="Arial" w:eastAsia="Arial" w:hAnsi="Arial"/>
                <w:color w:val="52514E"/>
                <w:sz w:val="13"/>
                <w:szCs w:val="13"/>
              </w:rPr>
              <w:t xml:space="preserve">Chain: (1) the thematic assessed unlisted asset valuation governance and liquidity risk frameworks, which are investment operations functions; (2) Division 296 calculation and attribution sit in tax and member administration; (3) therefore the thematic is indicative of governance capacity, not probative of Division 296 readiness. The sound reason for prioritising platform and wrap trustees is that member-directed options make attribution genuinely divergent, since members' assets are individually identifiable.</w:t>
            </w:r>
          </w:p>
        </w:tc>
        <w:tc>
          <w:tcPr>
            <w:tcW w:type="dxa" w:w="900"/>
            <w:tcBorders>
              <w:top w:val="single" w:color="D9D8D2" w:sz="3"/>
              <w:left w:val="none" w:color="FFFFFF" w:sz="0"/>
              <w:bottom w:val="single" w:color="D9D8D2" w:sz="3"/>
              <w:right w:val="none" w:color="FFFFFF" w:sz="0"/>
            </w:tcBorders>
            <w:tcMar>
              <w:top w:type="dxa" w:w="70"/>
              <w:left w:type="dxa" w:w="100"/>
              <w:bottom w:type="dxa" w:w="70"/>
              <w:right w:type="dxa" w:w="100"/>
            </w:tcMar>
            <w:vAlign w:val="top"/>
          </w:tcPr>
          <w:p>
            <w:pPr>
              <w:spacing w:after="0" w:line="250"/>
              <w:jc w:val="center"/>
            </w:pPr>
            <w:r>
              <w:rPr>
                <w:rFonts w:ascii="Arial" w:cs="Arial" w:eastAsia="Arial" w:hAnsi="Arial"/>
                <w:b/>
                <w:bCs/>
                <w:color w:val="00806D"/>
                <w:sz w:val="13"/>
                <w:szCs w:val="13"/>
              </w:rPr>
              <w:t xml:space="preserve">verified</w:t>
            </w:r>
          </w:p>
        </w:tc>
      </w:tr>
      <w:tr>
        <w:tc>
          <w:tcPr>
            <w:tcW w:type="dxa" w:w="3900"/>
            <w:tcBorders>
              <w:top w:val="single" w:color="D9D8D2" w:sz="3"/>
              <w:left w:val="none" w:color="FFFFFF" w:sz="0"/>
              <w:bottom w:val="single" w:color="D9D8D2" w:sz="3"/>
              <w:right w:val="none" w:color="FFFFFF" w:sz="0"/>
            </w:tcBorders>
            <w:shd w:fill="EFEEE9" w:color="auto" w:val="clear"/>
            <w:tcMar>
              <w:top w:type="dxa" w:w="70"/>
              <w:left w:type="dxa" w:w="100"/>
              <w:bottom w:type="dxa" w:w="70"/>
              <w:right w:type="dxa" w:w="100"/>
            </w:tcMar>
            <w:vAlign w:val="top"/>
          </w:tcPr>
          <w:p>
            <w:pPr>
              <w:spacing w:after="0" w:line="250"/>
            </w:pPr>
            <w:r>
              <w:rPr>
                <w:rFonts w:ascii="Arial" w:cs="Arial" w:eastAsia="Arial" w:hAnsi="Arial"/>
                <w:color w:val="1A1A1A"/>
                <w:sz w:val="14"/>
                <w:szCs w:val="14"/>
              </w:rPr>
              <w:t xml:space="preserve">CSS Fund reports 23.58% of its accounts above $1m and is used as a named concentration in the exposed-cohort analysis.</w:t>
            </w:r>
          </w:p>
        </w:tc>
        <w:tc>
          <w:tcPr>
            <w:tcW w:type="dxa" w:w="800"/>
            <w:tcBorders>
              <w:top w:val="single" w:color="D9D8D2" w:sz="3"/>
              <w:left w:val="none" w:color="FFFFFF" w:sz="0"/>
              <w:bottom w:val="single" w:color="D9D8D2" w:sz="3"/>
              <w:right w:val="none" w:color="FFFFFF" w:sz="0"/>
            </w:tcBorders>
            <w:shd w:fill="EFEEE9" w:color="auto" w:val="clear"/>
            <w:tcMar>
              <w:top w:type="dxa" w:w="70"/>
              <w:left w:type="dxa" w:w="100"/>
              <w:bottom w:type="dxa" w:w="70"/>
              <w:right w:type="dxa" w:w="100"/>
            </w:tcMar>
            <w:vAlign w:val="top"/>
          </w:tcPr>
          <w:p>
            <w:pPr>
              <w:spacing w:after="0" w:line="250"/>
              <w:jc w:val="center"/>
            </w:pPr>
            <w:r>
              <w:rPr>
                <w:rFonts w:ascii="Arial" w:cs="Arial" w:eastAsia="Arial" w:hAnsi="Arial"/>
                <w:b/>
                <w:bCs/>
                <w:color w:val="00806D"/>
                <w:sz w:val="16"/>
                <w:szCs w:val="16"/>
              </w:rPr>
              <w:t xml:space="preserve">S</w:t>
            </w:r>
          </w:p>
        </w:tc>
        <w:tc>
          <w:tcPr>
            <w:tcW w:type="dxa" w:w="4306"/>
            <w:tcBorders>
              <w:top w:val="single" w:color="D9D8D2" w:sz="3"/>
              <w:left w:val="none" w:color="FFFFFF" w:sz="0"/>
              <w:bottom w:val="single" w:color="D9D8D2" w:sz="3"/>
              <w:right w:val="none" w:color="FFFFFF" w:sz="0"/>
            </w:tcBorders>
            <w:shd w:fill="EFEEE9" w:color="auto" w:val="clear"/>
            <w:tcMar>
              <w:top w:type="dxa" w:w="70"/>
              <w:left w:type="dxa" w:w="100"/>
              <w:bottom w:type="dxa" w:w="70"/>
              <w:right w:type="dxa" w:w="100"/>
            </w:tcMar>
            <w:vAlign w:val="top"/>
          </w:tcPr>
          <w:p>
            <w:pPr>
              <w:spacing w:after="0" w:line="250"/>
            </w:pPr>
            <w:r>
              <w:rPr>
                <w:rFonts w:ascii="Arial" w:cs="Arial" w:eastAsia="Arial" w:hAnsi="Arial"/>
                <w:color w:val="52514E"/>
                <w:sz w:val="13"/>
                <w:szCs w:val="13"/>
              </w:rPr>
              <w:t xml:space="preserve">Derived from APRA Quarterly Superannuation Fund Statistics, March 2026, Table 3. Contested: the same reporting entity's figures for PSS and MilitarySuper show fewer than 20 accounts above $1m against average balances near $585,000 and $546,000, which looks like a reporting artefact. The note carries CSS as 'subject to data verification' and the derived headline that CSS alone holds 7.9% of all $1m+ accounts has been withdrawn pending confirmation with Commonwealth Superannuation Corporation.</w:t>
            </w:r>
          </w:p>
        </w:tc>
        <w:tc>
          <w:tcPr>
            <w:tcW w:type="dxa" w:w="900"/>
            <w:tcBorders>
              <w:top w:val="single" w:color="D9D8D2" w:sz="3"/>
              <w:left w:val="none" w:color="FFFFFF" w:sz="0"/>
              <w:bottom w:val="single" w:color="D9D8D2" w:sz="3"/>
              <w:right w:val="none" w:color="FFFFFF" w:sz="0"/>
            </w:tcBorders>
            <w:shd w:fill="EFEEE9" w:color="auto" w:val="clear"/>
            <w:tcMar>
              <w:top w:type="dxa" w:w="70"/>
              <w:left w:type="dxa" w:w="100"/>
              <w:bottom w:type="dxa" w:w="70"/>
              <w:right w:type="dxa" w:w="100"/>
            </w:tcMar>
            <w:vAlign w:val="top"/>
          </w:tcPr>
          <w:p>
            <w:pPr>
              <w:spacing w:after="0" w:line="250"/>
              <w:jc w:val="center"/>
            </w:pPr>
            <w:r>
              <w:rPr>
                <w:rFonts w:ascii="Arial" w:cs="Arial" w:eastAsia="Arial" w:hAnsi="Arial"/>
                <w:b/>
                <w:bCs/>
                <w:color w:val="890C58"/>
                <w:sz w:val="13"/>
                <w:szCs w:val="13"/>
              </w:rPr>
              <w:t xml:space="preserve">contested</w:t>
            </w:r>
          </w:p>
        </w:tc>
      </w:tr>
      <w:tr>
        <w:tc>
          <w:tcPr>
            <w:tcW w:type="dxa" w:w="3900"/>
            <w:tcBorders>
              <w:top w:val="single" w:color="D9D8D2" w:sz="3"/>
              <w:left w:val="none" w:color="FFFFFF" w:sz="0"/>
              <w:bottom w:val="single" w:color="D9D8D2" w:sz="3"/>
              <w:right w:val="none" w:color="FFFFFF" w:sz="0"/>
            </w:tcBorders>
            <w:tcMar>
              <w:top w:type="dxa" w:w="70"/>
              <w:left w:type="dxa" w:w="100"/>
              <w:bottom w:type="dxa" w:w="70"/>
              <w:right w:type="dxa" w:w="100"/>
            </w:tcMar>
            <w:vAlign w:val="top"/>
          </w:tcPr>
          <w:p>
            <w:pPr>
              <w:spacing w:after="0" w:line="250"/>
            </w:pPr>
            <w:r>
              <w:rPr>
                <w:rFonts w:ascii="Arial" w:cs="Arial" w:eastAsia="Arial" w:hAnsi="Arial"/>
                <w:color w:val="1A1A1A"/>
                <w:sz w:val="14"/>
                <w:szCs w:val="14"/>
              </w:rPr>
              <w:t xml:space="preserve">Net rollovers from APRA-regulated funds to SMSFs were $12.2bn in the year to March 2026, up 53.8% on $7.9bn a year earlier.</w:t>
            </w:r>
          </w:p>
        </w:tc>
        <w:tc>
          <w:tcPr>
            <w:tcW w:type="dxa" w:w="800"/>
            <w:tcBorders>
              <w:top w:val="single" w:color="D9D8D2" w:sz="3"/>
              <w:left w:val="none" w:color="FFFFFF" w:sz="0"/>
              <w:bottom w:val="single" w:color="D9D8D2" w:sz="3"/>
              <w:right w:val="none" w:color="FFFFFF" w:sz="0"/>
            </w:tcBorders>
            <w:tcMar>
              <w:top w:type="dxa" w:w="70"/>
              <w:left w:type="dxa" w:w="100"/>
              <w:bottom w:type="dxa" w:w="70"/>
              <w:right w:type="dxa" w:w="100"/>
            </w:tcMar>
            <w:vAlign w:val="top"/>
          </w:tcPr>
          <w:p>
            <w:pPr>
              <w:spacing w:after="0" w:line="250"/>
              <w:jc w:val="center"/>
            </w:pPr>
            <w:r>
              <w:rPr>
                <w:rFonts w:ascii="Arial" w:cs="Arial" w:eastAsia="Arial" w:hAnsi="Arial"/>
                <w:b/>
                <w:bCs/>
                <w:color w:val="00806D"/>
                <w:sz w:val="16"/>
                <w:szCs w:val="16"/>
              </w:rPr>
              <w:t xml:space="preserve">S</w:t>
            </w:r>
          </w:p>
        </w:tc>
        <w:tc>
          <w:tcPr>
            <w:tcW w:type="dxa" w:w="4306"/>
            <w:tcBorders>
              <w:top w:val="single" w:color="D9D8D2" w:sz="3"/>
              <w:left w:val="none" w:color="FFFFFF" w:sz="0"/>
              <w:bottom w:val="single" w:color="D9D8D2" w:sz="3"/>
              <w:right w:val="none" w:color="FFFFFF" w:sz="0"/>
            </w:tcBorders>
            <w:tcMar>
              <w:top w:type="dxa" w:w="70"/>
              <w:left w:type="dxa" w:w="100"/>
              <w:bottom w:type="dxa" w:w="70"/>
              <w:right w:type="dxa" w:w="100"/>
            </w:tcMar>
            <w:vAlign w:val="top"/>
          </w:tcPr>
          <w:p>
            <w:pPr>
              <w:spacing w:after="0" w:line="250"/>
            </w:pPr>
            <w:r>
              <w:rPr>
                <w:rFonts w:ascii="Arial" w:cs="Arial" w:eastAsia="Arial" w:hAnsi="Arial"/>
                <w:color w:val="52514E"/>
                <w:sz w:val="13"/>
                <w:szCs w:val="13"/>
              </w:rPr>
              <w:t xml:space="preserve">APRA Quarterly Superannuation Performance Statistics to March 2026, Table 1a.</w:t>
            </w:r>
          </w:p>
        </w:tc>
        <w:tc>
          <w:tcPr>
            <w:tcW w:type="dxa" w:w="900"/>
            <w:tcBorders>
              <w:top w:val="single" w:color="D9D8D2" w:sz="3"/>
              <w:left w:val="none" w:color="FFFFFF" w:sz="0"/>
              <w:bottom w:val="single" w:color="D9D8D2" w:sz="3"/>
              <w:right w:val="none" w:color="FFFFFF" w:sz="0"/>
            </w:tcBorders>
            <w:tcMar>
              <w:top w:type="dxa" w:w="70"/>
              <w:left w:type="dxa" w:w="100"/>
              <w:bottom w:type="dxa" w:w="70"/>
              <w:right w:type="dxa" w:w="100"/>
            </w:tcMar>
            <w:vAlign w:val="top"/>
          </w:tcPr>
          <w:p>
            <w:pPr>
              <w:spacing w:after="0" w:line="250"/>
              <w:jc w:val="center"/>
            </w:pPr>
            <w:r>
              <w:rPr>
                <w:rFonts w:ascii="Arial" w:cs="Arial" w:eastAsia="Arial" w:hAnsi="Arial"/>
                <w:b/>
                <w:bCs/>
                <w:color w:val="00806D"/>
                <w:sz w:val="13"/>
                <w:szCs w:val="13"/>
              </w:rPr>
              <w:t xml:space="preserve">verified</w:t>
            </w:r>
          </w:p>
        </w:tc>
      </w:tr>
      <w:tr>
        <w:tc>
          <w:tcPr>
            <w:tcW w:type="dxa" w:w="3900"/>
            <w:tcBorders>
              <w:top w:val="single" w:color="D9D8D2" w:sz="3"/>
              <w:left w:val="none" w:color="FFFFFF" w:sz="0"/>
              <w:bottom w:val="single" w:color="D9D8D2" w:sz="3"/>
              <w:right w:val="none" w:color="FFFFFF" w:sz="0"/>
            </w:tcBorders>
            <w:shd w:fill="EFEEE9" w:color="auto" w:val="clear"/>
            <w:tcMar>
              <w:top w:type="dxa" w:w="70"/>
              <w:left w:type="dxa" w:w="100"/>
              <w:bottom w:type="dxa" w:w="70"/>
              <w:right w:type="dxa" w:w="100"/>
            </w:tcMar>
            <w:vAlign w:val="top"/>
          </w:tcPr>
          <w:p>
            <w:pPr>
              <w:spacing w:after="0" w:line="250"/>
            </w:pPr>
            <w:r>
              <w:rPr>
                <w:rFonts w:ascii="Arial" w:cs="Arial" w:eastAsia="Arial" w:hAnsi="Arial"/>
                <w:color w:val="1A1A1A"/>
                <w:sz w:val="14"/>
                <w:szCs w:val="14"/>
              </w:rPr>
              <w:t xml:space="preserve">That rollover growth cannot be attributed to Division 296.</w:t>
            </w:r>
          </w:p>
        </w:tc>
        <w:tc>
          <w:tcPr>
            <w:tcW w:type="dxa" w:w="800"/>
            <w:tcBorders>
              <w:top w:val="single" w:color="D9D8D2" w:sz="3"/>
              <w:left w:val="none" w:color="FFFFFF" w:sz="0"/>
              <w:bottom w:val="single" w:color="D9D8D2" w:sz="3"/>
              <w:right w:val="none" w:color="FFFFFF" w:sz="0"/>
            </w:tcBorders>
            <w:shd w:fill="EFEEE9" w:color="auto" w:val="clear"/>
            <w:tcMar>
              <w:top w:type="dxa" w:w="70"/>
              <w:left w:type="dxa" w:w="100"/>
              <w:bottom w:type="dxa" w:w="70"/>
              <w:right w:type="dxa" w:w="100"/>
            </w:tcMar>
            <w:vAlign w:val="top"/>
          </w:tcPr>
          <w:p>
            <w:pPr>
              <w:spacing w:after="0" w:line="250"/>
              <w:jc w:val="center"/>
            </w:pPr>
            <w:r>
              <w:rPr>
                <w:rFonts w:ascii="Arial" w:cs="Arial" w:eastAsia="Arial" w:hAnsi="Arial"/>
                <w:b/>
                <w:bCs/>
                <w:color w:val="0072CE"/>
                <w:sz w:val="16"/>
                <w:szCs w:val="16"/>
              </w:rPr>
              <w:t xml:space="preserve">I</w:t>
            </w:r>
          </w:p>
        </w:tc>
        <w:tc>
          <w:tcPr>
            <w:tcW w:type="dxa" w:w="4306"/>
            <w:tcBorders>
              <w:top w:val="single" w:color="D9D8D2" w:sz="3"/>
              <w:left w:val="none" w:color="FFFFFF" w:sz="0"/>
              <w:bottom w:val="single" w:color="D9D8D2" w:sz="3"/>
              <w:right w:val="none" w:color="FFFFFF" w:sz="0"/>
            </w:tcBorders>
            <w:shd w:fill="EFEEE9" w:color="auto" w:val="clear"/>
            <w:tcMar>
              <w:top w:type="dxa" w:w="70"/>
              <w:left w:type="dxa" w:w="100"/>
              <w:bottom w:type="dxa" w:w="70"/>
              <w:right w:type="dxa" w:w="100"/>
            </w:tcMar>
            <w:vAlign w:val="top"/>
          </w:tcPr>
          <w:p>
            <w:pPr>
              <w:spacing w:after="0" w:line="250"/>
            </w:pPr>
            <w:r>
              <w:rPr>
                <w:rFonts w:ascii="Arial" w:cs="Arial" w:eastAsia="Arial" w:hAnsi="Arial"/>
                <w:color w:val="52514E"/>
                <w:sz w:val="13"/>
                <w:szCs w:val="13"/>
              </w:rPr>
              <w:t xml:space="preserve">Chain: (1) the largest single quarter in the series is September 2025, which precedes the 13 October 2025 redesign announcement; (2) the strongest available establishment data attributes SMSF growth to demand for direct control and lower online setup costs, with new funds skewing to ages 35-44 - the opposite demographic; (3) therefore the trend predates the measure and causation is not established. The legislated cost-base asymmetry is a genuine incentive and is stated separately; the flow series is carried as a monitoring line, not as evidence of effect.</w:t>
            </w:r>
          </w:p>
        </w:tc>
        <w:tc>
          <w:tcPr>
            <w:tcW w:type="dxa" w:w="900"/>
            <w:tcBorders>
              <w:top w:val="single" w:color="D9D8D2" w:sz="3"/>
              <w:left w:val="none" w:color="FFFFFF" w:sz="0"/>
              <w:bottom w:val="single" w:color="D9D8D2" w:sz="3"/>
              <w:right w:val="none" w:color="FFFFFF" w:sz="0"/>
            </w:tcBorders>
            <w:shd w:fill="EFEEE9" w:color="auto" w:val="clear"/>
            <w:tcMar>
              <w:top w:type="dxa" w:w="70"/>
              <w:left w:type="dxa" w:w="100"/>
              <w:bottom w:type="dxa" w:w="70"/>
              <w:right w:type="dxa" w:w="100"/>
            </w:tcMar>
            <w:vAlign w:val="top"/>
          </w:tcPr>
          <w:p>
            <w:pPr>
              <w:spacing w:after="0" w:line="250"/>
              <w:jc w:val="center"/>
            </w:pPr>
            <w:r>
              <w:rPr>
                <w:rFonts w:ascii="Arial" w:cs="Arial" w:eastAsia="Arial" w:hAnsi="Arial"/>
                <w:b/>
                <w:bCs/>
                <w:color w:val="890C58"/>
                <w:sz w:val="13"/>
                <w:szCs w:val="13"/>
              </w:rPr>
              <w:t xml:space="preserve">contested</w:t>
            </w:r>
          </w:p>
        </w:tc>
      </w:tr>
      <w:tr>
        <w:tc>
          <w:tcPr>
            <w:tcW w:type="dxa" w:w="3900"/>
            <w:tcBorders>
              <w:top w:val="single" w:color="D9D8D2" w:sz="3"/>
              <w:left w:val="none" w:color="FFFFFF" w:sz="0"/>
              <w:bottom w:val="single" w:color="D9D8D2" w:sz="3"/>
              <w:right w:val="none" w:color="FFFFFF" w:sz="0"/>
            </w:tcBorders>
            <w:tcMar>
              <w:top w:type="dxa" w:w="70"/>
              <w:left w:type="dxa" w:w="100"/>
              <w:bottom w:type="dxa" w:w="70"/>
              <w:right w:type="dxa" w:w="100"/>
            </w:tcMar>
            <w:vAlign w:val="top"/>
          </w:tcPr>
          <w:p>
            <w:pPr>
              <w:spacing w:after="0" w:line="250"/>
            </w:pPr>
            <w:r>
              <w:rPr>
                <w:rFonts w:ascii="Arial" w:cs="Arial" w:eastAsia="Arial" w:hAnsi="Arial"/>
                <w:color w:val="1A1A1A"/>
                <w:sz w:val="14"/>
                <w:szCs w:val="14"/>
              </w:rPr>
              <w:t xml:space="preserve">Treasury estimated 31,800 of approximately 80,000 affected individuals would sit in APRA-regulated funds and exempt public sector schemes.</w:t>
            </w:r>
          </w:p>
        </w:tc>
        <w:tc>
          <w:tcPr>
            <w:tcW w:type="dxa" w:w="800"/>
            <w:tcBorders>
              <w:top w:val="single" w:color="D9D8D2" w:sz="3"/>
              <w:left w:val="none" w:color="FFFFFF" w:sz="0"/>
              <w:bottom w:val="single" w:color="D9D8D2" w:sz="3"/>
              <w:right w:val="none" w:color="FFFFFF" w:sz="0"/>
            </w:tcBorders>
            <w:tcMar>
              <w:top w:type="dxa" w:w="70"/>
              <w:left w:type="dxa" w:w="100"/>
              <w:bottom w:type="dxa" w:w="70"/>
              <w:right w:type="dxa" w:w="100"/>
            </w:tcMar>
            <w:vAlign w:val="top"/>
          </w:tcPr>
          <w:p>
            <w:pPr>
              <w:spacing w:after="0" w:line="250"/>
              <w:jc w:val="center"/>
            </w:pPr>
            <w:r>
              <w:rPr>
                <w:rFonts w:ascii="Arial" w:cs="Arial" w:eastAsia="Arial" w:hAnsi="Arial"/>
                <w:b/>
                <w:bCs/>
                <w:color w:val="00806D"/>
                <w:sz w:val="16"/>
                <w:szCs w:val="16"/>
              </w:rPr>
              <w:t xml:space="preserve">S</w:t>
            </w:r>
          </w:p>
        </w:tc>
        <w:tc>
          <w:tcPr>
            <w:tcW w:type="dxa" w:w="4306"/>
            <w:tcBorders>
              <w:top w:val="single" w:color="D9D8D2" w:sz="3"/>
              <w:left w:val="none" w:color="FFFFFF" w:sz="0"/>
              <w:bottom w:val="single" w:color="D9D8D2" w:sz="3"/>
              <w:right w:val="none" w:color="FFFFFF" w:sz="0"/>
            </w:tcBorders>
            <w:tcMar>
              <w:top w:type="dxa" w:w="70"/>
              <w:left w:type="dxa" w:w="100"/>
              <w:bottom w:type="dxa" w:w="70"/>
              <w:right w:type="dxa" w:w="100"/>
            </w:tcMar>
            <w:vAlign w:val="top"/>
          </w:tcPr>
          <w:p>
            <w:pPr>
              <w:spacing w:after="0" w:line="250"/>
            </w:pPr>
            <w:r>
              <w:rPr>
                <w:rFonts w:ascii="Arial" w:cs="Arial" w:eastAsia="Arial" w:hAnsi="Arial"/>
                <w:color w:val="52514E"/>
                <w:sz w:val="13"/>
                <w:szCs w:val="13"/>
              </w:rPr>
              <w:t xml:space="preserve">Office of Impact Analysis, 'Impact Analysis: Better Targeted Superannuation Concessions', Treasury, January 2024. Contested on two grounds: it was struck on 2022-vintage data under the superseded change-in-balance design, and it combines APRA-regulated funds with exempt public sector schemes, which are not APRA-supervised - so it overstates APRA's own exposure by an unknown margin. Carried in the note with both caveats attached, as the only Commonwealth figure available.</w:t>
            </w:r>
          </w:p>
        </w:tc>
        <w:tc>
          <w:tcPr>
            <w:tcW w:type="dxa" w:w="900"/>
            <w:tcBorders>
              <w:top w:val="single" w:color="D9D8D2" w:sz="3"/>
              <w:left w:val="none" w:color="FFFFFF" w:sz="0"/>
              <w:bottom w:val="single" w:color="D9D8D2" w:sz="3"/>
              <w:right w:val="none" w:color="FFFFFF" w:sz="0"/>
            </w:tcBorders>
            <w:tcMar>
              <w:top w:type="dxa" w:w="70"/>
              <w:left w:type="dxa" w:w="100"/>
              <w:bottom w:type="dxa" w:w="70"/>
              <w:right w:type="dxa" w:w="100"/>
            </w:tcMar>
            <w:vAlign w:val="top"/>
          </w:tcPr>
          <w:p>
            <w:pPr>
              <w:spacing w:after="0" w:line="250"/>
              <w:jc w:val="center"/>
            </w:pPr>
            <w:r>
              <w:rPr>
                <w:rFonts w:ascii="Arial" w:cs="Arial" w:eastAsia="Arial" w:hAnsi="Arial"/>
                <w:b/>
                <w:bCs/>
                <w:color w:val="890C58"/>
                <w:sz w:val="13"/>
                <w:szCs w:val="13"/>
              </w:rPr>
              <w:t xml:space="preserve">contested</w:t>
            </w:r>
          </w:p>
        </w:tc>
      </w:tr>
      <w:tr>
        <w:tc>
          <w:tcPr>
            <w:tcW w:type="dxa" w:w="3900"/>
            <w:tcBorders>
              <w:top w:val="single" w:color="D9D8D2" w:sz="3"/>
              <w:left w:val="none" w:color="FFFFFF" w:sz="0"/>
              <w:bottom w:val="single" w:color="D9D8D2" w:sz="3"/>
              <w:right w:val="none" w:color="FFFFFF" w:sz="0"/>
            </w:tcBorders>
            <w:shd w:fill="EFEEE9" w:color="auto" w:val="clear"/>
            <w:tcMar>
              <w:top w:type="dxa" w:w="70"/>
              <w:left w:type="dxa" w:w="100"/>
              <w:bottom w:type="dxa" w:w="70"/>
              <w:right w:type="dxa" w:w="100"/>
            </w:tcMar>
            <w:vAlign w:val="top"/>
          </w:tcPr>
          <w:p>
            <w:pPr>
              <w:spacing w:after="0" w:line="250"/>
            </w:pPr>
            <w:r>
              <w:rPr>
                <w:rFonts w:ascii="Arial" w:cs="Arial" w:eastAsia="Arial" w:hAnsi="Arial"/>
                <w:color w:val="1A1A1A"/>
                <w:sz w:val="14"/>
                <w:szCs w:val="14"/>
              </w:rPr>
              <w:t xml:space="preserve">The whole-of-person threshold cannot be produced from any APRA collection, because SRS 611.0 is reported per RSE and keyed on member account rather than person; only the ATO holds the aggregated view.</w:t>
            </w:r>
          </w:p>
        </w:tc>
        <w:tc>
          <w:tcPr>
            <w:tcW w:type="dxa" w:w="800"/>
            <w:tcBorders>
              <w:top w:val="single" w:color="D9D8D2" w:sz="3"/>
              <w:left w:val="none" w:color="FFFFFF" w:sz="0"/>
              <w:bottom w:val="single" w:color="D9D8D2" w:sz="3"/>
              <w:right w:val="none" w:color="FFFFFF" w:sz="0"/>
            </w:tcBorders>
            <w:shd w:fill="EFEEE9" w:color="auto" w:val="clear"/>
            <w:tcMar>
              <w:top w:type="dxa" w:w="70"/>
              <w:left w:type="dxa" w:w="100"/>
              <w:bottom w:type="dxa" w:w="70"/>
              <w:right w:type="dxa" w:w="100"/>
            </w:tcMar>
            <w:vAlign w:val="top"/>
          </w:tcPr>
          <w:p>
            <w:pPr>
              <w:spacing w:after="0" w:line="250"/>
              <w:jc w:val="center"/>
            </w:pPr>
            <w:r>
              <w:rPr>
                <w:rFonts w:ascii="Arial" w:cs="Arial" w:eastAsia="Arial" w:hAnsi="Arial"/>
                <w:b/>
                <w:bCs/>
                <w:color w:val="0072CE"/>
                <w:sz w:val="16"/>
                <w:szCs w:val="16"/>
              </w:rPr>
              <w:t xml:space="preserve">I</w:t>
            </w:r>
          </w:p>
        </w:tc>
        <w:tc>
          <w:tcPr>
            <w:tcW w:type="dxa" w:w="4306"/>
            <w:tcBorders>
              <w:top w:val="single" w:color="D9D8D2" w:sz="3"/>
              <w:left w:val="none" w:color="FFFFFF" w:sz="0"/>
              <w:bottom w:val="single" w:color="D9D8D2" w:sz="3"/>
              <w:right w:val="none" w:color="FFFFFF" w:sz="0"/>
            </w:tcBorders>
            <w:shd w:fill="EFEEE9" w:color="auto" w:val="clear"/>
            <w:tcMar>
              <w:top w:type="dxa" w:w="70"/>
              <w:left w:type="dxa" w:w="100"/>
              <w:bottom w:type="dxa" w:w="70"/>
              <w:right w:type="dxa" w:w="100"/>
            </w:tcMar>
            <w:vAlign w:val="top"/>
          </w:tcPr>
          <w:p>
            <w:pPr>
              <w:spacing w:after="0" w:line="250"/>
            </w:pPr>
            <w:r>
              <w:rPr>
                <w:rFonts w:ascii="Arial" w:cs="Arial" w:eastAsia="Arial" w:hAnsi="Arial"/>
                <w:color w:val="52514E"/>
                <w:sz w:val="13"/>
                <w:szCs w:val="13"/>
              </w:rPr>
              <w:t xml:space="preserve">Chain: (1) SRS 611.0 requires reporting separately for each RSE; (2) SRF 611.0 is keyed on member account; (3) a member with $1.8m in each of two APRA-regulated funds appears twice below $2m and never as a $3.6m total; (4) therefore adding balance brackets improves large-account visibility but structurally cannot produce the threshold view. This is why the note frames any external commitment as monitoring large-account behaviour in APRA-regulated funds, not monitoring the affected population.</w:t>
            </w:r>
          </w:p>
        </w:tc>
        <w:tc>
          <w:tcPr>
            <w:tcW w:type="dxa" w:w="900"/>
            <w:tcBorders>
              <w:top w:val="single" w:color="D9D8D2" w:sz="3"/>
              <w:left w:val="none" w:color="FFFFFF" w:sz="0"/>
              <w:bottom w:val="single" w:color="D9D8D2" w:sz="3"/>
              <w:right w:val="none" w:color="FFFFFF" w:sz="0"/>
            </w:tcBorders>
            <w:shd w:fill="EFEEE9" w:color="auto" w:val="clear"/>
            <w:tcMar>
              <w:top w:type="dxa" w:w="70"/>
              <w:left w:type="dxa" w:w="100"/>
              <w:bottom w:type="dxa" w:w="70"/>
              <w:right w:type="dxa" w:w="100"/>
            </w:tcMar>
            <w:vAlign w:val="top"/>
          </w:tcPr>
          <w:p>
            <w:pPr>
              <w:spacing w:after="0" w:line="250"/>
              <w:jc w:val="center"/>
            </w:pPr>
            <w:r>
              <w:rPr>
                <w:rFonts w:ascii="Arial" w:cs="Arial" w:eastAsia="Arial" w:hAnsi="Arial"/>
                <w:b/>
                <w:bCs/>
                <w:color w:val="00806D"/>
                <w:sz w:val="13"/>
                <w:szCs w:val="13"/>
              </w:rPr>
              <w:t xml:space="preserve">verified</w:t>
            </w:r>
          </w:p>
        </w:tc>
      </w:tr>
      <w:tr>
        <w:tc>
          <w:tcPr>
            <w:tcW w:type="dxa" w:w="3900"/>
            <w:tcBorders>
              <w:top w:val="single" w:color="D9D8D2" w:sz="3"/>
              <w:left w:val="none" w:color="FFFFFF" w:sz="0"/>
              <w:bottom w:val="single" w:color="D9D8D2" w:sz="3"/>
              <w:right w:val="none" w:color="FFFFFF" w:sz="0"/>
            </w:tcBorders>
            <w:tcMar>
              <w:top w:type="dxa" w:w="70"/>
              <w:left w:type="dxa" w:w="100"/>
              <w:bottom w:type="dxa" w:w="70"/>
              <w:right w:type="dxa" w:w="100"/>
            </w:tcMar>
            <w:vAlign w:val="top"/>
          </w:tcPr>
          <w:p>
            <w:pPr>
              <w:spacing w:after="0" w:line="250"/>
            </w:pPr>
            <w:r>
              <w:rPr>
                <w:rFonts w:ascii="Arial" w:cs="Arial" w:eastAsia="Arial" w:hAnsi="Arial"/>
                <w:color w:val="1A1A1A"/>
                <w:sz w:val="14"/>
                <w:szCs w:val="14"/>
              </w:rPr>
              <w:t xml:space="preserve">The ATO's indicative information-request windows are 10 business days for defined benefit and alternative-method interests and 28 calendar days for other APRA-regulated funds.</w:t>
            </w:r>
          </w:p>
        </w:tc>
        <w:tc>
          <w:tcPr>
            <w:tcW w:type="dxa" w:w="800"/>
            <w:tcBorders>
              <w:top w:val="single" w:color="D9D8D2" w:sz="3"/>
              <w:left w:val="none" w:color="FFFFFF" w:sz="0"/>
              <w:bottom w:val="single" w:color="D9D8D2" w:sz="3"/>
              <w:right w:val="none" w:color="FFFFFF" w:sz="0"/>
            </w:tcBorders>
            <w:tcMar>
              <w:top w:type="dxa" w:w="70"/>
              <w:left w:type="dxa" w:w="100"/>
              <w:bottom w:type="dxa" w:w="70"/>
              <w:right w:type="dxa" w:w="100"/>
            </w:tcMar>
            <w:vAlign w:val="top"/>
          </w:tcPr>
          <w:p>
            <w:pPr>
              <w:spacing w:after="0" w:line="250"/>
              <w:jc w:val="center"/>
            </w:pPr>
            <w:r>
              <w:rPr>
                <w:rFonts w:ascii="Arial" w:cs="Arial" w:eastAsia="Arial" w:hAnsi="Arial"/>
                <w:b/>
                <w:bCs/>
                <w:color w:val="00806D"/>
                <w:sz w:val="16"/>
                <w:szCs w:val="16"/>
              </w:rPr>
              <w:t xml:space="preserve">S</w:t>
            </w:r>
          </w:p>
        </w:tc>
        <w:tc>
          <w:tcPr>
            <w:tcW w:type="dxa" w:w="4306"/>
            <w:tcBorders>
              <w:top w:val="single" w:color="D9D8D2" w:sz="3"/>
              <w:left w:val="none" w:color="FFFFFF" w:sz="0"/>
              <w:bottom w:val="single" w:color="D9D8D2" w:sz="3"/>
              <w:right w:val="none" w:color="FFFFFF" w:sz="0"/>
            </w:tcBorders>
            <w:tcMar>
              <w:top w:type="dxa" w:w="70"/>
              <w:left w:type="dxa" w:w="100"/>
              <w:bottom w:type="dxa" w:w="70"/>
              <w:right w:type="dxa" w:w="100"/>
            </w:tcMar>
            <w:vAlign w:val="top"/>
          </w:tcPr>
          <w:p>
            <w:pPr>
              <w:spacing w:after="0" w:line="250"/>
            </w:pPr>
            <w:r>
              <w:rPr>
                <w:rFonts w:ascii="Arial" w:cs="Arial" w:eastAsia="Arial" w:hAnsi="Arial"/>
                <w:color w:val="52514E"/>
                <w:sz w:val="13"/>
                <w:szCs w:val="13"/>
              </w:rPr>
              <w:t xml:space="preserve">ATO Superannuation Administration Group key messages, 18 February 2026 and 20 May 2026. Contested: the February meeting records DB requests from November 2027 and APRA-fund requests from February 2028, while the May meeting says November and April with no year stated, and neither reconciles cleanly with assessments issuing in the second half of 2027-28. Cited in the note as ATO indicative planning dates that have already moved once, not as settled deadlines.</w:t>
            </w:r>
          </w:p>
        </w:tc>
        <w:tc>
          <w:tcPr>
            <w:tcW w:type="dxa" w:w="900"/>
            <w:tcBorders>
              <w:top w:val="single" w:color="D9D8D2" w:sz="3"/>
              <w:left w:val="none" w:color="FFFFFF" w:sz="0"/>
              <w:bottom w:val="single" w:color="D9D8D2" w:sz="3"/>
              <w:right w:val="none" w:color="FFFFFF" w:sz="0"/>
            </w:tcBorders>
            <w:tcMar>
              <w:top w:type="dxa" w:w="70"/>
              <w:left w:type="dxa" w:w="100"/>
              <w:bottom w:type="dxa" w:w="70"/>
              <w:right w:type="dxa" w:w="100"/>
            </w:tcMar>
            <w:vAlign w:val="top"/>
          </w:tcPr>
          <w:p>
            <w:pPr>
              <w:spacing w:after="0" w:line="250"/>
              <w:jc w:val="center"/>
            </w:pPr>
            <w:r>
              <w:rPr>
                <w:rFonts w:ascii="Arial" w:cs="Arial" w:eastAsia="Arial" w:hAnsi="Arial"/>
                <w:b/>
                <w:bCs/>
                <w:color w:val="890C58"/>
                <w:sz w:val="13"/>
                <w:szCs w:val="13"/>
              </w:rPr>
              <w:t xml:space="preserve">contested</w:t>
            </w:r>
          </w:p>
        </w:tc>
      </w:tr>
      <w:tr>
        <w:tc>
          <w:tcPr>
            <w:tcW w:type="dxa" w:w="3900"/>
            <w:tcBorders>
              <w:top w:val="single" w:color="D9D8D2" w:sz="3"/>
              <w:left w:val="none" w:color="FFFFFF" w:sz="0"/>
              <w:bottom w:val="single" w:color="D9D8D2" w:sz="3"/>
              <w:right w:val="none" w:color="FFFFFF" w:sz="0"/>
            </w:tcBorders>
            <w:shd w:fill="EFEEE9" w:color="auto" w:val="clear"/>
            <w:tcMar>
              <w:top w:type="dxa" w:w="70"/>
              <w:left w:type="dxa" w:w="100"/>
              <w:bottom w:type="dxa" w:w="70"/>
              <w:right w:type="dxa" w:w="100"/>
            </w:tcMar>
            <w:vAlign w:val="top"/>
          </w:tcPr>
          <w:p>
            <w:pPr>
              <w:spacing w:after="0" w:line="250"/>
            </w:pPr>
            <w:r>
              <w:rPr>
                <w:rFonts w:ascii="Arial" w:cs="Arial" w:eastAsia="Arial" w:hAnsi="Arial"/>
                <w:color w:val="1A1A1A"/>
                <w:sz w:val="14"/>
                <w:szCs w:val="14"/>
              </w:rPr>
              <w:t xml:space="preserve">The ATO intends to reuse existing Division 293 SuperStream product type codes for Division 296 release authorities, distinguished by a reference number rather than a new message type.</w:t>
            </w:r>
          </w:p>
        </w:tc>
        <w:tc>
          <w:tcPr>
            <w:tcW w:type="dxa" w:w="800"/>
            <w:tcBorders>
              <w:top w:val="single" w:color="D9D8D2" w:sz="3"/>
              <w:left w:val="none" w:color="FFFFFF" w:sz="0"/>
              <w:bottom w:val="single" w:color="D9D8D2" w:sz="3"/>
              <w:right w:val="none" w:color="FFFFFF" w:sz="0"/>
            </w:tcBorders>
            <w:shd w:fill="EFEEE9" w:color="auto" w:val="clear"/>
            <w:tcMar>
              <w:top w:type="dxa" w:w="70"/>
              <w:left w:type="dxa" w:w="100"/>
              <w:bottom w:type="dxa" w:w="70"/>
              <w:right w:type="dxa" w:w="100"/>
            </w:tcMar>
            <w:vAlign w:val="top"/>
          </w:tcPr>
          <w:p>
            <w:pPr>
              <w:spacing w:after="0" w:line="250"/>
              <w:jc w:val="center"/>
            </w:pPr>
            <w:r>
              <w:rPr>
                <w:rFonts w:ascii="Arial" w:cs="Arial" w:eastAsia="Arial" w:hAnsi="Arial"/>
                <w:b/>
                <w:bCs/>
                <w:color w:val="00806D"/>
                <w:sz w:val="16"/>
                <w:szCs w:val="16"/>
              </w:rPr>
              <w:t xml:space="preserve">S</w:t>
            </w:r>
          </w:p>
        </w:tc>
        <w:tc>
          <w:tcPr>
            <w:tcW w:type="dxa" w:w="4306"/>
            <w:tcBorders>
              <w:top w:val="single" w:color="D9D8D2" w:sz="3"/>
              <w:left w:val="none" w:color="FFFFFF" w:sz="0"/>
              <w:bottom w:val="single" w:color="D9D8D2" w:sz="3"/>
              <w:right w:val="none" w:color="FFFFFF" w:sz="0"/>
            </w:tcBorders>
            <w:shd w:fill="EFEEE9" w:color="auto" w:val="clear"/>
            <w:tcMar>
              <w:top w:type="dxa" w:w="70"/>
              <w:left w:type="dxa" w:w="100"/>
              <w:bottom w:type="dxa" w:w="70"/>
              <w:right w:type="dxa" w:w="100"/>
            </w:tcMar>
            <w:vAlign w:val="top"/>
          </w:tcPr>
          <w:p>
            <w:pPr>
              <w:spacing w:after="0" w:line="250"/>
            </w:pPr>
            <w:r>
              <w:rPr>
                <w:rFonts w:ascii="Arial" w:cs="Arial" w:eastAsia="Arial" w:hAnsi="Arial"/>
                <w:color w:val="52514E"/>
                <w:sz w:val="13"/>
                <w:szCs w:val="13"/>
              </w:rPr>
              <w:t xml:space="preserve">ATO Superannuation Administration Group key messages of 17 June 2025 - re-dated after review established that the 2026 SAG pages the draft cited do not contain this text. Contested as an APRA ask: ASFA's 7 April 2026 submission expressly asked the ATO to build on the Division 293 release channel and messaging on cost-to-members grounds, so the note discloses industry's position and seeks a machine-readable flag on the existing message rather than a new message type.</w:t>
            </w:r>
          </w:p>
        </w:tc>
        <w:tc>
          <w:tcPr>
            <w:tcW w:type="dxa" w:w="900"/>
            <w:tcBorders>
              <w:top w:val="single" w:color="D9D8D2" w:sz="3"/>
              <w:left w:val="none" w:color="FFFFFF" w:sz="0"/>
              <w:bottom w:val="single" w:color="D9D8D2" w:sz="3"/>
              <w:right w:val="none" w:color="FFFFFF" w:sz="0"/>
            </w:tcBorders>
            <w:shd w:fill="EFEEE9" w:color="auto" w:val="clear"/>
            <w:tcMar>
              <w:top w:type="dxa" w:w="70"/>
              <w:left w:type="dxa" w:w="100"/>
              <w:bottom w:type="dxa" w:w="70"/>
              <w:right w:type="dxa" w:w="100"/>
            </w:tcMar>
            <w:vAlign w:val="top"/>
          </w:tcPr>
          <w:p>
            <w:pPr>
              <w:spacing w:after="0" w:line="250"/>
              <w:jc w:val="center"/>
            </w:pPr>
            <w:r>
              <w:rPr>
                <w:rFonts w:ascii="Arial" w:cs="Arial" w:eastAsia="Arial" w:hAnsi="Arial"/>
                <w:b/>
                <w:bCs/>
                <w:color w:val="890C58"/>
                <w:sz w:val="13"/>
                <w:szCs w:val="13"/>
              </w:rPr>
              <w:t xml:space="preserve">contested</w:t>
            </w:r>
          </w:p>
        </w:tc>
      </w:tr>
      <w:tr>
        <w:tc>
          <w:tcPr>
            <w:tcW w:type="dxa" w:w="3900"/>
            <w:tcBorders>
              <w:top w:val="single" w:color="D9D8D2" w:sz="3"/>
              <w:left w:val="none" w:color="FFFFFF" w:sz="0"/>
              <w:bottom w:val="single" w:color="D9D8D2" w:sz="3"/>
              <w:right w:val="none" w:color="FFFFFF" w:sz="0"/>
            </w:tcBorders>
            <w:tcMar>
              <w:top w:type="dxa" w:w="70"/>
              <w:left w:type="dxa" w:w="100"/>
              <w:bottom w:type="dxa" w:w="70"/>
              <w:right w:type="dxa" w:w="100"/>
            </w:tcMar>
            <w:vAlign w:val="top"/>
          </w:tcPr>
          <w:p>
            <w:pPr>
              <w:spacing w:after="0" w:line="250"/>
            </w:pPr>
            <w:r>
              <w:rPr>
                <w:rFonts w:ascii="Arial" w:cs="Arial" w:eastAsia="Arial" w:hAnsi="Arial"/>
                <w:color w:val="1A1A1A"/>
                <w:sz w:val="14"/>
                <w:szCs w:val="14"/>
              </w:rPr>
              <w:t xml:space="preserve">The ten-business-day payment clock and 20-penalty-unit exposure for release authorities are the existing obligations for other release authority types; the Division 296 equivalent has not been published.</w:t>
            </w:r>
          </w:p>
        </w:tc>
        <w:tc>
          <w:tcPr>
            <w:tcW w:type="dxa" w:w="800"/>
            <w:tcBorders>
              <w:top w:val="single" w:color="D9D8D2" w:sz="3"/>
              <w:left w:val="none" w:color="FFFFFF" w:sz="0"/>
              <w:bottom w:val="single" w:color="D9D8D2" w:sz="3"/>
              <w:right w:val="none" w:color="FFFFFF" w:sz="0"/>
            </w:tcBorders>
            <w:tcMar>
              <w:top w:type="dxa" w:w="70"/>
              <w:left w:type="dxa" w:w="100"/>
              <w:bottom w:type="dxa" w:w="70"/>
              <w:right w:type="dxa" w:w="100"/>
            </w:tcMar>
            <w:vAlign w:val="top"/>
          </w:tcPr>
          <w:p>
            <w:pPr>
              <w:spacing w:after="0" w:line="250"/>
              <w:jc w:val="center"/>
            </w:pPr>
            <w:r>
              <w:rPr>
                <w:rFonts w:ascii="Arial" w:cs="Arial" w:eastAsia="Arial" w:hAnsi="Arial"/>
                <w:b/>
                <w:bCs/>
                <w:color w:val="00806D"/>
                <w:sz w:val="16"/>
                <w:szCs w:val="16"/>
              </w:rPr>
              <w:t xml:space="preserve">S</w:t>
            </w:r>
          </w:p>
        </w:tc>
        <w:tc>
          <w:tcPr>
            <w:tcW w:type="dxa" w:w="4306"/>
            <w:tcBorders>
              <w:top w:val="single" w:color="D9D8D2" w:sz="3"/>
              <w:left w:val="none" w:color="FFFFFF" w:sz="0"/>
              <w:bottom w:val="single" w:color="D9D8D2" w:sz="3"/>
              <w:right w:val="none" w:color="FFFFFF" w:sz="0"/>
            </w:tcBorders>
            <w:tcMar>
              <w:top w:type="dxa" w:w="70"/>
              <w:left w:type="dxa" w:w="100"/>
              <w:bottom w:type="dxa" w:w="70"/>
              <w:right w:type="dxa" w:w="100"/>
            </w:tcMar>
            <w:vAlign w:val="top"/>
          </w:tcPr>
          <w:p>
            <w:pPr>
              <w:spacing w:after="0" w:line="250"/>
            </w:pPr>
            <w:r>
              <w:rPr>
                <w:rFonts w:ascii="Arial" w:cs="Arial" w:eastAsia="Arial" w:hAnsi="Arial"/>
                <w:color w:val="52514E"/>
                <w:sz w:val="13"/>
                <w:szCs w:val="13"/>
              </w:rPr>
              <w:t xml:space="preserve">ATO release authority guidance for APRA-regulated funds, which lists six release authority categories and does not yet include Division 296. The note states the position this way in plain English rather than asserting a ten-day Division 296 deadline as settled.</w:t>
            </w:r>
          </w:p>
        </w:tc>
        <w:tc>
          <w:tcPr>
            <w:tcW w:type="dxa" w:w="900"/>
            <w:tcBorders>
              <w:top w:val="single" w:color="D9D8D2" w:sz="3"/>
              <w:left w:val="none" w:color="FFFFFF" w:sz="0"/>
              <w:bottom w:val="single" w:color="D9D8D2" w:sz="3"/>
              <w:right w:val="none" w:color="FFFFFF" w:sz="0"/>
            </w:tcBorders>
            <w:tcMar>
              <w:top w:type="dxa" w:w="70"/>
              <w:left w:type="dxa" w:w="100"/>
              <w:bottom w:type="dxa" w:w="70"/>
              <w:right w:type="dxa" w:w="100"/>
            </w:tcMar>
            <w:vAlign w:val="top"/>
          </w:tcPr>
          <w:p>
            <w:pPr>
              <w:spacing w:after="0" w:line="250"/>
              <w:jc w:val="center"/>
            </w:pPr>
            <w:r>
              <w:rPr>
                <w:rFonts w:ascii="Arial" w:cs="Arial" w:eastAsia="Arial" w:hAnsi="Arial"/>
                <w:b/>
                <w:bCs/>
                <w:color w:val="E87722"/>
                <w:sz w:val="13"/>
                <w:szCs w:val="13"/>
              </w:rPr>
              <w:t xml:space="preserve">unverified</w:t>
            </w:r>
          </w:p>
        </w:tc>
      </w:tr>
      <w:tr>
        <w:tc>
          <w:tcPr>
            <w:tcW w:type="dxa" w:w="3900"/>
            <w:tcBorders>
              <w:top w:val="single" w:color="D9D8D2" w:sz="3"/>
              <w:left w:val="none" w:color="FFFFFF" w:sz="0"/>
              <w:bottom w:val="single" w:color="D9D8D2" w:sz="3"/>
              <w:right w:val="none" w:color="FFFFFF" w:sz="0"/>
            </w:tcBorders>
            <w:shd w:fill="EFEEE9" w:color="auto" w:val="clear"/>
            <w:tcMar>
              <w:top w:type="dxa" w:w="70"/>
              <w:left w:type="dxa" w:w="100"/>
              <w:bottom w:type="dxa" w:w="70"/>
              <w:right w:type="dxa" w:w="100"/>
            </w:tcMar>
            <w:vAlign w:val="top"/>
          </w:tcPr>
          <w:p>
            <w:pPr>
              <w:spacing w:after="0" w:line="250"/>
            </w:pPr>
            <w:r>
              <w:rPr>
                <w:rFonts w:ascii="Arial" w:cs="Arial" w:eastAsia="Arial" w:hAnsi="Arial"/>
                <w:color w:val="1A1A1A"/>
                <w:sz w:val="14"/>
                <w:szCs w:val="14"/>
              </w:rPr>
              <w:t xml:space="preserve">Division 296 build and run costs recovered through administration fees feed into the annual superannuation performance test, which assesses administration fees against the median for the product category on a combined basis with investment performance, with two consecutive failures prohibiting new members.</w:t>
            </w:r>
          </w:p>
        </w:tc>
        <w:tc>
          <w:tcPr>
            <w:tcW w:type="dxa" w:w="800"/>
            <w:tcBorders>
              <w:top w:val="single" w:color="D9D8D2" w:sz="3"/>
              <w:left w:val="none" w:color="FFFFFF" w:sz="0"/>
              <w:bottom w:val="single" w:color="D9D8D2" w:sz="3"/>
              <w:right w:val="none" w:color="FFFFFF" w:sz="0"/>
            </w:tcBorders>
            <w:shd w:fill="EFEEE9" w:color="auto" w:val="clear"/>
            <w:tcMar>
              <w:top w:type="dxa" w:w="70"/>
              <w:left w:type="dxa" w:w="100"/>
              <w:bottom w:type="dxa" w:w="70"/>
              <w:right w:type="dxa" w:w="100"/>
            </w:tcMar>
            <w:vAlign w:val="top"/>
          </w:tcPr>
          <w:p>
            <w:pPr>
              <w:spacing w:after="0" w:line="250"/>
              <w:jc w:val="center"/>
            </w:pPr>
            <w:r>
              <w:rPr>
                <w:rFonts w:ascii="Arial" w:cs="Arial" w:eastAsia="Arial" w:hAnsi="Arial"/>
                <w:b/>
                <w:bCs/>
                <w:color w:val="0072CE"/>
                <w:sz w:val="16"/>
                <w:szCs w:val="16"/>
              </w:rPr>
              <w:t xml:space="preserve">I</w:t>
            </w:r>
          </w:p>
        </w:tc>
        <w:tc>
          <w:tcPr>
            <w:tcW w:type="dxa" w:w="4306"/>
            <w:tcBorders>
              <w:top w:val="single" w:color="D9D8D2" w:sz="3"/>
              <w:left w:val="none" w:color="FFFFFF" w:sz="0"/>
              <w:bottom w:val="single" w:color="D9D8D2" w:sz="3"/>
              <w:right w:val="none" w:color="FFFFFF" w:sz="0"/>
            </w:tcBorders>
            <w:shd w:fill="EFEEE9" w:color="auto" w:val="clear"/>
            <w:tcMar>
              <w:top w:type="dxa" w:w="70"/>
              <w:left w:type="dxa" w:w="100"/>
              <w:bottom w:type="dxa" w:w="70"/>
              <w:right w:type="dxa" w:w="100"/>
            </w:tcMar>
            <w:vAlign w:val="top"/>
          </w:tcPr>
          <w:p>
            <w:pPr>
              <w:spacing w:after="0" w:line="250"/>
            </w:pPr>
            <w:r>
              <w:rPr>
                <w:rFonts w:ascii="Arial" w:cs="Arial" w:eastAsia="Arial" w:hAnsi="Arial"/>
                <w:color w:val="52514E"/>
                <w:sz w:val="13"/>
                <w:szCs w:val="13"/>
              </w:rPr>
              <w:t xml:space="preserve">Chain: (1) the performance test benchmarks administration fees charged in the last financial year against a category median; (2) Division 296 costs recovered through those fees enter that metric; (3) because the benchmark is a median, a licensee with a small affected population relative to total membership spreads the same fixed build cost over a smaller base and moves against the median. The test mechanics are sourced from the legislated performance test framework but were not re-read this pass; the transmission mechanism and the resulting incentive to absorb rather than transparently recover the cost are APRA's own analysis.</w:t>
            </w:r>
          </w:p>
        </w:tc>
        <w:tc>
          <w:tcPr>
            <w:tcW w:type="dxa" w:w="900"/>
            <w:tcBorders>
              <w:top w:val="single" w:color="D9D8D2" w:sz="3"/>
              <w:left w:val="none" w:color="FFFFFF" w:sz="0"/>
              <w:bottom w:val="single" w:color="D9D8D2" w:sz="3"/>
              <w:right w:val="none" w:color="FFFFFF" w:sz="0"/>
            </w:tcBorders>
            <w:shd w:fill="EFEEE9" w:color="auto" w:val="clear"/>
            <w:tcMar>
              <w:top w:type="dxa" w:w="70"/>
              <w:left w:type="dxa" w:w="100"/>
              <w:bottom w:type="dxa" w:w="70"/>
              <w:right w:type="dxa" w:w="100"/>
            </w:tcMar>
            <w:vAlign w:val="top"/>
          </w:tcPr>
          <w:p>
            <w:pPr>
              <w:spacing w:after="0" w:line="250"/>
              <w:jc w:val="center"/>
            </w:pPr>
            <w:r>
              <w:rPr>
                <w:rFonts w:ascii="Arial" w:cs="Arial" w:eastAsia="Arial" w:hAnsi="Arial"/>
                <w:b/>
                <w:bCs/>
                <w:color w:val="E87722"/>
                <w:sz w:val="13"/>
                <w:szCs w:val="13"/>
              </w:rPr>
              <w:t xml:space="preserve">unverified</w:t>
            </w:r>
          </w:p>
        </w:tc>
      </w:tr>
      <w:tr>
        <w:tc>
          <w:tcPr>
            <w:tcW w:type="dxa" w:w="3900"/>
            <w:tcBorders>
              <w:top w:val="single" w:color="D9D8D2" w:sz="3"/>
              <w:left w:val="none" w:color="FFFFFF" w:sz="0"/>
              <w:bottom w:val="single" w:color="D9D8D2" w:sz="3"/>
              <w:right w:val="none" w:color="FFFFFF" w:sz="0"/>
            </w:tcBorders>
            <w:tcMar>
              <w:top w:type="dxa" w:w="70"/>
              <w:left w:type="dxa" w:w="100"/>
              <w:bottom w:type="dxa" w:w="70"/>
              <w:right w:type="dxa" w:w="100"/>
            </w:tcMar>
            <w:vAlign w:val="top"/>
          </w:tcPr>
          <w:p>
            <w:pPr>
              <w:spacing w:after="0" w:line="250"/>
            </w:pPr>
            <w:r>
              <w:rPr>
                <w:rFonts w:ascii="Arial" w:cs="Arial" w:eastAsia="Arial" w:hAnsi="Arial"/>
                <w:color w:val="1A1A1A"/>
                <w:sz w:val="14"/>
                <w:szCs w:val="14"/>
              </w:rPr>
              <w:t xml:space="preserve">Defined benefit earnings are measured as the movement in the actuarial value of the member's interest, adjusted for contributions and withdrawals and multiplied by a prescribed reduction factor of 0.825; the resulting liability is deferred to a debt account until the end benefit is paid, so there is no near-term call on fund solvency.</w:t>
            </w:r>
          </w:p>
        </w:tc>
        <w:tc>
          <w:tcPr>
            <w:tcW w:type="dxa" w:w="800"/>
            <w:tcBorders>
              <w:top w:val="single" w:color="D9D8D2" w:sz="3"/>
              <w:left w:val="none" w:color="FFFFFF" w:sz="0"/>
              <w:bottom w:val="single" w:color="D9D8D2" w:sz="3"/>
              <w:right w:val="none" w:color="FFFFFF" w:sz="0"/>
            </w:tcBorders>
            <w:tcMar>
              <w:top w:type="dxa" w:w="70"/>
              <w:left w:type="dxa" w:w="100"/>
              <w:bottom w:type="dxa" w:w="70"/>
              <w:right w:type="dxa" w:w="100"/>
            </w:tcMar>
            <w:vAlign w:val="top"/>
          </w:tcPr>
          <w:p>
            <w:pPr>
              <w:spacing w:after="0" w:line="250"/>
              <w:jc w:val="center"/>
            </w:pPr>
            <w:r>
              <w:rPr>
                <w:rFonts w:ascii="Arial" w:cs="Arial" w:eastAsia="Arial" w:hAnsi="Arial"/>
                <w:b/>
                <w:bCs/>
                <w:color w:val="00806D"/>
                <w:sz w:val="16"/>
                <w:szCs w:val="16"/>
              </w:rPr>
              <w:t xml:space="preserve">S</w:t>
            </w:r>
          </w:p>
        </w:tc>
        <w:tc>
          <w:tcPr>
            <w:tcW w:type="dxa" w:w="4306"/>
            <w:tcBorders>
              <w:top w:val="single" w:color="D9D8D2" w:sz="3"/>
              <w:left w:val="none" w:color="FFFFFF" w:sz="0"/>
              <w:bottom w:val="single" w:color="D9D8D2" w:sz="3"/>
              <w:right w:val="none" w:color="FFFFFF" w:sz="0"/>
            </w:tcBorders>
            <w:tcMar>
              <w:top w:type="dxa" w:w="70"/>
              <w:left w:type="dxa" w:w="100"/>
              <w:bottom w:type="dxa" w:w="70"/>
              <w:right w:type="dxa" w:w="100"/>
            </w:tcMar>
            <w:vAlign w:val="top"/>
          </w:tcPr>
          <w:p>
            <w:pPr>
              <w:spacing w:after="0" w:line="250"/>
            </w:pPr>
            <w:r>
              <w:rPr>
                <w:rFonts w:ascii="Arial" w:cs="Arial" w:eastAsia="Arial" w:hAnsi="Arial"/>
                <w:color w:val="52514E"/>
                <w:sz w:val="13"/>
                <w:szCs w:val="13"/>
              </w:rPr>
              <w:t xml:space="preserve">Practitioner analysis of the draft regulations (Grant Thornton) for the 0.825 factor; ATO guidance on paying Division 296 tax for the deferral to a debt account. The factor was verified against the draft, not the made regulations.</w:t>
            </w:r>
          </w:p>
        </w:tc>
        <w:tc>
          <w:tcPr>
            <w:tcW w:type="dxa" w:w="900"/>
            <w:tcBorders>
              <w:top w:val="single" w:color="D9D8D2" w:sz="3"/>
              <w:left w:val="none" w:color="FFFFFF" w:sz="0"/>
              <w:bottom w:val="single" w:color="D9D8D2" w:sz="3"/>
              <w:right w:val="none" w:color="FFFFFF" w:sz="0"/>
            </w:tcBorders>
            <w:tcMar>
              <w:top w:type="dxa" w:w="70"/>
              <w:left w:type="dxa" w:w="100"/>
              <w:bottom w:type="dxa" w:w="70"/>
              <w:right w:type="dxa" w:w="100"/>
            </w:tcMar>
            <w:vAlign w:val="top"/>
          </w:tcPr>
          <w:p>
            <w:pPr>
              <w:spacing w:after="0" w:line="250"/>
              <w:jc w:val="center"/>
            </w:pPr>
            <w:r>
              <w:rPr>
                <w:rFonts w:ascii="Arial" w:cs="Arial" w:eastAsia="Arial" w:hAnsi="Arial"/>
                <w:b/>
                <w:bCs/>
                <w:color w:val="E87722"/>
                <w:sz w:val="13"/>
                <w:szCs w:val="13"/>
              </w:rPr>
              <w:t xml:space="preserve">unverified</w:t>
            </w:r>
          </w:p>
        </w:tc>
      </w:tr>
      <w:tr>
        <w:tc>
          <w:tcPr>
            <w:tcW w:type="dxa" w:w="3900"/>
            <w:tcBorders>
              <w:top w:val="single" w:color="D9D8D2" w:sz="3"/>
              <w:left w:val="none" w:color="FFFFFF" w:sz="0"/>
              <w:bottom w:val="single" w:color="D9D8D2" w:sz="3"/>
              <w:right w:val="none" w:color="FFFFFF" w:sz="0"/>
            </w:tcBorders>
            <w:shd w:fill="EFEEE9" w:color="auto" w:val="clear"/>
            <w:tcMar>
              <w:top w:type="dxa" w:w="70"/>
              <w:left w:type="dxa" w:w="100"/>
              <w:bottom w:type="dxa" w:w="70"/>
              <w:right w:type="dxa" w:w="100"/>
            </w:tcMar>
            <w:vAlign w:val="top"/>
          </w:tcPr>
          <w:p>
            <w:pPr>
              <w:spacing w:after="0" w:line="250"/>
            </w:pPr>
            <w:r>
              <w:rPr>
                <w:rFonts w:ascii="Arial" w:cs="Arial" w:eastAsia="Arial" w:hAnsi="Arial"/>
                <w:color w:val="1A1A1A"/>
                <w:sz w:val="14"/>
                <w:szCs w:val="14"/>
              </w:rPr>
              <w:t xml:space="preserve">The single unisex pensioner mortality basis using male rates is not a closed question.</w:t>
            </w:r>
          </w:p>
        </w:tc>
        <w:tc>
          <w:tcPr>
            <w:tcW w:type="dxa" w:w="800"/>
            <w:tcBorders>
              <w:top w:val="single" w:color="D9D8D2" w:sz="3"/>
              <w:left w:val="none" w:color="FFFFFF" w:sz="0"/>
              <w:bottom w:val="single" w:color="D9D8D2" w:sz="3"/>
              <w:right w:val="none" w:color="FFFFFF" w:sz="0"/>
            </w:tcBorders>
            <w:shd w:fill="EFEEE9" w:color="auto" w:val="clear"/>
            <w:tcMar>
              <w:top w:type="dxa" w:w="70"/>
              <w:left w:type="dxa" w:w="100"/>
              <w:bottom w:type="dxa" w:w="70"/>
              <w:right w:type="dxa" w:w="100"/>
            </w:tcMar>
            <w:vAlign w:val="top"/>
          </w:tcPr>
          <w:p>
            <w:pPr>
              <w:spacing w:after="0" w:line="250"/>
              <w:jc w:val="center"/>
            </w:pPr>
            <w:r>
              <w:rPr>
                <w:rFonts w:ascii="Arial" w:cs="Arial" w:eastAsia="Arial" w:hAnsi="Arial"/>
                <w:b/>
                <w:bCs/>
                <w:color w:val="00806D"/>
                <w:sz w:val="16"/>
                <w:szCs w:val="16"/>
              </w:rPr>
              <w:t xml:space="preserve">S</w:t>
            </w:r>
          </w:p>
        </w:tc>
        <w:tc>
          <w:tcPr>
            <w:tcW w:type="dxa" w:w="4306"/>
            <w:tcBorders>
              <w:top w:val="single" w:color="D9D8D2" w:sz="3"/>
              <w:left w:val="none" w:color="FFFFFF" w:sz="0"/>
              <w:bottom w:val="single" w:color="D9D8D2" w:sz="3"/>
              <w:right w:val="none" w:color="FFFFFF" w:sz="0"/>
            </w:tcBorders>
            <w:shd w:fill="EFEEE9" w:color="auto" w:val="clear"/>
            <w:tcMar>
              <w:top w:type="dxa" w:w="70"/>
              <w:left w:type="dxa" w:w="100"/>
              <w:bottom w:type="dxa" w:w="70"/>
              <w:right w:type="dxa" w:w="100"/>
            </w:tcMar>
            <w:vAlign w:val="top"/>
          </w:tcPr>
          <w:p>
            <w:pPr>
              <w:spacing w:after="0" w:line="250"/>
            </w:pPr>
            <w:r>
              <w:rPr>
                <w:rFonts w:ascii="Arial" w:cs="Arial" w:eastAsia="Arial" w:hAnsi="Arial"/>
                <w:color w:val="52514E"/>
                <w:sz w:val="13"/>
                <w:szCs w:val="13"/>
              </w:rPr>
              <w:t xml:space="preserve">The Actuaries Institute's 7 April 2026 submission welcomes the single unisex male-rate basis; ASFA's submission of the same date contains a live section headed 'Use of only male valuation factors'. Two peak bodies were in disagreement at the close of consultation and the position adopted in the made regulations has not been confirmed, so the draft register's statement that the issue is closed has been withdrawn.</w:t>
            </w:r>
          </w:p>
        </w:tc>
        <w:tc>
          <w:tcPr>
            <w:tcW w:type="dxa" w:w="900"/>
            <w:tcBorders>
              <w:top w:val="single" w:color="D9D8D2" w:sz="3"/>
              <w:left w:val="none" w:color="FFFFFF" w:sz="0"/>
              <w:bottom w:val="single" w:color="D9D8D2" w:sz="3"/>
              <w:right w:val="none" w:color="FFFFFF" w:sz="0"/>
            </w:tcBorders>
            <w:shd w:fill="EFEEE9" w:color="auto" w:val="clear"/>
            <w:tcMar>
              <w:top w:type="dxa" w:w="70"/>
              <w:left w:type="dxa" w:w="100"/>
              <w:bottom w:type="dxa" w:w="70"/>
              <w:right w:type="dxa" w:w="100"/>
            </w:tcMar>
            <w:vAlign w:val="top"/>
          </w:tcPr>
          <w:p>
            <w:pPr>
              <w:spacing w:after="0" w:line="250"/>
              <w:jc w:val="center"/>
            </w:pPr>
            <w:r>
              <w:rPr>
                <w:rFonts w:ascii="Arial" w:cs="Arial" w:eastAsia="Arial" w:hAnsi="Arial"/>
                <w:b/>
                <w:bCs/>
                <w:color w:val="890C58"/>
                <w:sz w:val="13"/>
                <w:szCs w:val="13"/>
              </w:rPr>
              <w:t xml:space="preserve">contested</w:t>
            </w:r>
          </w:p>
        </w:tc>
      </w:tr>
      <w:tr>
        <w:tc>
          <w:tcPr>
            <w:tcW w:type="dxa" w:w="3900"/>
            <w:tcBorders>
              <w:top w:val="single" w:color="D9D8D2" w:sz="3"/>
              <w:left w:val="none" w:color="FFFFFF" w:sz="0"/>
              <w:bottom w:val="single" w:color="D9D8D2" w:sz="3"/>
              <w:right w:val="none" w:color="FFFFFF" w:sz="0"/>
            </w:tcBorders>
            <w:tcMar>
              <w:top w:type="dxa" w:w="70"/>
              <w:left w:type="dxa" w:w="100"/>
              <w:bottom w:type="dxa" w:w="70"/>
              <w:right w:type="dxa" w:w="100"/>
            </w:tcMar>
            <w:vAlign w:val="top"/>
          </w:tcPr>
          <w:p>
            <w:pPr>
              <w:spacing w:after="0" w:line="250"/>
            </w:pPr>
            <w:r>
              <w:rPr>
                <w:rFonts w:ascii="Arial" w:cs="Arial" w:eastAsia="Arial" w:hAnsi="Arial"/>
                <w:color w:val="1A1A1A"/>
                <w:sz w:val="14"/>
                <w:szCs w:val="14"/>
              </w:rPr>
              <w:t xml:space="preserve">The realised-earnings base taxes distribution and disposal but not accrual, which is a deferral incentive whose system-level tendency is toward low-distribution, low-turnover, capital-growth assets - the same direction as the illiquid-allocation trend APRA has already identified as a system risk.</w:t>
            </w:r>
          </w:p>
        </w:tc>
        <w:tc>
          <w:tcPr>
            <w:tcW w:type="dxa" w:w="800"/>
            <w:tcBorders>
              <w:top w:val="single" w:color="D9D8D2" w:sz="3"/>
              <w:left w:val="none" w:color="FFFFFF" w:sz="0"/>
              <w:bottom w:val="single" w:color="D9D8D2" w:sz="3"/>
              <w:right w:val="none" w:color="FFFFFF" w:sz="0"/>
            </w:tcBorders>
            <w:tcMar>
              <w:top w:type="dxa" w:w="70"/>
              <w:left w:type="dxa" w:w="100"/>
              <w:bottom w:type="dxa" w:w="70"/>
              <w:right w:type="dxa" w:w="100"/>
            </w:tcMar>
            <w:vAlign w:val="top"/>
          </w:tcPr>
          <w:p>
            <w:pPr>
              <w:spacing w:after="0" w:line="250"/>
              <w:jc w:val="center"/>
            </w:pPr>
            <w:r>
              <w:rPr>
                <w:rFonts w:ascii="Arial" w:cs="Arial" w:eastAsia="Arial" w:hAnsi="Arial"/>
                <w:b/>
                <w:bCs/>
                <w:color w:val="E87722"/>
                <w:sz w:val="16"/>
                <w:szCs w:val="16"/>
              </w:rPr>
              <w:t xml:space="preserve">C</w:t>
            </w:r>
          </w:p>
        </w:tc>
        <w:tc>
          <w:tcPr>
            <w:tcW w:type="dxa" w:w="4306"/>
            <w:tcBorders>
              <w:top w:val="single" w:color="D9D8D2" w:sz="3"/>
              <w:left w:val="none" w:color="FFFFFF" w:sz="0"/>
              <w:bottom w:val="single" w:color="D9D8D2" w:sz="3"/>
              <w:right w:val="none" w:color="FFFFFF" w:sz="0"/>
            </w:tcBorders>
            <w:tcMar>
              <w:top w:type="dxa" w:w="70"/>
              <w:left w:type="dxa" w:w="100"/>
              <w:bottom w:type="dxa" w:w="70"/>
              <w:right w:type="dxa" w:w="100"/>
            </w:tcMar>
            <w:vAlign w:val="top"/>
          </w:tcPr>
          <w:p>
            <w:pPr>
              <w:spacing w:after="0" w:line="250"/>
            </w:pPr>
            <w:r>
              <w:rPr>
                <w:rFonts w:ascii="Arial" w:cs="Arial" w:eastAsia="Arial" w:hAnsi="Arial"/>
                <w:color w:val="52514E"/>
                <w:sz w:val="13"/>
                <w:szCs w:val="13"/>
              </w:rPr>
              <w:t xml:space="preserve">Original analytical proposition written for this meeting, unquantified. It is offered as the reason the system-level file should not be closed on the flow question alone, paired with the SRS 553.0 out-of-cycle valuation series (first reporting period the December 2025 quarter) as a clean pre-commencement monitoring baseline. No source makes this argument and no behavioural magnitude is claimed.</w:t>
            </w:r>
          </w:p>
        </w:tc>
        <w:tc>
          <w:tcPr>
            <w:tcW w:type="dxa" w:w="900"/>
            <w:tcBorders>
              <w:top w:val="single" w:color="D9D8D2" w:sz="3"/>
              <w:left w:val="none" w:color="FFFFFF" w:sz="0"/>
              <w:bottom w:val="single" w:color="D9D8D2" w:sz="3"/>
              <w:right w:val="none" w:color="FFFFFF" w:sz="0"/>
            </w:tcBorders>
            <w:tcMar>
              <w:top w:type="dxa" w:w="70"/>
              <w:left w:type="dxa" w:w="100"/>
              <w:bottom w:type="dxa" w:w="70"/>
              <w:right w:type="dxa" w:w="100"/>
            </w:tcMar>
            <w:vAlign w:val="top"/>
          </w:tcPr>
          <w:p>
            <w:pPr>
              <w:spacing w:after="0" w:line="250"/>
              <w:jc w:val="center"/>
            </w:pPr>
            <w:r>
              <w:rPr>
                <w:rFonts w:ascii="Arial" w:cs="Arial" w:eastAsia="Arial" w:hAnsi="Arial"/>
                <w:b/>
                <w:bCs/>
                <w:color w:val="E87722"/>
                <w:sz w:val="13"/>
                <w:szCs w:val="13"/>
              </w:rPr>
              <w:t xml:space="preserve">unverified</w:t>
            </w:r>
          </w:p>
        </w:tc>
      </w:tr>
      <w:tr>
        <w:tc>
          <w:tcPr>
            <w:tcW w:type="dxa" w:w="3900"/>
            <w:tcBorders>
              <w:top w:val="single" w:color="D9D8D2" w:sz="3"/>
              <w:left w:val="none" w:color="FFFFFF" w:sz="0"/>
              <w:bottom w:val="single" w:color="D9D8D2" w:sz="3"/>
              <w:right w:val="none" w:color="FFFFFF" w:sz="0"/>
            </w:tcBorders>
            <w:shd w:fill="EFEEE9" w:color="auto" w:val="clear"/>
            <w:tcMar>
              <w:top w:type="dxa" w:w="70"/>
              <w:left w:type="dxa" w:w="100"/>
              <w:bottom w:type="dxa" w:w="70"/>
              <w:right w:type="dxa" w:w="100"/>
            </w:tcMar>
            <w:vAlign w:val="top"/>
          </w:tcPr>
          <w:p>
            <w:pPr>
              <w:spacing w:after="0" w:line="250"/>
            </w:pPr>
            <w:r>
              <w:rPr>
                <w:rFonts w:ascii="Arial" w:cs="Arial" w:eastAsia="Arial" w:hAnsi="Arial"/>
                <w:color w:val="1A1A1A"/>
                <w:sz w:val="14"/>
                <w:szCs w:val="14"/>
              </w:rPr>
              <w:t xml:space="preserve">Third-party concentration is the largest operational fact about this measure: the calculation, attribution, ATO lodgement and release-authority payment will be delivered by a small number of shared administrators, custodians and external tax agents, so a methodology defect or build failure is a common-mode event across many funds in the same annual window, and accountability for the 'fair and reasonable' judgement is non-delegable even where a vendor computes it.</w:t>
            </w:r>
          </w:p>
        </w:tc>
        <w:tc>
          <w:tcPr>
            <w:tcW w:type="dxa" w:w="800"/>
            <w:tcBorders>
              <w:top w:val="single" w:color="D9D8D2" w:sz="3"/>
              <w:left w:val="none" w:color="FFFFFF" w:sz="0"/>
              <w:bottom w:val="single" w:color="D9D8D2" w:sz="3"/>
              <w:right w:val="none" w:color="FFFFFF" w:sz="0"/>
            </w:tcBorders>
            <w:shd w:fill="EFEEE9" w:color="auto" w:val="clear"/>
            <w:tcMar>
              <w:top w:type="dxa" w:w="70"/>
              <w:left w:type="dxa" w:w="100"/>
              <w:bottom w:type="dxa" w:w="70"/>
              <w:right w:type="dxa" w:w="100"/>
            </w:tcMar>
            <w:vAlign w:val="top"/>
          </w:tcPr>
          <w:p>
            <w:pPr>
              <w:spacing w:after="0" w:line="250"/>
              <w:jc w:val="center"/>
            </w:pPr>
            <w:r>
              <w:rPr>
                <w:rFonts w:ascii="Arial" w:cs="Arial" w:eastAsia="Arial" w:hAnsi="Arial"/>
                <w:b/>
                <w:bCs/>
                <w:color w:val="0072CE"/>
                <w:sz w:val="16"/>
                <w:szCs w:val="16"/>
              </w:rPr>
              <w:t xml:space="preserve">I</w:t>
            </w:r>
          </w:p>
        </w:tc>
        <w:tc>
          <w:tcPr>
            <w:tcW w:type="dxa" w:w="4306"/>
            <w:tcBorders>
              <w:top w:val="single" w:color="D9D8D2" w:sz="3"/>
              <w:left w:val="none" w:color="FFFFFF" w:sz="0"/>
              <w:bottom w:val="single" w:color="D9D8D2" w:sz="3"/>
              <w:right w:val="none" w:color="FFFFFF" w:sz="0"/>
            </w:tcBorders>
            <w:shd w:fill="EFEEE9" w:color="auto" w:val="clear"/>
            <w:tcMar>
              <w:top w:type="dxa" w:w="70"/>
              <w:left w:type="dxa" w:w="100"/>
              <w:bottom w:type="dxa" w:w="70"/>
              <w:right w:type="dxa" w:w="100"/>
            </w:tcMar>
            <w:vAlign w:val="top"/>
          </w:tcPr>
          <w:p>
            <w:pPr>
              <w:spacing w:after="0" w:line="250"/>
            </w:pPr>
            <w:r>
              <w:rPr>
                <w:rFonts w:ascii="Arial" w:cs="Arial" w:eastAsia="Arial" w:hAnsi="Arial"/>
                <w:color w:val="52514E"/>
                <w:sz w:val="13"/>
                <w:szCs w:val="13"/>
              </w:rPr>
              <w:t xml:space="preserve">Chain: (1) fund administration is a CPS 230 default critical operation and is predominantly outsourced across the sector; (2) CPS 230's service provider limb applies and APRA already holds material service provider registers submitted by 1 October 2025 for concentration-risk purposes; (3) shared administrators mean shared methodology, which produces consistency within a bloc and a cliff between blocs, and means boards will in substance adopt a vendor's judgement; (4) the trustee remains accountable. The concentration pattern is inferred from the structure of the sector, not from the registers themselves, which have not been analysed for this purpose - doing so is the recommended first step and requires no new collection.</w:t>
            </w:r>
          </w:p>
        </w:tc>
        <w:tc>
          <w:tcPr>
            <w:tcW w:type="dxa" w:w="900"/>
            <w:tcBorders>
              <w:top w:val="single" w:color="D9D8D2" w:sz="3"/>
              <w:left w:val="none" w:color="FFFFFF" w:sz="0"/>
              <w:bottom w:val="single" w:color="D9D8D2" w:sz="3"/>
              <w:right w:val="none" w:color="FFFFFF" w:sz="0"/>
            </w:tcBorders>
            <w:shd w:fill="EFEEE9" w:color="auto" w:val="clear"/>
            <w:tcMar>
              <w:top w:type="dxa" w:w="70"/>
              <w:left w:type="dxa" w:w="100"/>
              <w:bottom w:type="dxa" w:w="70"/>
              <w:right w:type="dxa" w:w="100"/>
            </w:tcMar>
            <w:vAlign w:val="top"/>
          </w:tcPr>
          <w:p>
            <w:pPr>
              <w:spacing w:after="0" w:line="250"/>
              <w:jc w:val="center"/>
            </w:pPr>
            <w:r>
              <w:rPr>
                <w:rFonts w:ascii="Arial" w:cs="Arial" w:eastAsia="Arial" w:hAnsi="Arial"/>
                <w:b/>
                <w:bCs/>
                <w:color w:val="E87722"/>
                <w:sz w:val="13"/>
                <w:szCs w:val="13"/>
              </w:rPr>
              <w:t xml:space="preserve">unverified</w:t>
            </w:r>
          </w:p>
        </w:tc>
      </w:tr>
      <w:tr>
        <w:tc>
          <w:tcPr>
            <w:tcW w:type="dxa" w:w="3900"/>
            <w:tcBorders>
              <w:top w:val="single" w:color="D9D8D2" w:sz="3"/>
              <w:left w:val="none" w:color="FFFFFF" w:sz="0"/>
              <w:bottom w:val="single" w:color="D9D8D2" w:sz="3"/>
              <w:right w:val="none" w:color="FFFFFF" w:sz="0"/>
            </w:tcBorders>
            <w:tcMar>
              <w:top w:type="dxa" w:w="70"/>
              <w:left w:type="dxa" w:w="100"/>
              <w:bottom w:type="dxa" w:w="70"/>
              <w:right w:type="dxa" w:w="100"/>
            </w:tcMar>
            <w:vAlign w:val="top"/>
          </w:tcPr>
          <w:p>
            <w:pPr>
              <w:spacing w:after="0" w:line="250"/>
            </w:pPr>
            <w:r>
              <w:rPr>
                <w:rFonts w:ascii="Arial" w:cs="Arial" w:eastAsia="Arial" w:hAnsi="Arial"/>
                <w:color w:val="1A1A1A"/>
                <w:sz w:val="14"/>
                <w:szCs w:val="14"/>
              </w:rPr>
              <w:t xml:space="preserve">Small APRA funds are APRA-regulated, have six or fewer members, and therefore fall on the prescribed-formula-plus-annual-actuarial-certificate side of the regime rather than the trustee-judgement side that the rest of the analysis addresses.</w:t>
            </w:r>
          </w:p>
        </w:tc>
        <w:tc>
          <w:tcPr>
            <w:tcW w:type="dxa" w:w="800"/>
            <w:tcBorders>
              <w:top w:val="single" w:color="D9D8D2" w:sz="3"/>
              <w:left w:val="none" w:color="FFFFFF" w:sz="0"/>
              <w:bottom w:val="single" w:color="D9D8D2" w:sz="3"/>
              <w:right w:val="none" w:color="FFFFFF" w:sz="0"/>
            </w:tcBorders>
            <w:tcMar>
              <w:top w:type="dxa" w:w="70"/>
              <w:left w:type="dxa" w:w="100"/>
              <w:bottom w:type="dxa" w:w="70"/>
              <w:right w:type="dxa" w:w="100"/>
            </w:tcMar>
            <w:vAlign w:val="top"/>
          </w:tcPr>
          <w:p>
            <w:pPr>
              <w:spacing w:after="0" w:line="250"/>
              <w:jc w:val="center"/>
            </w:pPr>
            <w:r>
              <w:rPr>
                <w:rFonts w:ascii="Arial" w:cs="Arial" w:eastAsia="Arial" w:hAnsi="Arial"/>
                <w:b/>
                <w:bCs/>
                <w:color w:val="0072CE"/>
                <w:sz w:val="16"/>
                <w:szCs w:val="16"/>
              </w:rPr>
              <w:t xml:space="preserve">I</w:t>
            </w:r>
          </w:p>
        </w:tc>
        <w:tc>
          <w:tcPr>
            <w:tcW w:type="dxa" w:w="4306"/>
            <w:tcBorders>
              <w:top w:val="single" w:color="D9D8D2" w:sz="3"/>
              <w:left w:val="none" w:color="FFFFFF" w:sz="0"/>
              <w:bottom w:val="single" w:color="D9D8D2" w:sz="3"/>
              <w:right w:val="none" w:color="FFFFFF" w:sz="0"/>
            </w:tcBorders>
            <w:tcMar>
              <w:top w:type="dxa" w:w="70"/>
              <w:left w:type="dxa" w:w="100"/>
              <w:bottom w:type="dxa" w:w="70"/>
              <w:right w:type="dxa" w:w="100"/>
            </w:tcMar>
            <w:vAlign w:val="top"/>
          </w:tcPr>
          <w:p>
            <w:pPr>
              <w:spacing w:after="0" w:line="250"/>
            </w:pPr>
            <w:r>
              <w:rPr>
                <w:rFonts w:ascii="Arial" w:cs="Arial" w:eastAsia="Arial" w:hAnsi="Arial"/>
                <w:color w:val="52514E"/>
                <w:sz w:val="13"/>
                <w:szCs w:val="13"/>
              </w:rPr>
              <w:t xml:space="preserve">Chain: (1) the regime splits at six members, not at SMSF versus APRA-regulated; (2) small APRA funds are defined by having no more than six members and are trusteed by RSE licensees APRA supervises; (3) therefore a subset of APRA's own supervised population faces a different legal mechanism, including a recurring annual actuarial certificate cost that may be uneconomic for very small funds. The fund count (approximately 673 at June 2025) was not re-verified this pass.</w:t>
            </w:r>
          </w:p>
        </w:tc>
        <w:tc>
          <w:tcPr>
            <w:tcW w:type="dxa" w:w="900"/>
            <w:tcBorders>
              <w:top w:val="single" w:color="D9D8D2" w:sz="3"/>
              <w:left w:val="none" w:color="FFFFFF" w:sz="0"/>
              <w:bottom w:val="single" w:color="D9D8D2" w:sz="3"/>
              <w:right w:val="none" w:color="FFFFFF" w:sz="0"/>
            </w:tcBorders>
            <w:tcMar>
              <w:top w:type="dxa" w:w="70"/>
              <w:left w:type="dxa" w:w="100"/>
              <w:bottom w:type="dxa" w:w="70"/>
              <w:right w:type="dxa" w:w="100"/>
            </w:tcMar>
            <w:vAlign w:val="top"/>
          </w:tcPr>
          <w:p>
            <w:pPr>
              <w:spacing w:after="0" w:line="250"/>
              <w:jc w:val="center"/>
            </w:pPr>
            <w:r>
              <w:rPr>
                <w:rFonts w:ascii="Arial" w:cs="Arial" w:eastAsia="Arial" w:hAnsi="Arial"/>
                <w:b/>
                <w:bCs/>
                <w:color w:val="E87722"/>
                <w:sz w:val="13"/>
                <w:szCs w:val="13"/>
              </w:rPr>
              <w:t xml:space="preserve">unverified</w:t>
            </w:r>
          </w:p>
        </w:tc>
      </w:tr>
      <w:tr>
        <w:tc>
          <w:tcPr>
            <w:tcW w:type="dxa" w:w="3900"/>
            <w:tcBorders>
              <w:top w:val="single" w:color="D9D8D2" w:sz="3"/>
              <w:left w:val="none" w:color="FFFFFF" w:sz="0"/>
              <w:bottom w:val="single" w:color="D9D8D2" w:sz="3"/>
              <w:right w:val="none" w:color="FFFFFF" w:sz="0"/>
            </w:tcBorders>
            <w:shd w:fill="EFEEE9" w:color="auto" w:val="clear"/>
            <w:tcMar>
              <w:top w:type="dxa" w:w="70"/>
              <w:left w:type="dxa" w:w="100"/>
              <w:bottom w:type="dxa" w:w="70"/>
              <w:right w:type="dxa" w:w="100"/>
            </w:tcMar>
            <w:vAlign w:val="top"/>
          </w:tcPr>
          <w:p>
            <w:pPr>
              <w:spacing w:after="0" w:line="250"/>
            </w:pPr>
            <w:r>
              <w:rPr>
                <w:rFonts w:ascii="Arial" w:cs="Arial" w:eastAsia="Arial" w:hAnsi="Arial"/>
                <w:color w:val="1A1A1A"/>
                <w:sz w:val="14"/>
                <w:szCs w:val="14"/>
              </w:rPr>
              <w:t xml:space="preserve">The Council of Financial Regulators is not the right forum for an APRA-ATO coordination question, because the CFR has four members - APRA, ASIC, Treasury and the RBA - and the ATO is not one of them.</w:t>
            </w:r>
          </w:p>
        </w:tc>
        <w:tc>
          <w:tcPr>
            <w:tcW w:type="dxa" w:w="800"/>
            <w:tcBorders>
              <w:top w:val="single" w:color="D9D8D2" w:sz="3"/>
              <w:left w:val="none" w:color="FFFFFF" w:sz="0"/>
              <w:bottom w:val="single" w:color="D9D8D2" w:sz="3"/>
              <w:right w:val="none" w:color="FFFFFF" w:sz="0"/>
            </w:tcBorders>
            <w:shd w:fill="EFEEE9" w:color="auto" w:val="clear"/>
            <w:tcMar>
              <w:top w:type="dxa" w:w="70"/>
              <w:left w:type="dxa" w:w="100"/>
              <w:bottom w:type="dxa" w:w="70"/>
              <w:right w:type="dxa" w:w="100"/>
            </w:tcMar>
            <w:vAlign w:val="top"/>
          </w:tcPr>
          <w:p>
            <w:pPr>
              <w:spacing w:after="0" w:line="250"/>
              <w:jc w:val="center"/>
            </w:pPr>
            <w:r>
              <w:rPr>
                <w:rFonts w:ascii="Arial" w:cs="Arial" w:eastAsia="Arial" w:hAnsi="Arial"/>
                <w:b/>
                <w:bCs/>
                <w:color w:val="00806D"/>
                <w:sz w:val="16"/>
                <w:szCs w:val="16"/>
              </w:rPr>
              <w:t xml:space="preserve">S</w:t>
            </w:r>
          </w:p>
        </w:tc>
        <w:tc>
          <w:tcPr>
            <w:tcW w:type="dxa" w:w="4306"/>
            <w:tcBorders>
              <w:top w:val="single" w:color="D9D8D2" w:sz="3"/>
              <w:left w:val="none" w:color="FFFFFF" w:sz="0"/>
              <w:bottom w:val="single" w:color="D9D8D2" w:sz="3"/>
              <w:right w:val="none" w:color="FFFFFF" w:sz="0"/>
            </w:tcBorders>
            <w:shd w:fill="EFEEE9" w:color="auto" w:val="clear"/>
            <w:tcMar>
              <w:top w:type="dxa" w:w="70"/>
              <w:left w:type="dxa" w:w="100"/>
              <w:bottom w:type="dxa" w:w="70"/>
              <w:right w:type="dxa" w:w="100"/>
            </w:tcMar>
            <w:vAlign w:val="top"/>
          </w:tcPr>
          <w:p>
            <w:pPr>
              <w:spacing w:after="0" w:line="250"/>
            </w:pPr>
            <w:r>
              <w:rPr>
                <w:rFonts w:ascii="Arial" w:cs="Arial" w:eastAsia="Arial" w:hAnsi="Arial"/>
                <w:color w:val="52514E"/>
                <w:sz w:val="13"/>
                <w:szCs w:val="13"/>
              </w:rPr>
              <w:t xml:space="preserve">CFR member agencies page (https://www.cfr.gov.au/about/member-agencies.html) - confirmed this pass. The note refers instead to the broader grouping that includes the ATO.</w:t>
            </w:r>
          </w:p>
        </w:tc>
        <w:tc>
          <w:tcPr>
            <w:tcW w:type="dxa" w:w="900"/>
            <w:tcBorders>
              <w:top w:val="single" w:color="D9D8D2" w:sz="3"/>
              <w:left w:val="none" w:color="FFFFFF" w:sz="0"/>
              <w:bottom w:val="single" w:color="D9D8D2" w:sz="3"/>
              <w:right w:val="none" w:color="FFFFFF" w:sz="0"/>
            </w:tcBorders>
            <w:shd w:fill="EFEEE9" w:color="auto" w:val="clear"/>
            <w:tcMar>
              <w:top w:type="dxa" w:w="70"/>
              <w:left w:type="dxa" w:w="100"/>
              <w:bottom w:type="dxa" w:w="70"/>
              <w:right w:type="dxa" w:w="100"/>
            </w:tcMar>
            <w:vAlign w:val="top"/>
          </w:tcPr>
          <w:p>
            <w:pPr>
              <w:spacing w:after="0" w:line="250"/>
              <w:jc w:val="center"/>
            </w:pPr>
            <w:r>
              <w:rPr>
                <w:rFonts w:ascii="Arial" w:cs="Arial" w:eastAsia="Arial" w:hAnsi="Arial"/>
                <w:b/>
                <w:bCs/>
                <w:color w:val="00806D"/>
                <w:sz w:val="13"/>
                <w:szCs w:val="13"/>
              </w:rPr>
              <w:t xml:space="preserve">verified</w:t>
            </w:r>
          </w:p>
        </w:tc>
      </w:tr>
      <w:tr>
        <w:tc>
          <w:tcPr>
            <w:tcW w:type="dxa" w:w="3900"/>
            <w:tcBorders>
              <w:top w:val="single" w:color="D9D8D2" w:sz="3"/>
              <w:left w:val="none" w:color="FFFFFF" w:sz="0"/>
              <w:bottom w:val="single" w:color="D9D8D2" w:sz="3"/>
              <w:right w:val="none" w:color="FFFFFF" w:sz="0"/>
            </w:tcBorders>
            <w:tcMar>
              <w:top w:type="dxa" w:w="70"/>
              <w:left w:type="dxa" w:w="100"/>
              <w:bottom w:type="dxa" w:w="70"/>
              <w:right w:type="dxa" w:w="100"/>
            </w:tcMar>
            <w:vAlign w:val="top"/>
          </w:tcPr>
          <w:p>
            <w:pPr>
              <w:spacing w:after="0" w:line="250"/>
            </w:pPr>
            <w:r>
              <w:rPr>
                <w:rFonts w:ascii="Arial" w:cs="Arial" w:eastAsia="Arial" w:hAnsi="Arial"/>
                <w:color w:val="1A1A1A"/>
                <w:sz w:val="14"/>
                <w:szCs w:val="14"/>
              </w:rPr>
              <w:t xml:space="preserve">Whether the ATO can lawfully provide APRA with member-level or fund-level Division 296 and total-balance data is a threshold legal question governed by the taxation secrecy provisions in Schedule 1 Division 355 of the TAA 1953 and by APRA's own secrecy obligations, and it is unresolved.</w:t>
            </w:r>
          </w:p>
        </w:tc>
        <w:tc>
          <w:tcPr>
            <w:tcW w:type="dxa" w:w="800"/>
            <w:tcBorders>
              <w:top w:val="single" w:color="D9D8D2" w:sz="3"/>
              <w:left w:val="none" w:color="FFFFFF" w:sz="0"/>
              <w:bottom w:val="single" w:color="D9D8D2" w:sz="3"/>
              <w:right w:val="none" w:color="FFFFFF" w:sz="0"/>
            </w:tcBorders>
            <w:tcMar>
              <w:top w:type="dxa" w:w="70"/>
              <w:left w:type="dxa" w:w="100"/>
              <w:bottom w:type="dxa" w:w="70"/>
              <w:right w:type="dxa" w:w="100"/>
            </w:tcMar>
            <w:vAlign w:val="top"/>
          </w:tcPr>
          <w:p>
            <w:pPr>
              <w:spacing w:after="0" w:line="250"/>
              <w:jc w:val="center"/>
            </w:pPr>
            <w:r>
              <w:rPr>
                <w:rFonts w:ascii="Arial" w:cs="Arial" w:eastAsia="Arial" w:hAnsi="Arial"/>
                <w:b/>
                <w:bCs/>
                <w:color w:val="0072CE"/>
                <w:sz w:val="16"/>
                <w:szCs w:val="16"/>
              </w:rPr>
              <w:t xml:space="preserve">I</w:t>
            </w:r>
          </w:p>
        </w:tc>
        <w:tc>
          <w:tcPr>
            <w:tcW w:type="dxa" w:w="4306"/>
            <w:tcBorders>
              <w:top w:val="single" w:color="D9D8D2" w:sz="3"/>
              <w:left w:val="none" w:color="FFFFFF" w:sz="0"/>
              <w:bottom w:val="single" w:color="D9D8D2" w:sz="3"/>
              <w:right w:val="none" w:color="FFFFFF" w:sz="0"/>
            </w:tcBorders>
            <w:tcMar>
              <w:top w:type="dxa" w:w="70"/>
              <w:left w:type="dxa" w:w="100"/>
              <w:bottom w:type="dxa" w:w="70"/>
              <w:right w:type="dxa" w:w="100"/>
            </w:tcMar>
            <w:vAlign w:val="top"/>
          </w:tcPr>
          <w:p>
            <w:pPr>
              <w:spacing w:after="0" w:line="250"/>
            </w:pPr>
            <w:r>
              <w:rPr>
                <w:rFonts w:ascii="Arial" w:cs="Arial" w:eastAsia="Arial" w:hAnsi="Arial"/>
                <w:color w:val="52514E"/>
                <w:sz w:val="13"/>
                <w:szCs w:val="13"/>
              </w:rPr>
              <w:t xml:space="preserve">Chain: (1) the note recommends an ATO data exchange as the principal answer to APRA's visibility problem; (2) ATO disclosure of protected information is restricted by statute with defined exceptions; (3) therefore the recommendation may require an amendment or a legislated exception rather than an administrative arrangement, and the existing APRA-ATO memorandum of understanding may not cover it. The Division 355 provisions were not read this pass; the point is raised as a question to be resolved before the recommendation is put externally, not as a legal conclusion.</w:t>
            </w:r>
          </w:p>
        </w:tc>
        <w:tc>
          <w:tcPr>
            <w:tcW w:type="dxa" w:w="900"/>
            <w:tcBorders>
              <w:top w:val="single" w:color="D9D8D2" w:sz="3"/>
              <w:left w:val="none" w:color="FFFFFF" w:sz="0"/>
              <w:bottom w:val="single" w:color="D9D8D2" w:sz="3"/>
              <w:right w:val="none" w:color="FFFFFF" w:sz="0"/>
            </w:tcBorders>
            <w:tcMar>
              <w:top w:type="dxa" w:w="70"/>
              <w:left w:type="dxa" w:w="100"/>
              <w:bottom w:type="dxa" w:w="70"/>
              <w:right w:type="dxa" w:w="100"/>
            </w:tcMar>
            <w:vAlign w:val="top"/>
          </w:tcPr>
          <w:p>
            <w:pPr>
              <w:spacing w:after="0" w:line="250"/>
              <w:jc w:val="center"/>
            </w:pPr>
            <w:r>
              <w:rPr>
                <w:rFonts w:ascii="Arial" w:cs="Arial" w:eastAsia="Arial" w:hAnsi="Arial"/>
                <w:b/>
                <w:bCs/>
                <w:color w:val="E87722"/>
                <w:sz w:val="13"/>
                <w:szCs w:val="13"/>
              </w:rPr>
              <w:t xml:space="preserve">unverified</w:t>
            </w:r>
          </w:p>
        </w:tc>
      </w:tr>
      <w:tr>
        <w:tc>
          <w:tcPr>
            <w:tcW w:type="dxa" w:w="3900"/>
            <w:tcBorders>
              <w:top w:val="single" w:color="D9D8D2" w:sz="3"/>
              <w:left w:val="none" w:color="FFFFFF" w:sz="0"/>
              <w:bottom w:val="single" w:color="D9D8D2" w:sz="3"/>
              <w:right w:val="none" w:color="FFFFFF" w:sz="0"/>
            </w:tcBorders>
            <w:shd w:fill="EFEEE9" w:color="auto" w:val="clear"/>
            <w:tcMar>
              <w:top w:type="dxa" w:w="70"/>
              <w:left w:type="dxa" w:w="100"/>
              <w:bottom w:type="dxa" w:w="70"/>
              <w:right w:type="dxa" w:w="100"/>
            </w:tcMar>
            <w:vAlign w:val="top"/>
          </w:tcPr>
          <w:p>
            <w:pPr>
              <w:spacing w:after="0" w:line="250"/>
            </w:pPr>
            <w:r>
              <w:rPr>
                <w:rFonts w:ascii="Arial" w:cs="Arial" w:eastAsia="Arial" w:hAnsi="Arial"/>
                <w:color w:val="1A1A1A"/>
                <w:sz w:val="14"/>
                <w:szCs w:val="14"/>
              </w:rPr>
              <w:t xml:space="preserve">The recommendations in this note are options for consideration, and the grading rule is stated on the page and applied mechanically, with any judgement override declared in one line.</w:t>
            </w:r>
          </w:p>
        </w:tc>
        <w:tc>
          <w:tcPr>
            <w:tcW w:type="dxa" w:w="800"/>
            <w:tcBorders>
              <w:top w:val="single" w:color="D9D8D2" w:sz="3"/>
              <w:left w:val="none" w:color="FFFFFF" w:sz="0"/>
              <w:bottom w:val="single" w:color="D9D8D2" w:sz="3"/>
              <w:right w:val="none" w:color="FFFFFF" w:sz="0"/>
            </w:tcBorders>
            <w:shd w:fill="EFEEE9" w:color="auto" w:val="clear"/>
            <w:tcMar>
              <w:top w:type="dxa" w:w="70"/>
              <w:left w:type="dxa" w:w="100"/>
              <w:bottom w:type="dxa" w:w="70"/>
              <w:right w:type="dxa" w:w="100"/>
            </w:tcMar>
            <w:vAlign w:val="top"/>
          </w:tcPr>
          <w:p>
            <w:pPr>
              <w:spacing w:after="0" w:line="250"/>
              <w:jc w:val="center"/>
            </w:pPr>
            <w:r>
              <w:rPr>
                <w:rFonts w:ascii="Arial" w:cs="Arial" w:eastAsia="Arial" w:hAnsi="Arial"/>
                <w:b/>
                <w:bCs/>
                <w:color w:val="E87722"/>
                <w:sz w:val="16"/>
                <w:szCs w:val="16"/>
              </w:rPr>
              <w:t xml:space="preserve">C</w:t>
            </w:r>
          </w:p>
        </w:tc>
        <w:tc>
          <w:tcPr>
            <w:tcW w:type="dxa" w:w="4306"/>
            <w:tcBorders>
              <w:top w:val="single" w:color="D9D8D2" w:sz="3"/>
              <w:left w:val="none" w:color="FFFFFF" w:sz="0"/>
              <w:bottom w:val="single" w:color="D9D8D2" w:sz="3"/>
              <w:right w:val="none" w:color="FFFFFF" w:sz="0"/>
            </w:tcBorders>
            <w:shd w:fill="EFEEE9" w:color="auto" w:val="clear"/>
            <w:tcMar>
              <w:top w:type="dxa" w:w="70"/>
              <w:left w:type="dxa" w:w="100"/>
              <w:bottom w:type="dxa" w:w="70"/>
              <w:right w:type="dxa" w:w="100"/>
            </w:tcMar>
            <w:vAlign w:val="top"/>
          </w:tcPr>
          <w:p>
            <w:pPr>
              <w:spacing w:after="0" w:line="250"/>
            </w:pPr>
            <w:r>
              <w:rPr>
                <w:rFonts w:ascii="Arial" w:cs="Arial" w:eastAsia="Arial" w:hAnsi="Arial"/>
                <w:color w:val="52514E"/>
                <w:sz w:val="13"/>
                <w:szCs w:val="13"/>
              </w:rPr>
              <w:t xml:space="preserve">Editorial and methodological decision for this meeting, made in response to review findings that the draft's grades were not monotonic in their own scores (two pairs of items with identical or dominating score vectors carried different grades) and that likelihood had been scored against whether a fact obtains rather than whether an adverse consequence crystallises in a named window. Likelihood is now stated as a dated proposition for each issue, and the A-grade count falls accordingly.</w:t>
            </w:r>
          </w:p>
        </w:tc>
        <w:tc>
          <w:tcPr>
            <w:tcW w:type="dxa" w:w="900"/>
            <w:tcBorders>
              <w:top w:val="single" w:color="D9D8D2" w:sz="3"/>
              <w:left w:val="none" w:color="FFFFFF" w:sz="0"/>
              <w:bottom w:val="single" w:color="D9D8D2" w:sz="3"/>
              <w:right w:val="none" w:color="FFFFFF" w:sz="0"/>
            </w:tcBorders>
            <w:shd w:fill="EFEEE9" w:color="auto" w:val="clear"/>
            <w:tcMar>
              <w:top w:type="dxa" w:w="70"/>
              <w:left w:type="dxa" w:w="100"/>
              <w:bottom w:type="dxa" w:w="70"/>
              <w:right w:type="dxa" w:w="100"/>
            </w:tcMar>
            <w:vAlign w:val="top"/>
          </w:tcPr>
          <w:p>
            <w:pPr>
              <w:spacing w:after="0" w:line="250"/>
              <w:jc w:val="center"/>
            </w:pPr>
            <w:r>
              <w:rPr>
                <w:rFonts w:ascii="Arial" w:cs="Arial" w:eastAsia="Arial" w:hAnsi="Arial"/>
                <w:b/>
                <w:bCs/>
                <w:color w:val="00806D"/>
                <w:sz w:val="13"/>
                <w:szCs w:val="13"/>
              </w:rPr>
              <w:t xml:space="preserve">verified</w:t>
            </w:r>
          </w:p>
        </w:tc>
      </w:tr>
    </w:tbl>
    <w:p>
      <w:r>
        <w:br w:type="page"/>
      </w:r>
    </w:p>
    <w:p>
      <w:pPr>
        <w:pBdr>
          <w:bottom w:val="single" w:color="0072CE" w:sz="6" w:space="4"/>
        </w:pBdr>
        <w:spacing w:after="100" w:before="0"/>
      </w:pPr>
      <w:r>
        <w:rPr>
          <w:rFonts w:ascii="Arial" w:cs="Arial" w:eastAsia="Arial" w:hAnsi="Arial"/>
          <w:b/>
          <w:bCs/>
          <w:color w:val="012169"/>
          <w:sz w:val="22"/>
          <w:szCs w:val="22"/>
        </w:rPr>
        <w:t xml:space="preserve">Annex D — Red-team challenge and disposition</w:t>
      </w:r>
    </w:p>
    <w:p>
      <w:pPr>
        <w:spacing w:after="120" w:before="0" w:line="264"/>
      </w:pPr>
      <w:r>
        <w:rPr>
          <w:rFonts w:ascii="Arial" w:cs="Arial" w:eastAsia="Arial" w:hAnsi="Arial"/>
          <w:color w:val="52514E"/>
          <w:sz w:val="17"/>
          <w:szCs w:val="17"/>
        </w:rPr>
        <w:t xml:space="preserve">The draft register was attacked by three independent adversarial reviewers before it reached this page: a hostile fact-checker instructed to refute rather than agree, a grading sceptic instructed to hunt for inflated ratings, and a completeness critic instructed to find what had been left out. Every challenge was dispositioned — accepted and fixed, partially accepted, or rejected with reasons. The table below is the full record, including the challenges rejected.</w:t>
      </w:r>
    </w:p>
    <w:tbl>
      <w:tblPr>
        <w:tblW w:type="dxa" w:w="990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300"/>
        <w:gridCol w:w="1500"/>
        <w:gridCol w:w="4106"/>
      </w:tblGrid>
      <w:tr>
        <w:trPr>
          <w:tblHeader/>
        </w:trPr>
        <w:tc>
          <w:tcPr>
            <w:tcW w:type="dxa" w:w="4300"/>
            <w:tcBorders>
              <w:top w:val="single" w:color="0072CE" w:sz="8"/>
              <w:left w:val="none" w:color="FFFFFF" w:sz="0"/>
              <w:bottom w:val="single" w:color="D9D8D2" w:sz="3"/>
              <w:right w:val="none" w:color="FFFFFF" w:sz="0"/>
            </w:tcBorders>
            <w:shd w:fill="F4F9FC" w:color="auto" w:val="clear"/>
            <w:tcMar>
              <w:top w:type="dxa" w:w="70"/>
              <w:left w:type="dxa" w:w="100"/>
              <w:bottom w:type="dxa" w:w="70"/>
              <w:right w:type="dxa" w:w="100"/>
            </w:tcMar>
            <w:vAlign w:val="top"/>
          </w:tcPr>
          <w:p>
            <w:pPr>
              <w:spacing w:after="0" w:line="240"/>
            </w:pPr>
            <w:r>
              <w:rPr>
                <w:rFonts w:ascii="Arial" w:cs="Arial" w:eastAsia="Arial" w:hAnsi="Arial"/>
                <w:b/>
                <w:bCs/>
                <w:caps/>
                <w:color w:val="012169"/>
                <w:sz w:val="15"/>
                <w:szCs w:val="15"/>
              </w:rPr>
              <w:t xml:space="preserve">Challenge raised</w:t>
            </w:r>
          </w:p>
        </w:tc>
        <w:tc>
          <w:tcPr>
            <w:tcW w:type="dxa" w:w="1500"/>
            <w:tcBorders>
              <w:top w:val="single" w:color="0072CE" w:sz="8"/>
              <w:left w:val="none" w:color="FFFFFF" w:sz="0"/>
              <w:bottom w:val="single" w:color="D9D8D2" w:sz="3"/>
              <w:right w:val="none" w:color="FFFFFF" w:sz="0"/>
            </w:tcBorders>
            <w:shd w:fill="F4F9FC" w:color="auto" w:val="clear"/>
            <w:tcMar>
              <w:top w:type="dxa" w:w="70"/>
              <w:left w:type="dxa" w:w="100"/>
              <w:bottom w:type="dxa" w:w="70"/>
              <w:right w:type="dxa" w:w="100"/>
            </w:tcMar>
            <w:vAlign w:val="top"/>
          </w:tcPr>
          <w:p>
            <w:pPr>
              <w:spacing w:after="0" w:line="240"/>
              <w:jc w:val="center"/>
            </w:pPr>
            <w:r>
              <w:rPr>
                <w:rFonts w:ascii="Arial" w:cs="Arial" w:eastAsia="Arial" w:hAnsi="Arial"/>
                <w:b/>
                <w:bCs/>
                <w:caps/>
                <w:color w:val="012169"/>
                <w:sz w:val="15"/>
                <w:szCs w:val="15"/>
              </w:rPr>
              <w:t xml:space="preserve">Outcome</w:t>
            </w:r>
          </w:p>
        </w:tc>
        <w:tc>
          <w:tcPr>
            <w:tcW w:type="dxa" w:w="4106"/>
            <w:tcBorders>
              <w:top w:val="single" w:color="0072CE" w:sz="8"/>
              <w:left w:val="none" w:color="FFFFFF" w:sz="0"/>
              <w:bottom w:val="single" w:color="D9D8D2" w:sz="3"/>
              <w:right w:val="none" w:color="FFFFFF" w:sz="0"/>
            </w:tcBorders>
            <w:shd w:fill="F4F9FC" w:color="auto" w:val="clear"/>
            <w:tcMar>
              <w:top w:type="dxa" w:w="70"/>
              <w:left w:type="dxa" w:w="100"/>
              <w:bottom w:type="dxa" w:w="70"/>
              <w:right w:type="dxa" w:w="100"/>
            </w:tcMar>
            <w:vAlign w:val="top"/>
          </w:tcPr>
          <w:p>
            <w:pPr>
              <w:spacing w:after="0" w:line="240"/>
            </w:pPr>
            <w:r>
              <w:rPr>
                <w:rFonts w:ascii="Arial" w:cs="Arial" w:eastAsia="Arial" w:hAnsi="Arial"/>
                <w:b/>
                <w:bCs/>
                <w:caps/>
                <w:color w:val="012169"/>
                <w:sz w:val="15"/>
                <w:szCs w:val="15"/>
              </w:rPr>
              <w:t xml:space="preserve">Reasoning</w:t>
            </w:r>
          </w:p>
        </w:tc>
      </w:tr>
      <w:tr>
        <w:tc>
          <w:tcPr>
            <w:tcW w:type="dxa" w:w="4300"/>
            <w:tcBorders>
              <w:top w:val="single" w:color="D9D8D2" w:sz="3"/>
              <w:left w:val="none" w:color="FFFFFF" w:sz="0"/>
              <w:bottom w:val="single" w:color="D9D8D2" w:sz="3"/>
              <w:right w:val="none" w:color="FFFFFF" w:sz="0"/>
            </w:tcBorders>
            <w:tcMar>
              <w:top w:type="dxa" w:w="70"/>
              <w:left w:type="dxa" w:w="100"/>
              <w:bottom w:type="dxa" w:w="70"/>
              <w:right w:type="dxa" w:w="100"/>
            </w:tcMar>
            <w:vAlign w:val="top"/>
          </w:tcPr>
          <w:p>
            <w:pPr>
              <w:spacing w:after="0" w:line="250"/>
            </w:pPr>
            <w:r>
              <w:rPr>
                <w:rFonts w:ascii="Arial" w:cs="Arial" w:eastAsia="Arial" w:hAnsi="Arial"/>
                <w:color w:val="1A1A1A"/>
                <w:sz w:val="14"/>
                <w:szCs w:val="14"/>
              </w:rPr>
              <w:t xml:space="preserve">FATAL. Consultation ask 8 quotes the ATO as being 'in the position of having retrospective law'. That statement is from June 2025 and is an artefact of the abandoned 1 July 2025 commencement; under the enacted law Assent (13 March 2026) precedes commencement (1 July 2026), so there is no retrospectivity.</w:t>
            </w:r>
          </w:p>
        </w:tc>
        <w:tc>
          <w:tcPr>
            <w:tcW w:type="dxa" w:w="1500"/>
            <w:tcBorders>
              <w:top w:val="single" w:color="D9D8D2" w:sz="3"/>
              <w:left w:val="none" w:color="FFFFFF" w:sz="0"/>
              <w:bottom w:val="single" w:color="D9D8D2" w:sz="3"/>
              <w:right w:val="none" w:color="FFFFFF" w:sz="0"/>
            </w:tcBorders>
            <w:tcMar>
              <w:top w:type="dxa" w:w="70"/>
              <w:left w:type="dxa" w:w="100"/>
              <w:bottom w:type="dxa" w:w="70"/>
              <w:right w:type="dxa" w:w="100"/>
            </w:tcMar>
            <w:vAlign w:val="top"/>
          </w:tcPr>
          <w:p>
            <w:pPr>
              <w:spacing w:after="0" w:line="250"/>
              <w:jc w:val="center"/>
            </w:pPr>
            <w:r>
              <w:rPr>
                <w:rFonts w:ascii="Arial" w:cs="Arial" w:eastAsia="Arial" w:hAnsi="Arial"/>
                <w:b/>
                <w:bCs/>
                <w:color w:val="00806D"/>
                <w:sz w:val="13"/>
                <w:szCs w:val="13"/>
              </w:rPr>
              <w:t xml:space="preserve">accepted and fixed</w:t>
            </w:r>
          </w:p>
        </w:tc>
        <w:tc>
          <w:tcPr>
            <w:tcW w:type="dxa" w:w="4106"/>
            <w:tcBorders>
              <w:top w:val="single" w:color="D9D8D2" w:sz="3"/>
              <w:left w:val="none" w:color="FFFFFF" w:sz="0"/>
              <w:bottom w:val="single" w:color="D9D8D2" w:sz="3"/>
              <w:right w:val="none" w:color="FFFFFF" w:sz="0"/>
            </w:tcBorders>
            <w:tcMar>
              <w:top w:type="dxa" w:w="70"/>
              <w:left w:type="dxa" w:w="100"/>
              <w:bottom w:type="dxa" w:w="70"/>
              <w:right w:type="dxa" w:w="100"/>
            </w:tcMar>
            <w:vAlign w:val="top"/>
          </w:tcPr>
          <w:p>
            <w:pPr>
              <w:spacing w:after="0" w:line="250"/>
            </w:pPr>
            <w:r>
              <w:rPr>
                <w:rFonts w:ascii="Arial" w:cs="Arial" w:eastAsia="Arial" w:hAnsi="Arial"/>
                <w:color w:val="52514E"/>
                <w:sz w:val="13"/>
                <w:szCs w:val="13"/>
              </w:rPr>
              <w:t xml:space="preserve">Correct and independently checked against the enacted timeline. Quote deleted. The successor fund transfer protocol ask survives on its own footing and is re-grounded on transfers spanning the 30 June 2027 measurement date. Carrying a stale-design quote into a CEO-level note is exactly the failure mode this pass exists to catch.</w:t>
            </w:r>
          </w:p>
        </w:tc>
      </w:tr>
      <w:tr>
        <w:tc>
          <w:tcPr>
            <w:tcW w:type="dxa" w:w="4300"/>
            <w:tcBorders>
              <w:top w:val="single" w:color="D9D8D2" w:sz="3"/>
              <w:left w:val="none" w:color="FFFFFF" w:sz="0"/>
              <w:bottom w:val="single" w:color="D9D8D2" w:sz="3"/>
              <w:right w:val="none" w:color="FFFFFF" w:sz="0"/>
            </w:tcBorders>
            <w:shd w:fill="EFEEE9" w:color="auto" w:val="clear"/>
            <w:tcMar>
              <w:top w:type="dxa" w:w="70"/>
              <w:left w:type="dxa" w:w="100"/>
              <w:bottom w:type="dxa" w:w="70"/>
              <w:right w:type="dxa" w:w="100"/>
            </w:tcMar>
            <w:vAlign w:val="top"/>
          </w:tcPr>
          <w:p>
            <w:pPr>
              <w:spacing w:after="0" w:line="250"/>
            </w:pPr>
            <w:r>
              <w:rPr>
                <w:rFonts w:ascii="Arial" w:cs="Arial" w:eastAsia="Arial" w:hAnsi="Arial"/>
                <w:color w:val="1A1A1A"/>
                <w:sz w:val="14"/>
                <w:szCs w:val="14"/>
              </w:rPr>
              <w:t xml:space="preserve">FATAL. Likelihood is scored against whether a fact is presently true rather than whether an adverse consequence occurs. All six likelihood-5 scores are present-tense certainties, which manufactures five of the six A grades.</w:t>
            </w:r>
          </w:p>
        </w:tc>
        <w:tc>
          <w:tcPr>
            <w:tcW w:type="dxa" w:w="1500"/>
            <w:tcBorders>
              <w:top w:val="single" w:color="D9D8D2" w:sz="3"/>
              <w:left w:val="none" w:color="FFFFFF" w:sz="0"/>
              <w:bottom w:val="single" w:color="D9D8D2" w:sz="3"/>
              <w:right w:val="none" w:color="FFFFFF" w:sz="0"/>
            </w:tcBorders>
            <w:shd w:fill="EFEEE9" w:color="auto" w:val="clear"/>
            <w:tcMar>
              <w:top w:type="dxa" w:w="70"/>
              <w:left w:type="dxa" w:w="100"/>
              <w:bottom w:type="dxa" w:w="70"/>
              <w:right w:type="dxa" w:w="100"/>
            </w:tcMar>
            <w:vAlign w:val="top"/>
          </w:tcPr>
          <w:p>
            <w:pPr>
              <w:spacing w:after="0" w:line="250"/>
              <w:jc w:val="center"/>
            </w:pPr>
            <w:r>
              <w:rPr>
                <w:rFonts w:ascii="Arial" w:cs="Arial" w:eastAsia="Arial" w:hAnsi="Arial"/>
                <w:b/>
                <w:bCs/>
                <w:color w:val="00806D"/>
                <w:sz w:val="13"/>
                <w:szCs w:val="13"/>
              </w:rPr>
              <w:t xml:space="preserve">accepted and fixed</w:t>
            </w:r>
          </w:p>
        </w:tc>
        <w:tc>
          <w:tcPr>
            <w:tcW w:type="dxa" w:w="4106"/>
            <w:tcBorders>
              <w:top w:val="single" w:color="D9D8D2" w:sz="3"/>
              <w:left w:val="none" w:color="FFFFFF" w:sz="0"/>
              <w:bottom w:val="single" w:color="D9D8D2" w:sz="3"/>
              <w:right w:val="none" w:color="FFFFFF" w:sz="0"/>
            </w:tcBorders>
            <w:shd w:fill="EFEEE9" w:color="auto" w:val="clear"/>
            <w:tcMar>
              <w:top w:type="dxa" w:w="70"/>
              <w:left w:type="dxa" w:w="100"/>
              <w:bottom w:type="dxa" w:w="70"/>
              <w:right w:type="dxa" w:w="100"/>
            </w:tcMar>
            <w:vAlign w:val="top"/>
          </w:tcPr>
          <w:p>
            <w:pPr>
              <w:spacing w:after="0" w:line="250"/>
            </w:pPr>
            <w:r>
              <w:rPr>
                <w:rFonts w:ascii="Arial" w:cs="Arial" w:eastAsia="Arial" w:hAnsi="Arial"/>
                <w:color w:val="52514E"/>
                <w:sz w:val="13"/>
                <w:szCs w:val="13"/>
              </w:rPr>
              <w:t xml:space="preserve">The criticism is methodologically decisive. Likelihood is redefined as P(named adverse consequence within a dated window) and every score restated as a dated proposition. Four of the six 5s fall to 2-3. A grades fall from six to three. No counter-argument available: a probability of 5 on a certainty is not a probability.</w:t>
            </w:r>
          </w:p>
        </w:tc>
      </w:tr>
      <w:tr>
        <w:tc>
          <w:tcPr>
            <w:tcW w:type="dxa" w:w="4300"/>
            <w:tcBorders>
              <w:top w:val="single" w:color="D9D8D2" w:sz="3"/>
              <w:left w:val="none" w:color="FFFFFF" w:sz="0"/>
              <w:bottom w:val="single" w:color="D9D8D2" w:sz="3"/>
              <w:right w:val="none" w:color="FFFFFF" w:sz="0"/>
            </w:tcBorders>
            <w:tcMar>
              <w:top w:type="dxa" w:w="70"/>
              <w:left w:type="dxa" w:w="100"/>
              <w:bottom w:type="dxa" w:w="70"/>
              <w:right w:type="dxa" w:w="100"/>
            </w:tcMar>
            <w:vAlign w:val="top"/>
          </w:tcPr>
          <w:p>
            <w:pPr>
              <w:spacing w:after="0" w:line="250"/>
            </w:pPr>
            <w:r>
              <w:rPr>
                <w:rFonts w:ascii="Arial" w:cs="Arial" w:eastAsia="Arial" w:hAnsi="Arial"/>
                <w:color w:val="1A1A1A"/>
                <w:sz w:val="14"/>
                <w:szCs w:val="14"/>
              </w:rPr>
              <w:t xml:space="preserve">FATAL. No stated rule maps materiality/likelihood/proximity to A/B/C, and the mapping is non-monotonic (P6 and P9 share a score vector but differ in grade; P15 dominates P14 but grades lower).</w:t>
            </w:r>
          </w:p>
        </w:tc>
        <w:tc>
          <w:tcPr>
            <w:tcW w:type="dxa" w:w="1500"/>
            <w:tcBorders>
              <w:top w:val="single" w:color="D9D8D2" w:sz="3"/>
              <w:left w:val="none" w:color="FFFFFF" w:sz="0"/>
              <w:bottom w:val="single" w:color="D9D8D2" w:sz="3"/>
              <w:right w:val="none" w:color="FFFFFF" w:sz="0"/>
            </w:tcBorders>
            <w:tcMar>
              <w:top w:type="dxa" w:w="70"/>
              <w:left w:type="dxa" w:w="100"/>
              <w:bottom w:type="dxa" w:w="70"/>
              <w:right w:type="dxa" w:w="100"/>
            </w:tcMar>
            <w:vAlign w:val="top"/>
          </w:tcPr>
          <w:p>
            <w:pPr>
              <w:spacing w:after="0" w:line="250"/>
              <w:jc w:val="center"/>
            </w:pPr>
            <w:r>
              <w:rPr>
                <w:rFonts w:ascii="Arial" w:cs="Arial" w:eastAsia="Arial" w:hAnsi="Arial"/>
                <w:b/>
                <w:bCs/>
                <w:color w:val="00806D"/>
                <w:sz w:val="13"/>
                <w:szCs w:val="13"/>
              </w:rPr>
              <w:t xml:space="preserve">accepted and fixed</w:t>
            </w:r>
          </w:p>
        </w:tc>
        <w:tc>
          <w:tcPr>
            <w:tcW w:type="dxa" w:w="4106"/>
            <w:tcBorders>
              <w:top w:val="single" w:color="D9D8D2" w:sz="3"/>
              <w:left w:val="none" w:color="FFFFFF" w:sz="0"/>
              <w:bottom w:val="single" w:color="D9D8D2" w:sz="3"/>
              <w:right w:val="none" w:color="FFFFFF" w:sz="0"/>
            </w:tcBorders>
            <w:tcMar>
              <w:top w:type="dxa" w:w="70"/>
              <w:left w:type="dxa" w:w="100"/>
              <w:bottom w:type="dxa" w:w="70"/>
              <w:right w:type="dxa" w:w="100"/>
            </w:tcMar>
            <w:vAlign w:val="top"/>
          </w:tcPr>
          <w:p>
            <w:pPr>
              <w:spacing w:after="0" w:line="250"/>
            </w:pPr>
            <w:r>
              <w:rPr>
                <w:rFonts w:ascii="Arial" w:cs="Arial" w:eastAsia="Arial" w:hAnsi="Arial"/>
                <w:color w:val="52514E"/>
                <w:sz w:val="13"/>
                <w:szCs w:val="13"/>
              </w:rPr>
              <w:t xml:space="preserve">Verified by adding the columns. Rule now stated on the page (A = proximity&gt;=4 and materiality&gt;=4 and likelihood&gt;=4; B = otherwise sum&gt;=10; C = sum&lt;10) and applied mechanically, with any judgement override stated in one line. An unstated rubric is indefensible in front of a reader who can do arithmetic.</w:t>
            </w:r>
          </w:p>
        </w:tc>
      </w:tr>
      <w:tr>
        <w:tc>
          <w:tcPr>
            <w:tcW w:type="dxa" w:w="4300"/>
            <w:tcBorders>
              <w:top w:val="single" w:color="D9D8D2" w:sz="3"/>
              <w:left w:val="none" w:color="FFFFFF" w:sz="0"/>
              <w:bottom w:val="single" w:color="D9D8D2" w:sz="3"/>
              <w:right w:val="none" w:color="FFFFFF" w:sz="0"/>
            </w:tcBorders>
            <w:shd w:fill="EFEEE9" w:color="auto" w:val="clear"/>
            <w:tcMar>
              <w:top w:type="dxa" w:w="70"/>
              <w:left w:type="dxa" w:w="100"/>
              <w:bottom w:type="dxa" w:w="70"/>
              <w:right w:type="dxa" w:w="100"/>
            </w:tcMar>
            <w:vAlign w:val="top"/>
          </w:tcPr>
          <w:p>
            <w:pPr>
              <w:spacing w:after="0" w:line="250"/>
            </w:pPr>
            <w:r>
              <w:rPr>
                <w:rFonts w:ascii="Arial" w:cs="Arial" w:eastAsia="Arial" w:hAnsi="Arial"/>
                <w:color w:val="1A1A1A"/>
                <w:sz w:val="14"/>
                <w:szCs w:val="14"/>
              </w:rPr>
              <w:t xml:space="preserve">FATAL. P6 grades a Division 296 outflow window as A while P16 finds this is not a liquidity event and instructs the note to open with that. The register contradicts itself on its own headline proposition.</w:t>
            </w:r>
          </w:p>
        </w:tc>
        <w:tc>
          <w:tcPr>
            <w:tcW w:type="dxa" w:w="1500"/>
            <w:tcBorders>
              <w:top w:val="single" w:color="D9D8D2" w:sz="3"/>
              <w:left w:val="none" w:color="FFFFFF" w:sz="0"/>
              <w:bottom w:val="single" w:color="D9D8D2" w:sz="3"/>
              <w:right w:val="none" w:color="FFFFFF" w:sz="0"/>
            </w:tcBorders>
            <w:shd w:fill="EFEEE9" w:color="auto" w:val="clear"/>
            <w:tcMar>
              <w:top w:type="dxa" w:w="70"/>
              <w:left w:type="dxa" w:w="100"/>
              <w:bottom w:type="dxa" w:w="70"/>
              <w:right w:type="dxa" w:w="100"/>
            </w:tcMar>
            <w:vAlign w:val="top"/>
          </w:tcPr>
          <w:p>
            <w:pPr>
              <w:spacing w:after="0" w:line="250"/>
              <w:jc w:val="center"/>
            </w:pPr>
            <w:r>
              <w:rPr>
                <w:rFonts w:ascii="Arial" w:cs="Arial" w:eastAsia="Arial" w:hAnsi="Arial"/>
                <w:b/>
                <w:bCs/>
                <w:color w:val="00806D"/>
                <w:sz w:val="13"/>
                <w:szCs w:val="13"/>
              </w:rPr>
              <w:t xml:space="preserve">accepted and fixed</w:t>
            </w:r>
          </w:p>
        </w:tc>
        <w:tc>
          <w:tcPr>
            <w:tcW w:type="dxa" w:w="4106"/>
            <w:tcBorders>
              <w:top w:val="single" w:color="D9D8D2" w:sz="3"/>
              <w:left w:val="none" w:color="FFFFFF" w:sz="0"/>
              <w:bottom w:val="single" w:color="D9D8D2" w:sz="3"/>
              <w:right w:val="none" w:color="FFFFFF" w:sz="0"/>
            </w:tcBorders>
            <w:shd w:fill="EFEEE9" w:color="auto" w:val="clear"/>
            <w:tcMar>
              <w:top w:type="dxa" w:w="70"/>
              <w:left w:type="dxa" w:w="100"/>
              <w:bottom w:type="dxa" w:w="70"/>
              <w:right w:type="dxa" w:w="100"/>
            </w:tcMar>
            <w:vAlign w:val="top"/>
          </w:tcPr>
          <w:p>
            <w:pPr>
              <w:spacing w:after="0" w:line="250"/>
            </w:pPr>
            <w:r>
              <w:rPr>
                <w:rFonts w:ascii="Arial" w:cs="Arial" w:eastAsia="Arial" w:hAnsi="Arial"/>
                <w:color w:val="52514E"/>
                <w:sz w:val="13"/>
                <w:szCs w:val="13"/>
              </w:rPr>
              <w:t xml:space="preserve">Genuine internal contradiction; whichever the reader saw second would discredit the other. Resolved in favour of P16, which is the better-evidenced position. P6 is demoted and folded into the liquidity item as 'tested and cleared, with two named exceptions' (illiquid member-directed options; the June 2027 transitional window).</w:t>
            </w:r>
          </w:p>
        </w:tc>
      </w:tr>
      <w:tr>
        <w:tc>
          <w:tcPr>
            <w:tcW w:type="dxa" w:w="4300"/>
            <w:tcBorders>
              <w:top w:val="single" w:color="D9D8D2" w:sz="3"/>
              <w:left w:val="none" w:color="FFFFFF" w:sz="0"/>
              <w:bottom w:val="single" w:color="D9D8D2" w:sz="3"/>
              <w:right w:val="none" w:color="FFFFFF" w:sz="0"/>
            </w:tcBorders>
            <w:tcMar>
              <w:top w:type="dxa" w:w="70"/>
              <w:left w:type="dxa" w:w="100"/>
              <w:bottom w:type="dxa" w:w="70"/>
              <w:right w:type="dxa" w:w="100"/>
            </w:tcMar>
            <w:vAlign w:val="top"/>
          </w:tcPr>
          <w:p>
            <w:pPr>
              <w:spacing w:after="0" w:line="250"/>
            </w:pPr>
            <w:r>
              <w:rPr>
                <w:rFonts w:ascii="Arial" w:cs="Arial" w:eastAsia="Arial" w:hAnsi="Arial"/>
                <w:color w:val="1A1A1A"/>
                <w:sz w:val="14"/>
                <w:szCs w:val="14"/>
              </w:rPr>
              <w:t xml:space="preserve">FATAL. P14 recommends APRA tell licensees not to build to the post-death attribution rule because it is 'draft'. It is not draft: the regulations were made 11 June and registered 18 June 2026 with the rule intact.</w:t>
            </w:r>
          </w:p>
        </w:tc>
        <w:tc>
          <w:tcPr>
            <w:tcW w:type="dxa" w:w="1500"/>
            <w:tcBorders>
              <w:top w:val="single" w:color="D9D8D2" w:sz="3"/>
              <w:left w:val="none" w:color="FFFFFF" w:sz="0"/>
              <w:bottom w:val="single" w:color="D9D8D2" w:sz="3"/>
              <w:right w:val="none" w:color="FFFFFF" w:sz="0"/>
            </w:tcBorders>
            <w:tcMar>
              <w:top w:type="dxa" w:w="70"/>
              <w:left w:type="dxa" w:w="100"/>
              <w:bottom w:type="dxa" w:w="70"/>
              <w:right w:type="dxa" w:w="100"/>
            </w:tcMar>
            <w:vAlign w:val="top"/>
          </w:tcPr>
          <w:p>
            <w:pPr>
              <w:spacing w:after="0" w:line="250"/>
              <w:jc w:val="center"/>
            </w:pPr>
            <w:r>
              <w:rPr>
                <w:rFonts w:ascii="Arial" w:cs="Arial" w:eastAsia="Arial" w:hAnsi="Arial"/>
                <w:b/>
                <w:bCs/>
                <w:color w:val="00806D"/>
                <w:sz w:val="13"/>
                <w:szCs w:val="13"/>
              </w:rPr>
              <w:t xml:space="preserve">accepted and fixed</w:t>
            </w:r>
          </w:p>
        </w:tc>
        <w:tc>
          <w:tcPr>
            <w:tcW w:type="dxa" w:w="4106"/>
            <w:tcBorders>
              <w:top w:val="single" w:color="D9D8D2" w:sz="3"/>
              <w:left w:val="none" w:color="FFFFFF" w:sz="0"/>
              <w:bottom w:val="single" w:color="D9D8D2" w:sz="3"/>
              <w:right w:val="none" w:color="FFFFFF" w:sz="0"/>
            </w:tcBorders>
            <w:tcMar>
              <w:top w:type="dxa" w:w="70"/>
              <w:left w:type="dxa" w:w="100"/>
              <w:bottom w:type="dxa" w:w="70"/>
              <w:right w:type="dxa" w:w="100"/>
            </w:tcMar>
            <w:vAlign w:val="top"/>
          </w:tcPr>
          <w:p>
            <w:pPr>
              <w:spacing w:after="0" w:line="250"/>
            </w:pPr>
            <w:r>
              <w:rPr>
                <w:rFonts w:ascii="Arial" w:cs="Arial" w:eastAsia="Arial" w:hAnsi="Arial"/>
                <w:color w:val="52514E"/>
                <w:sz w:val="13"/>
                <w:szCs w:val="13"/>
              </w:rPr>
              <w:t xml:space="preserve">This was the only recommendation in the register capable of causing direct harm if adopted - telling supervised entities not to implement operative law. Instruction deleted and inverted: the rule is made, licensees must build to it, and the supervisory question is how continued post-death attribution is reconciled with the duty to cash death benefits as soon as practicable. Treasury advocacy on the merits is retained but moved to the consultation list.</w:t>
            </w:r>
          </w:p>
        </w:tc>
      </w:tr>
      <w:tr>
        <w:tc>
          <w:tcPr>
            <w:tcW w:type="dxa" w:w="4300"/>
            <w:tcBorders>
              <w:top w:val="single" w:color="D9D8D2" w:sz="3"/>
              <w:left w:val="none" w:color="FFFFFF" w:sz="0"/>
              <w:bottom w:val="single" w:color="D9D8D2" w:sz="3"/>
              <w:right w:val="none" w:color="FFFFFF" w:sz="0"/>
            </w:tcBorders>
            <w:shd w:fill="EFEEE9" w:color="auto" w:val="clear"/>
            <w:tcMar>
              <w:top w:type="dxa" w:w="70"/>
              <w:left w:type="dxa" w:w="100"/>
              <w:bottom w:type="dxa" w:w="70"/>
              <w:right w:type="dxa" w:w="100"/>
            </w:tcMar>
            <w:vAlign w:val="top"/>
          </w:tcPr>
          <w:p>
            <w:pPr>
              <w:spacing w:after="0" w:line="250"/>
            </w:pPr>
            <w:r>
              <w:rPr>
                <w:rFonts w:ascii="Arial" w:cs="Arial" w:eastAsia="Arial" w:hAnsi="Arial"/>
                <w:color w:val="1A1A1A"/>
                <w:sz w:val="14"/>
                <w:szCs w:val="14"/>
              </w:rPr>
              <w:t xml:space="preserve">FATAL. P2 is graded A, labelled 'sourced', and rests on an unverified negative (APRA absent from the ATO working group / has published nothing), while ignoring bilateral Treasury-ATO-APRA engagement.</w:t>
            </w:r>
          </w:p>
        </w:tc>
        <w:tc>
          <w:tcPr>
            <w:tcW w:type="dxa" w:w="1500"/>
            <w:tcBorders>
              <w:top w:val="single" w:color="D9D8D2" w:sz="3"/>
              <w:left w:val="none" w:color="FFFFFF" w:sz="0"/>
              <w:bottom w:val="single" w:color="D9D8D2" w:sz="3"/>
              <w:right w:val="none" w:color="FFFFFF" w:sz="0"/>
            </w:tcBorders>
            <w:shd w:fill="EFEEE9" w:color="auto" w:val="clear"/>
            <w:tcMar>
              <w:top w:type="dxa" w:w="70"/>
              <w:left w:type="dxa" w:w="100"/>
              <w:bottom w:type="dxa" w:w="70"/>
              <w:right w:type="dxa" w:w="100"/>
            </w:tcMar>
            <w:vAlign w:val="top"/>
          </w:tcPr>
          <w:p>
            <w:pPr>
              <w:spacing w:after="0" w:line="250"/>
              <w:jc w:val="center"/>
            </w:pPr>
            <w:r>
              <w:rPr>
                <w:rFonts w:ascii="Arial" w:cs="Arial" w:eastAsia="Arial" w:hAnsi="Arial"/>
                <w:b/>
                <w:bCs/>
                <w:color w:val="00806D"/>
                <w:sz w:val="13"/>
                <w:szCs w:val="13"/>
              </w:rPr>
              <w:t xml:space="preserve">accepted and fixed</w:t>
            </w:r>
          </w:p>
        </w:tc>
        <w:tc>
          <w:tcPr>
            <w:tcW w:type="dxa" w:w="4106"/>
            <w:tcBorders>
              <w:top w:val="single" w:color="D9D8D2" w:sz="3"/>
              <w:left w:val="none" w:color="FFFFFF" w:sz="0"/>
              <w:bottom w:val="single" w:color="D9D8D2" w:sz="3"/>
              <w:right w:val="none" w:color="FFFFFF" w:sz="0"/>
            </w:tcBorders>
            <w:shd w:fill="EFEEE9" w:color="auto" w:val="clear"/>
            <w:tcMar>
              <w:top w:type="dxa" w:w="70"/>
              <w:left w:type="dxa" w:w="100"/>
              <w:bottom w:type="dxa" w:w="70"/>
              <w:right w:type="dxa" w:w="100"/>
            </w:tcMar>
            <w:vAlign w:val="top"/>
          </w:tcPr>
          <w:p>
            <w:pPr>
              <w:spacing w:after="0" w:line="250"/>
            </w:pPr>
            <w:r>
              <w:rPr>
                <w:rFonts w:ascii="Arial" w:cs="Arial" w:eastAsia="Arial" w:hAnsi="Arial"/>
                <w:color w:val="52514E"/>
                <w:sz w:val="13"/>
                <w:szCs w:val="13"/>
              </w:rPr>
              <w:t xml:space="preserve">Independently confirmed: APRA does engage bilaterally with Treasury and the ATO, and the outstanding calculation/attribution work is progressing through an ATO co-design process. The 'no voice / not in the room' framing was wrong and is removed. The item is no longer a graded prudential risk; it becomes an ungraded APRA action - formalise participation in the Division 296 workstream so a prudential perspective is contributed before the ruling reaches draft - and is written as an opportunity, not a criticism of current practice.</w:t>
            </w:r>
          </w:p>
        </w:tc>
      </w:tr>
      <w:tr>
        <w:tc>
          <w:tcPr>
            <w:tcW w:type="dxa" w:w="4300"/>
            <w:tcBorders>
              <w:top w:val="single" w:color="D9D8D2" w:sz="3"/>
              <w:left w:val="none" w:color="FFFFFF" w:sz="0"/>
              <w:bottom w:val="single" w:color="D9D8D2" w:sz="3"/>
              <w:right w:val="none" w:color="FFFFFF" w:sz="0"/>
            </w:tcBorders>
            <w:tcMar>
              <w:top w:type="dxa" w:w="70"/>
              <w:left w:type="dxa" w:w="100"/>
              <w:bottom w:type="dxa" w:w="70"/>
              <w:right w:type="dxa" w:w="100"/>
            </w:tcMar>
            <w:vAlign w:val="top"/>
          </w:tcPr>
          <w:p>
            <w:pPr>
              <w:spacing w:after="0" w:line="250"/>
            </w:pPr>
            <w:r>
              <w:rPr>
                <w:rFonts w:ascii="Arial" w:cs="Arial" w:eastAsia="Arial" w:hAnsi="Arial"/>
                <w:color w:val="1A1A1A"/>
                <w:sz w:val="14"/>
                <w:szCs w:val="14"/>
              </w:rPr>
              <w:t xml:space="preserve">FATAL. CPS 230 is cited five times and only ever the critical-operations limb. The service provider limb (concentration in a handful of administrators, custodians and tax agents building one Division 296 engine for many funds) is never engaged, despite APRA already holding the material service provider register.</w:t>
            </w:r>
          </w:p>
        </w:tc>
        <w:tc>
          <w:tcPr>
            <w:tcW w:type="dxa" w:w="1500"/>
            <w:tcBorders>
              <w:top w:val="single" w:color="D9D8D2" w:sz="3"/>
              <w:left w:val="none" w:color="FFFFFF" w:sz="0"/>
              <w:bottom w:val="single" w:color="D9D8D2" w:sz="3"/>
              <w:right w:val="none" w:color="FFFFFF" w:sz="0"/>
            </w:tcBorders>
            <w:tcMar>
              <w:top w:type="dxa" w:w="70"/>
              <w:left w:type="dxa" w:w="100"/>
              <w:bottom w:type="dxa" w:w="70"/>
              <w:right w:type="dxa" w:w="100"/>
            </w:tcMar>
            <w:vAlign w:val="top"/>
          </w:tcPr>
          <w:p>
            <w:pPr>
              <w:spacing w:after="0" w:line="250"/>
              <w:jc w:val="center"/>
            </w:pPr>
            <w:r>
              <w:rPr>
                <w:rFonts w:ascii="Arial" w:cs="Arial" w:eastAsia="Arial" w:hAnsi="Arial"/>
                <w:b/>
                <w:bCs/>
                <w:color w:val="00806D"/>
                <w:sz w:val="13"/>
                <w:szCs w:val="13"/>
              </w:rPr>
              <w:t xml:space="preserve">accepted and fixed</w:t>
            </w:r>
          </w:p>
        </w:tc>
        <w:tc>
          <w:tcPr>
            <w:tcW w:type="dxa" w:w="4106"/>
            <w:tcBorders>
              <w:top w:val="single" w:color="D9D8D2" w:sz="3"/>
              <w:left w:val="none" w:color="FFFFFF" w:sz="0"/>
              <w:bottom w:val="single" w:color="D9D8D2" w:sz="3"/>
              <w:right w:val="none" w:color="FFFFFF" w:sz="0"/>
            </w:tcBorders>
            <w:tcMar>
              <w:top w:type="dxa" w:w="70"/>
              <w:left w:type="dxa" w:w="100"/>
              <w:bottom w:type="dxa" w:w="70"/>
              <w:right w:type="dxa" w:w="100"/>
            </w:tcMar>
            <w:vAlign w:val="top"/>
          </w:tcPr>
          <w:p>
            <w:pPr>
              <w:spacing w:after="0" w:line="250"/>
            </w:pPr>
            <w:r>
              <w:rPr>
                <w:rFonts w:ascii="Arial" w:cs="Arial" w:eastAsia="Arial" w:hAnsi="Arial"/>
                <w:color w:val="52514E"/>
                <w:sz w:val="13"/>
                <w:szCs w:val="13"/>
              </w:rPr>
              <w:t xml:space="preserve">The largest structural hole and it undercuts the note's own claim that the exposure is operational. A standalone issue is added covering common-mode failure across client funds in a single correlated annual window, non-delegable trustee accountability where a vendor forms the methodology in substance, the 'administrator cannot deliver' failure mode, and the point that the concentration map already exists in the MSP register at zero collection cost. The CPS 230 framework verdict is rewritten as a two-limb assessment.</w:t>
            </w:r>
          </w:p>
        </w:tc>
      </w:tr>
      <w:tr>
        <w:tc>
          <w:tcPr>
            <w:tcW w:type="dxa" w:w="4300"/>
            <w:tcBorders>
              <w:top w:val="single" w:color="D9D8D2" w:sz="3"/>
              <w:left w:val="none" w:color="FFFFFF" w:sz="0"/>
              <w:bottom w:val="single" w:color="D9D8D2" w:sz="3"/>
              <w:right w:val="none" w:color="FFFFFF" w:sz="0"/>
            </w:tcBorders>
            <w:shd w:fill="EFEEE9" w:color="auto" w:val="clear"/>
            <w:tcMar>
              <w:top w:type="dxa" w:w="70"/>
              <w:left w:type="dxa" w:w="100"/>
              <w:bottom w:type="dxa" w:w="70"/>
              <w:right w:type="dxa" w:w="100"/>
            </w:tcMar>
            <w:vAlign w:val="top"/>
          </w:tcPr>
          <w:p>
            <w:pPr>
              <w:spacing w:after="0" w:line="250"/>
            </w:pPr>
            <w:r>
              <w:rPr>
                <w:rFonts w:ascii="Arial" w:cs="Arial" w:eastAsia="Arial" w:hAnsi="Arial"/>
                <w:color w:val="1A1A1A"/>
                <w:sz w:val="14"/>
                <w:szCs w:val="14"/>
              </w:rPr>
              <w:t xml:space="preserve">CPS 230 para 24 is misquoted throughout; the 'must manage its full range of operational risks' duty is para 24. Para 23 is senior management's duty to inform the Board.</w:t>
            </w:r>
          </w:p>
        </w:tc>
        <w:tc>
          <w:tcPr>
            <w:tcW w:type="dxa" w:w="1500"/>
            <w:tcBorders>
              <w:top w:val="single" w:color="D9D8D2" w:sz="3"/>
              <w:left w:val="none" w:color="FFFFFF" w:sz="0"/>
              <w:bottom w:val="single" w:color="D9D8D2" w:sz="3"/>
              <w:right w:val="none" w:color="FFFFFF" w:sz="0"/>
            </w:tcBorders>
            <w:shd w:fill="EFEEE9" w:color="auto" w:val="clear"/>
            <w:tcMar>
              <w:top w:type="dxa" w:w="70"/>
              <w:left w:type="dxa" w:w="100"/>
              <w:bottom w:type="dxa" w:w="70"/>
              <w:right w:type="dxa" w:w="100"/>
            </w:tcMar>
            <w:vAlign w:val="top"/>
          </w:tcPr>
          <w:p>
            <w:pPr>
              <w:spacing w:after="0" w:line="250"/>
              <w:jc w:val="center"/>
            </w:pPr>
            <w:r>
              <w:rPr>
                <w:rFonts w:ascii="Arial" w:cs="Arial" w:eastAsia="Arial" w:hAnsi="Arial"/>
                <w:b/>
                <w:bCs/>
                <w:color w:val="00806D"/>
                <w:sz w:val="13"/>
                <w:szCs w:val="13"/>
              </w:rPr>
              <w:t xml:space="preserve">accepted and fixed</w:t>
            </w:r>
          </w:p>
        </w:tc>
        <w:tc>
          <w:tcPr>
            <w:tcW w:type="dxa" w:w="4106"/>
            <w:tcBorders>
              <w:top w:val="single" w:color="D9D8D2" w:sz="3"/>
              <w:left w:val="none" w:color="FFFFFF" w:sz="0"/>
              <w:bottom w:val="single" w:color="D9D8D2" w:sz="3"/>
              <w:right w:val="none" w:color="FFFFFF" w:sz="0"/>
            </w:tcBorders>
            <w:shd w:fill="EFEEE9" w:color="auto" w:val="clear"/>
            <w:tcMar>
              <w:top w:type="dxa" w:w="70"/>
              <w:left w:type="dxa" w:w="100"/>
              <w:bottom w:type="dxa" w:w="70"/>
              <w:right w:type="dxa" w:w="100"/>
            </w:tcMar>
            <w:vAlign w:val="top"/>
          </w:tcPr>
          <w:p>
            <w:pPr>
              <w:spacing w:after="0" w:line="250"/>
            </w:pPr>
            <w:r>
              <w:rPr>
                <w:rFonts w:ascii="Arial" w:cs="Arial" w:eastAsia="Arial" w:hAnsi="Arial"/>
                <w:color w:val="52514E"/>
                <w:sz w:val="13"/>
                <w:szCs w:val="13"/>
              </w:rPr>
              <w:t xml:space="preserve">Independently verified. Corrected in P1, P3, P8 and both framework verdicts. A repeated off-by-one on the register's most-cited standard would have been corrected in the room.</w:t>
            </w:r>
          </w:p>
        </w:tc>
      </w:tr>
      <w:tr>
        <w:tc>
          <w:tcPr>
            <w:tcW w:type="dxa" w:w="4300"/>
            <w:tcBorders>
              <w:top w:val="single" w:color="D9D8D2" w:sz="3"/>
              <w:left w:val="none" w:color="FFFFFF" w:sz="0"/>
              <w:bottom w:val="single" w:color="D9D8D2" w:sz="3"/>
              <w:right w:val="none" w:color="FFFFFF" w:sz="0"/>
            </w:tcBorders>
            <w:tcMar>
              <w:top w:type="dxa" w:w="70"/>
              <w:left w:type="dxa" w:w="100"/>
              <w:bottom w:type="dxa" w:w="70"/>
              <w:right w:type="dxa" w:w="100"/>
            </w:tcMar>
            <w:vAlign w:val="top"/>
          </w:tcPr>
          <w:p>
            <w:pPr>
              <w:spacing w:after="0" w:line="250"/>
            </w:pPr>
            <w:r>
              <w:rPr>
                <w:rFonts w:ascii="Arial" w:cs="Arial" w:eastAsia="Arial" w:hAnsi="Arial"/>
                <w:color w:val="1A1A1A"/>
                <w:sz w:val="14"/>
                <w:szCs w:val="14"/>
              </w:rPr>
              <w:t xml:space="preserve">SPS 530 para 31 is not the investment stress testing programme; para 31 is, confirmed by para 38's own cross-reference.</w:t>
            </w:r>
          </w:p>
        </w:tc>
        <w:tc>
          <w:tcPr>
            <w:tcW w:type="dxa" w:w="1500"/>
            <w:tcBorders>
              <w:top w:val="single" w:color="D9D8D2" w:sz="3"/>
              <w:left w:val="none" w:color="FFFFFF" w:sz="0"/>
              <w:bottom w:val="single" w:color="D9D8D2" w:sz="3"/>
              <w:right w:val="none" w:color="FFFFFF" w:sz="0"/>
            </w:tcBorders>
            <w:tcMar>
              <w:top w:type="dxa" w:w="70"/>
              <w:left w:type="dxa" w:w="100"/>
              <w:bottom w:type="dxa" w:w="70"/>
              <w:right w:type="dxa" w:w="100"/>
            </w:tcMar>
            <w:vAlign w:val="top"/>
          </w:tcPr>
          <w:p>
            <w:pPr>
              <w:spacing w:after="0" w:line="250"/>
              <w:jc w:val="center"/>
            </w:pPr>
            <w:r>
              <w:rPr>
                <w:rFonts w:ascii="Arial" w:cs="Arial" w:eastAsia="Arial" w:hAnsi="Arial"/>
                <w:b/>
                <w:bCs/>
                <w:color w:val="00806D"/>
                <w:sz w:val="13"/>
                <w:szCs w:val="13"/>
              </w:rPr>
              <w:t xml:space="preserve">accepted and fixed</w:t>
            </w:r>
          </w:p>
        </w:tc>
        <w:tc>
          <w:tcPr>
            <w:tcW w:type="dxa" w:w="4106"/>
            <w:tcBorders>
              <w:top w:val="single" w:color="D9D8D2" w:sz="3"/>
              <w:left w:val="none" w:color="FFFFFF" w:sz="0"/>
              <w:bottom w:val="single" w:color="D9D8D2" w:sz="3"/>
              <w:right w:val="none" w:color="FFFFFF" w:sz="0"/>
            </w:tcBorders>
            <w:tcMar>
              <w:top w:type="dxa" w:w="70"/>
              <w:left w:type="dxa" w:w="100"/>
              <w:bottom w:type="dxa" w:w="70"/>
              <w:right w:type="dxa" w:w="100"/>
            </w:tcMar>
            <w:vAlign w:val="top"/>
          </w:tcPr>
          <w:p>
            <w:pPr>
              <w:spacing w:after="0" w:line="250"/>
            </w:pPr>
            <w:r>
              <w:rPr>
                <w:rFonts w:ascii="Arial" w:cs="Arial" w:eastAsia="Arial" w:hAnsi="Arial"/>
                <w:color w:val="52514E"/>
                <w:sz w:val="13"/>
                <w:szCs w:val="13"/>
              </w:rPr>
              <w:t xml:space="preserve">Independently verified. Citation changed to para 31 and the range restated as paras 31-38 throughout. Para 36(d)/(e) references are unaffected and retained.</w:t>
            </w:r>
          </w:p>
        </w:tc>
      </w:tr>
      <w:tr>
        <w:tc>
          <w:tcPr>
            <w:tcW w:type="dxa" w:w="4300"/>
            <w:tcBorders>
              <w:top w:val="single" w:color="D9D8D2" w:sz="3"/>
              <w:left w:val="none" w:color="FFFFFF" w:sz="0"/>
              <w:bottom w:val="single" w:color="D9D8D2" w:sz="3"/>
              <w:right w:val="none" w:color="FFFFFF" w:sz="0"/>
            </w:tcBorders>
            <w:shd w:fill="EFEEE9" w:color="auto" w:val="clear"/>
            <w:tcMar>
              <w:top w:type="dxa" w:w="70"/>
              <w:left w:type="dxa" w:w="100"/>
              <w:bottom w:type="dxa" w:w="70"/>
              <w:right w:type="dxa" w:w="100"/>
            </w:tcMar>
            <w:vAlign w:val="top"/>
          </w:tcPr>
          <w:p>
            <w:pPr>
              <w:spacing w:after="0" w:line="250"/>
            </w:pPr>
            <w:r>
              <w:rPr>
                <w:rFonts w:ascii="Arial" w:cs="Arial" w:eastAsia="Arial" w:hAnsi="Arial"/>
                <w:color w:val="1A1A1A"/>
                <w:sz w:val="14"/>
                <w:szCs w:val="14"/>
              </w:rPr>
              <w:t xml:space="preserve">The elective 30 June 2026 cost-base reset is available to small funds - SMSFs and small APRA funds - not to SMSFs alone. The legislated boundary is fund size, not SMSF versus APRA-regulated, which weakens P7's perimeter framing.</w:t>
            </w:r>
          </w:p>
        </w:tc>
        <w:tc>
          <w:tcPr>
            <w:tcW w:type="dxa" w:w="1500"/>
            <w:tcBorders>
              <w:top w:val="single" w:color="D9D8D2" w:sz="3"/>
              <w:left w:val="none" w:color="FFFFFF" w:sz="0"/>
              <w:bottom w:val="single" w:color="D9D8D2" w:sz="3"/>
              <w:right w:val="none" w:color="FFFFFF" w:sz="0"/>
            </w:tcBorders>
            <w:shd w:fill="EFEEE9" w:color="auto" w:val="clear"/>
            <w:tcMar>
              <w:top w:type="dxa" w:w="70"/>
              <w:left w:type="dxa" w:w="100"/>
              <w:bottom w:type="dxa" w:w="70"/>
              <w:right w:type="dxa" w:w="100"/>
            </w:tcMar>
            <w:vAlign w:val="top"/>
          </w:tcPr>
          <w:p>
            <w:pPr>
              <w:spacing w:after="0" w:line="250"/>
              <w:jc w:val="center"/>
            </w:pPr>
            <w:r>
              <w:rPr>
                <w:rFonts w:ascii="Arial" w:cs="Arial" w:eastAsia="Arial" w:hAnsi="Arial"/>
                <w:b/>
                <w:bCs/>
                <w:color w:val="00806D"/>
                <w:sz w:val="13"/>
                <w:szCs w:val="13"/>
              </w:rPr>
              <w:t xml:space="preserve">accepted and fixed</w:t>
            </w:r>
          </w:p>
        </w:tc>
        <w:tc>
          <w:tcPr>
            <w:tcW w:type="dxa" w:w="4106"/>
            <w:tcBorders>
              <w:top w:val="single" w:color="D9D8D2" w:sz="3"/>
              <w:left w:val="none" w:color="FFFFFF" w:sz="0"/>
              <w:bottom w:val="single" w:color="D9D8D2" w:sz="3"/>
              <w:right w:val="none" w:color="FFFFFF" w:sz="0"/>
            </w:tcBorders>
            <w:shd w:fill="EFEEE9" w:color="auto" w:val="clear"/>
            <w:tcMar>
              <w:top w:type="dxa" w:w="70"/>
              <w:left w:type="dxa" w:w="100"/>
              <w:bottom w:type="dxa" w:w="70"/>
              <w:right w:type="dxa" w:w="100"/>
            </w:tcMar>
            <w:vAlign w:val="top"/>
          </w:tcPr>
          <w:p>
            <w:pPr>
              <w:spacing w:after="0" w:line="250"/>
            </w:pPr>
            <w:r>
              <w:rPr>
                <w:rFonts w:ascii="Arial" w:cs="Arial" w:eastAsia="Arial" w:hAnsi="Arial"/>
                <w:color w:val="52514E"/>
                <w:sz w:val="13"/>
                <w:szCs w:val="13"/>
              </w:rPr>
              <w:t xml:space="preserve">Correct and consequential: small APRA funds sit inside APRA's own perimeter and on the favourable side of the line. P7 is restated around the size boundary, and the perimeter argument (migration to SMSFs) is separated from the design-asymmetry argument (large funds and pooled superannuation trusts disadvantaged against small funds, including APRA-regulated ones).</w:t>
            </w:r>
          </w:p>
        </w:tc>
      </w:tr>
      <w:tr>
        <w:tc>
          <w:tcPr>
            <w:tcW w:type="dxa" w:w="4300"/>
            <w:tcBorders>
              <w:top w:val="single" w:color="D9D8D2" w:sz="3"/>
              <w:left w:val="none" w:color="FFFFFF" w:sz="0"/>
              <w:bottom w:val="single" w:color="D9D8D2" w:sz="3"/>
              <w:right w:val="none" w:color="FFFFFF" w:sz="0"/>
            </w:tcBorders>
            <w:tcMar>
              <w:top w:type="dxa" w:w="70"/>
              <w:left w:type="dxa" w:w="100"/>
              <w:bottom w:type="dxa" w:w="70"/>
              <w:right w:type="dxa" w:w="100"/>
            </w:tcMar>
            <w:vAlign w:val="top"/>
          </w:tcPr>
          <w:p>
            <w:pPr>
              <w:spacing w:after="0" w:line="250"/>
            </w:pPr>
            <w:r>
              <w:rPr>
                <w:rFonts w:ascii="Arial" w:cs="Arial" w:eastAsia="Arial" w:hAnsi="Arial"/>
                <w:color w:val="1A1A1A"/>
                <w:sz w:val="14"/>
                <w:szCs w:val="14"/>
              </w:rPr>
              <w:t xml:space="preserve">Four load-bearing quotes attributed to 2026 ATO Superannuation Administration Group key messages are in fact from the 17 June 2025 meeting; a reader following the citations will not find them.</w:t>
            </w:r>
          </w:p>
        </w:tc>
        <w:tc>
          <w:tcPr>
            <w:tcW w:type="dxa" w:w="1500"/>
            <w:tcBorders>
              <w:top w:val="single" w:color="D9D8D2" w:sz="3"/>
              <w:left w:val="none" w:color="FFFFFF" w:sz="0"/>
              <w:bottom w:val="single" w:color="D9D8D2" w:sz="3"/>
              <w:right w:val="none" w:color="FFFFFF" w:sz="0"/>
            </w:tcBorders>
            <w:tcMar>
              <w:top w:type="dxa" w:w="70"/>
              <w:left w:type="dxa" w:w="100"/>
              <w:bottom w:type="dxa" w:w="70"/>
              <w:right w:type="dxa" w:w="100"/>
            </w:tcMar>
            <w:vAlign w:val="top"/>
          </w:tcPr>
          <w:p>
            <w:pPr>
              <w:spacing w:after="0" w:line="250"/>
              <w:jc w:val="center"/>
            </w:pPr>
            <w:r>
              <w:rPr>
                <w:rFonts w:ascii="Arial" w:cs="Arial" w:eastAsia="Arial" w:hAnsi="Arial"/>
                <w:b/>
                <w:bCs/>
                <w:color w:val="00806D"/>
                <w:sz w:val="13"/>
                <w:szCs w:val="13"/>
              </w:rPr>
              <w:t xml:space="preserve">accepted and fixed</w:t>
            </w:r>
          </w:p>
        </w:tc>
        <w:tc>
          <w:tcPr>
            <w:tcW w:type="dxa" w:w="4106"/>
            <w:tcBorders>
              <w:top w:val="single" w:color="D9D8D2" w:sz="3"/>
              <w:left w:val="none" w:color="FFFFFF" w:sz="0"/>
              <w:bottom w:val="single" w:color="D9D8D2" w:sz="3"/>
              <w:right w:val="none" w:color="FFFFFF" w:sz="0"/>
            </w:tcBorders>
            <w:tcMar>
              <w:top w:type="dxa" w:w="70"/>
              <w:left w:type="dxa" w:w="100"/>
              <w:bottom w:type="dxa" w:w="70"/>
              <w:right w:type="dxa" w:w="100"/>
            </w:tcMar>
            <w:vAlign w:val="top"/>
          </w:tcPr>
          <w:p>
            <w:pPr>
              <w:spacing w:after="0" w:line="250"/>
            </w:pPr>
            <w:r>
              <w:rPr>
                <w:rFonts w:ascii="Arial" w:cs="Arial" w:eastAsia="Arial" w:hAnsi="Arial"/>
                <w:color w:val="52514E"/>
                <w:sz w:val="13"/>
                <w:szCs w:val="13"/>
              </w:rPr>
              <w:t xml:space="preserve">Provenance failure. All four re-cited to the 17 June 2025 meeting with its own URL and each flagged as predating the October 2025 redesign and the made regulations, so a reader can judge whether it has been overtaken. This also drove the fatal 'retrospective law' error.</w:t>
            </w:r>
          </w:p>
        </w:tc>
      </w:tr>
      <w:tr>
        <w:tc>
          <w:tcPr>
            <w:tcW w:type="dxa" w:w="4300"/>
            <w:tcBorders>
              <w:top w:val="single" w:color="D9D8D2" w:sz="3"/>
              <w:left w:val="none" w:color="FFFFFF" w:sz="0"/>
              <w:bottom w:val="single" w:color="D9D8D2" w:sz="3"/>
              <w:right w:val="none" w:color="FFFFFF" w:sz="0"/>
            </w:tcBorders>
            <w:shd w:fill="EFEEE9" w:color="auto" w:val="clear"/>
            <w:tcMar>
              <w:top w:type="dxa" w:w="70"/>
              <w:left w:type="dxa" w:w="100"/>
              <w:bottom w:type="dxa" w:w="70"/>
              <w:right w:type="dxa" w:w="100"/>
            </w:tcMar>
            <w:vAlign w:val="top"/>
          </w:tcPr>
          <w:p>
            <w:pPr>
              <w:spacing w:after="0" w:line="250"/>
            </w:pPr>
            <w:r>
              <w:rPr>
                <w:rFonts w:ascii="Arial" w:cs="Arial" w:eastAsia="Arial" w:hAnsi="Arial"/>
                <w:color w:val="1A1A1A"/>
                <w:sz w:val="14"/>
                <w:szCs w:val="14"/>
              </w:rPr>
              <w:t xml:space="preserve">P13 recommends APRA push back on reuse of the Division 293 SuperStream codes, without disclosing that ASFA expressly asked the ATO to reuse that channel on cost grounds.</w:t>
            </w:r>
          </w:p>
        </w:tc>
        <w:tc>
          <w:tcPr>
            <w:tcW w:type="dxa" w:w="1500"/>
            <w:tcBorders>
              <w:top w:val="single" w:color="D9D8D2" w:sz="3"/>
              <w:left w:val="none" w:color="FFFFFF" w:sz="0"/>
              <w:bottom w:val="single" w:color="D9D8D2" w:sz="3"/>
              <w:right w:val="none" w:color="FFFFFF" w:sz="0"/>
            </w:tcBorders>
            <w:shd w:fill="EFEEE9" w:color="auto" w:val="clear"/>
            <w:tcMar>
              <w:top w:type="dxa" w:w="70"/>
              <w:left w:type="dxa" w:w="100"/>
              <w:bottom w:type="dxa" w:w="70"/>
              <w:right w:type="dxa" w:w="100"/>
            </w:tcMar>
            <w:vAlign w:val="top"/>
          </w:tcPr>
          <w:p>
            <w:pPr>
              <w:spacing w:after="0" w:line="250"/>
              <w:jc w:val="center"/>
            </w:pPr>
            <w:r>
              <w:rPr>
                <w:rFonts w:ascii="Arial" w:cs="Arial" w:eastAsia="Arial" w:hAnsi="Arial"/>
                <w:b/>
                <w:bCs/>
                <w:color w:val="00806D"/>
                <w:sz w:val="13"/>
                <w:szCs w:val="13"/>
              </w:rPr>
              <w:t xml:space="preserve">accepted and fixed</w:t>
            </w:r>
          </w:p>
        </w:tc>
        <w:tc>
          <w:tcPr>
            <w:tcW w:type="dxa" w:w="4106"/>
            <w:tcBorders>
              <w:top w:val="single" w:color="D9D8D2" w:sz="3"/>
              <w:left w:val="none" w:color="FFFFFF" w:sz="0"/>
              <w:bottom w:val="single" w:color="D9D8D2" w:sz="3"/>
              <w:right w:val="none" w:color="FFFFFF" w:sz="0"/>
            </w:tcBorders>
            <w:shd w:fill="EFEEE9" w:color="auto" w:val="clear"/>
            <w:tcMar>
              <w:top w:type="dxa" w:w="70"/>
              <w:left w:type="dxa" w:w="100"/>
              <w:bottom w:type="dxa" w:w="70"/>
              <w:right w:type="dxa" w:w="100"/>
            </w:tcMar>
            <w:vAlign w:val="top"/>
          </w:tcPr>
          <w:p>
            <w:pPr>
              <w:spacing w:after="0" w:line="250"/>
            </w:pPr>
            <w:r>
              <w:rPr>
                <w:rFonts w:ascii="Arial" w:cs="Arial" w:eastAsia="Arial" w:hAnsi="Arial"/>
                <w:color w:val="52514E"/>
                <w:sz w:val="13"/>
                <w:szCs w:val="13"/>
              </w:rPr>
              <w:t xml:space="preserve">Briefing the Chair to advocate against the peak body's stated position without saying so is indefensible. ASFA's request is disclosed and the ask is reframed to a machine-readable Division 296 flag on the existing message plus a commitment that the flow can be isolated in fund and regulator reporting - which meets APRA's classification objective without the build cost ASFA is guarding.</w:t>
            </w:r>
          </w:p>
        </w:tc>
      </w:tr>
      <w:tr>
        <w:tc>
          <w:tcPr>
            <w:tcW w:type="dxa" w:w="4300"/>
            <w:tcBorders>
              <w:top w:val="single" w:color="D9D8D2" w:sz="3"/>
              <w:left w:val="none" w:color="FFFFFF" w:sz="0"/>
              <w:bottom w:val="single" w:color="D9D8D2" w:sz="3"/>
              <w:right w:val="none" w:color="FFFFFF" w:sz="0"/>
            </w:tcBorders>
            <w:tcMar>
              <w:top w:type="dxa" w:w="70"/>
              <w:left w:type="dxa" w:w="100"/>
              <w:bottom w:type="dxa" w:w="70"/>
              <w:right w:type="dxa" w:w="100"/>
            </w:tcMar>
            <w:vAlign w:val="top"/>
          </w:tcPr>
          <w:p>
            <w:pPr>
              <w:spacing w:after="0" w:line="250"/>
            </w:pPr>
            <w:r>
              <w:rPr>
                <w:rFonts w:ascii="Arial" w:cs="Arial" w:eastAsia="Arial" w:hAnsi="Arial"/>
                <w:color w:val="1A1A1A"/>
                <w:sz w:val="14"/>
                <w:szCs w:val="14"/>
              </w:rPr>
              <w:t xml:space="preserve">The $2,018bn and 18.7m accounts belong to the 23 licensees reviewed, not the 12 requiring material improvement. The register roughly doubles the apparent scale of the adverse finding.</w:t>
            </w:r>
          </w:p>
        </w:tc>
        <w:tc>
          <w:tcPr>
            <w:tcW w:type="dxa" w:w="1500"/>
            <w:tcBorders>
              <w:top w:val="single" w:color="D9D8D2" w:sz="3"/>
              <w:left w:val="none" w:color="FFFFFF" w:sz="0"/>
              <w:bottom w:val="single" w:color="D9D8D2" w:sz="3"/>
              <w:right w:val="none" w:color="FFFFFF" w:sz="0"/>
            </w:tcBorders>
            <w:tcMar>
              <w:top w:type="dxa" w:w="70"/>
              <w:left w:type="dxa" w:w="100"/>
              <w:bottom w:type="dxa" w:w="70"/>
              <w:right w:type="dxa" w:w="100"/>
            </w:tcMar>
            <w:vAlign w:val="top"/>
          </w:tcPr>
          <w:p>
            <w:pPr>
              <w:spacing w:after="0" w:line="250"/>
              <w:jc w:val="center"/>
            </w:pPr>
            <w:r>
              <w:rPr>
                <w:rFonts w:ascii="Arial" w:cs="Arial" w:eastAsia="Arial" w:hAnsi="Arial"/>
                <w:b/>
                <w:bCs/>
                <w:color w:val="00806D"/>
                <w:sz w:val="13"/>
                <w:szCs w:val="13"/>
              </w:rPr>
              <w:t xml:space="preserve">accepted and fixed</w:t>
            </w:r>
          </w:p>
        </w:tc>
        <w:tc>
          <w:tcPr>
            <w:tcW w:type="dxa" w:w="4106"/>
            <w:tcBorders>
              <w:top w:val="single" w:color="D9D8D2" w:sz="3"/>
              <w:left w:val="none" w:color="FFFFFF" w:sz="0"/>
              <w:bottom w:val="single" w:color="D9D8D2" w:sz="3"/>
              <w:right w:val="none" w:color="FFFFFF" w:sz="0"/>
            </w:tcBorders>
            <w:tcMar>
              <w:top w:type="dxa" w:w="70"/>
              <w:left w:type="dxa" w:w="100"/>
              <w:bottom w:type="dxa" w:w="70"/>
              <w:right w:type="dxa" w:w="100"/>
            </w:tcMar>
            <w:vAlign w:val="top"/>
          </w:tcPr>
          <w:p>
            <w:pPr>
              <w:spacing w:after="0" w:line="250"/>
            </w:pPr>
            <w:r>
              <w:rPr>
                <w:rFonts w:ascii="Arial" w:cs="Arial" w:eastAsia="Arial" w:hAnsi="Arial"/>
                <w:color w:val="52514E"/>
                <w:sz w:val="13"/>
                <w:szCs w:val="13"/>
              </w:rPr>
              <w:t xml:space="preserve">Verified against APRA's own December 2024 publication. Restated so the review scope, the 12, and the eight-licensee liquidity subgroup (27% of funds under management, 5.4m accounts) are separately attributed. This is the number most likely to be repeated verbatim and then corrected.</w:t>
            </w:r>
          </w:p>
        </w:tc>
      </w:tr>
      <w:tr>
        <w:tc>
          <w:tcPr>
            <w:tcW w:type="dxa" w:w="4300"/>
            <w:tcBorders>
              <w:top w:val="single" w:color="D9D8D2" w:sz="3"/>
              <w:left w:val="none" w:color="FFFFFF" w:sz="0"/>
              <w:bottom w:val="single" w:color="D9D8D2" w:sz="3"/>
              <w:right w:val="none" w:color="FFFFFF" w:sz="0"/>
            </w:tcBorders>
            <w:shd w:fill="EFEEE9" w:color="auto" w:val="clear"/>
            <w:tcMar>
              <w:top w:type="dxa" w:w="70"/>
              <w:left w:type="dxa" w:w="100"/>
              <w:bottom w:type="dxa" w:w="70"/>
              <w:right w:type="dxa" w:w="100"/>
            </w:tcMar>
            <w:vAlign w:val="top"/>
          </w:tcPr>
          <w:p>
            <w:pPr>
              <w:spacing w:after="0" w:line="250"/>
            </w:pPr>
            <w:r>
              <w:rPr>
                <w:rFonts w:ascii="Arial" w:cs="Arial" w:eastAsia="Arial" w:hAnsi="Arial"/>
                <w:color w:val="1A1A1A"/>
                <w:sz w:val="14"/>
                <w:szCs w:val="14"/>
              </w:rPr>
              <w:t xml:space="preserve">P5 builds a named supervisory shortlist on CSS at 23.58% of accounts above $1m while P10 disclaims the same entity's balance-bracket data as a probable reporting artefact.</w:t>
            </w:r>
          </w:p>
        </w:tc>
        <w:tc>
          <w:tcPr>
            <w:tcW w:type="dxa" w:w="1500"/>
            <w:tcBorders>
              <w:top w:val="single" w:color="D9D8D2" w:sz="3"/>
              <w:left w:val="none" w:color="FFFFFF" w:sz="0"/>
              <w:bottom w:val="single" w:color="D9D8D2" w:sz="3"/>
              <w:right w:val="none" w:color="FFFFFF" w:sz="0"/>
            </w:tcBorders>
            <w:shd w:fill="EFEEE9" w:color="auto" w:val="clear"/>
            <w:tcMar>
              <w:top w:type="dxa" w:w="70"/>
              <w:left w:type="dxa" w:w="100"/>
              <w:bottom w:type="dxa" w:w="70"/>
              <w:right w:type="dxa" w:w="100"/>
            </w:tcMar>
            <w:vAlign w:val="top"/>
          </w:tcPr>
          <w:p>
            <w:pPr>
              <w:spacing w:after="0" w:line="250"/>
              <w:jc w:val="center"/>
            </w:pPr>
            <w:r>
              <w:rPr>
                <w:rFonts w:ascii="Arial" w:cs="Arial" w:eastAsia="Arial" w:hAnsi="Arial"/>
                <w:b/>
                <w:bCs/>
                <w:color w:val="00806D"/>
                <w:sz w:val="13"/>
                <w:szCs w:val="13"/>
              </w:rPr>
              <w:t xml:space="preserve">accepted and fixed</w:t>
            </w:r>
          </w:p>
        </w:tc>
        <w:tc>
          <w:tcPr>
            <w:tcW w:type="dxa" w:w="4106"/>
            <w:tcBorders>
              <w:top w:val="single" w:color="D9D8D2" w:sz="3"/>
              <w:left w:val="none" w:color="FFFFFF" w:sz="0"/>
              <w:bottom w:val="single" w:color="D9D8D2" w:sz="3"/>
              <w:right w:val="none" w:color="FFFFFF" w:sz="0"/>
            </w:tcBorders>
            <w:shd w:fill="EFEEE9" w:color="auto" w:val="clear"/>
            <w:tcMar>
              <w:top w:type="dxa" w:w="70"/>
              <w:left w:type="dxa" w:w="100"/>
              <w:bottom w:type="dxa" w:w="70"/>
              <w:right w:type="dxa" w:w="100"/>
            </w:tcMar>
            <w:vAlign w:val="top"/>
          </w:tcPr>
          <w:p>
            <w:pPr>
              <w:spacing w:after="0" w:line="250"/>
            </w:pPr>
            <w:r>
              <w:rPr>
                <w:rFonts w:ascii="Arial" w:cs="Arial" w:eastAsia="Arial" w:hAnsi="Arial"/>
                <w:color w:val="52514E"/>
                <w:sz w:val="13"/>
                <w:szCs w:val="13"/>
              </w:rPr>
              <w:t xml:space="preserve">The register cannot rely on a figure in one issue and disclaim it in another. CSS is moved to 'subject to data verification' pending confirmation with Commonwealth Superannuation Corporation, and the CSS headline number is struck. The shortlist survives on the platform and wrap cohort, which does not depend on the disputed data.</w:t>
            </w:r>
          </w:p>
        </w:tc>
      </w:tr>
      <w:tr>
        <w:tc>
          <w:tcPr>
            <w:tcW w:type="dxa" w:w="4300"/>
            <w:tcBorders>
              <w:top w:val="single" w:color="D9D8D2" w:sz="3"/>
              <w:left w:val="none" w:color="FFFFFF" w:sz="0"/>
              <w:bottom w:val="single" w:color="D9D8D2" w:sz="3"/>
              <w:right w:val="none" w:color="FFFFFF" w:sz="0"/>
            </w:tcBorders>
            <w:tcMar>
              <w:top w:type="dxa" w:w="70"/>
              <w:left w:type="dxa" w:w="100"/>
              <w:bottom w:type="dxa" w:w="70"/>
              <w:right w:type="dxa" w:w="100"/>
            </w:tcMar>
            <w:vAlign w:val="top"/>
          </w:tcPr>
          <w:p>
            <w:pPr>
              <w:spacing w:after="0" w:line="250"/>
            </w:pPr>
            <w:r>
              <w:rPr>
                <w:rFonts w:ascii="Arial" w:cs="Arial" w:eastAsia="Arial" w:hAnsi="Arial"/>
                <w:color w:val="1A1A1A"/>
                <w:sz w:val="14"/>
                <w:szCs w:val="14"/>
              </w:rPr>
              <w:t xml:space="preserve">The ATO law companion ruling quote is cited to the advice-under-development page, which does not contain it - and the same page is simultaneously cited for the finding that no Division 296 item appears on it.</w:t>
            </w:r>
          </w:p>
        </w:tc>
        <w:tc>
          <w:tcPr>
            <w:tcW w:type="dxa" w:w="1500"/>
            <w:tcBorders>
              <w:top w:val="single" w:color="D9D8D2" w:sz="3"/>
              <w:left w:val="none" w:color="FFFFFF" w:sz="0"/>
              <w:bottom w:val="single" w:color="D9D8D2" w:sz="3"/>
              <w:right w:val="none" w:color="FFFFFF" w:sz="0"/>
            </w:tcBorders>
            <w:tcMar>
              <w:top w:type="dxa" w:w="70"/>
              <w:left w:type="dxa" w:w="100"/>
              <w:bottom w:type="dxa" w:w="70"/>
              <w:right w:type="dxa" w:w="100"/>
            </w:tcMar>
            <w:vAlign w:val="top"/>
          </w:tcPr>
          <w:p>
            <w:pPr>
              <w:spacing w:after="0" w:line="250"/>
              <w:jc w:val="center"/>
            </w:pPr>
            <w:r>
              <w:rPr>
                <w:rFonts w:ascii="Arial" w:cs="Arial" w:eastAsia="Arial" w:hAnsi="Arial"/>
                <w:b/>
                <w:bCs/>
                <w:color w:val="00806D"/>
                <w:sz w:val="13"/>
                <w:szCs w:val="13"/>
              </w:rPr>
              <w:t xml:space="preserve">accepted and fixed</w:t>
            </w:r>
          </w:p>
        </w:tc>
        <w:tc>
          <w:tcPr>
            <w:tcW w:type="dxa" w:w="4106"/>
            <w:tcBorders>
              <w:top w:val="single" w:color="D9D8D2" w:sz="3"/>
              <w:left w:val="none" w:color="FFFFFF" w:sz="0"/>
              <w:bottom w:val="single" w:color="D9D8D2" w:sz="3"/>
              <w:right w:val="none" w:color="FFFFFF" w:sz="0"/>
            </w:tcBorders>
            <w:tcMar>
              <w:top w:type="dxa" w:w="70"/>
              <w:left w:type="dxa" w:w="100"/>
              <w:bottom w:type="dxa" w:w="70"/>
              <w:right w:type="dxa" w:w="100"/>
            </w:tcMar>
            <w:vAlign w:val="top"/>
          </w:tcPr>
          <w:p>
            <w:pPr>
              <w:spacing w:after="0" w:line="250"/>
            </w:pPr>
            <w:r>
              <w:rPr>
                <w:rFonts w:ascii="Arial" w:cs="Arial" w:eastAsia="Arial" w:hAnsi="Arial"/>
                <w:color w:val="52514E"/>
                <w:sz w:val="13"/>
                <w:szCs w:val="13"/>
              </w:rPr>
              <w:t xml:space="preserve">Both cannot be true of one page. The negative finding is retained against that URL; the drafting statement is either re-cited to its actual source or, if it cannot be located, dropped to a gap. No citation is retained on a page that does not carry the quoted words.</w:t>
            </w:r>
          </w:p>
        </w:tc>
      </w:tr>
      <w:tr>
        <w:tc>
          <w:tcPr>
            <w:tcW w:type="dxa" w:w="4300"/>
            <w:tcBorders>
              <w:top w:val="single" w:color="D9D8D2" w:sz="3"/>
              <w:left w:val="none" w:color="FFFFFF" w:sz="0"/>
              <w:bottom w:val="single" w:color="D9D8D2" w:sz="3"/>
              <w:right w:val="none" w:color="FFFFFF" w:sz="0"/>
            </w:tcBorders>
            <w:shd w:fill="EFEEE9" w:color="auto" w:val="clear"/>
            <w:tcMar>
              <w:top w:type="dxa" w:w="70"/>
              <w:left w:type="dxa" w:w="100"/>
              <w:bottom w:type="dxa" w:w="70"/>
              <w:right w:type="dxa" w:w="100"/>
            </w:tcMar>
            <w:vAlign w:val="top"/>
          </w:tcPr>
          <w:p>
            <w:pPr>
              <w:spacing w:after="0" w:line="250"/>
            </w:pPr>
            <w:r>
              <w:rPr>
                <w:rFonts w:ascii="Arial" w:cs="Arial" w:eastAsia="Arial" w:hAnsi="Arial"/>
                <w:color w:val="1A1A1A"/>
                <w:sz w:val="14"/>
                <w:szCs w:val="14"/>
              </w:rPr>
              <w:t xml:space="preserve">P16's 'one fifteenth of a peak stress-test month' mixes numerators - it uses the APRA-side $0.9bn for the lump-sum comparison and the whole-system $2.3bn for the stress-test comparison; the unexplained 0.4-1.1% range has no stated basis.</w:t>
            </w:r>
          </w:p>
        </w:tc>
        <w:tc>
          <w:tcPr>
            <w:tcW w:type="dxa" w:w="1500"/>
            <w:tcBorders>
              <w:top w:val="single" w:color="D9D8D2" w:sz="3"/>
              <w:left w:val="none" w:color="FFFFFF" w:sz="0"/>
              <w:bottom w:val="single" w:color="D9D8D2" w:sz="3"/>
              <w:right w:val="none" w:color="FFFFFF" w:sz="0"/>
            </w:tcBorders>
            <w:shd w:fill="EFEEE9" w:color="auto" w:val="clear"/>
            <w:tcMar>
              <w:top w:type="dxa" w:w="70"/>
              <w:left w:type="dxa" w:w="100"/>
              <w:bottom w:type="dxa" w:w="70"/>
              <w:right w:type="dxa" w:w="100"/>
            </w:tcMar>
            <w:vAlign w:val="top"/>
          </w:tcPr>
          <w:p>
            <w:pPr>
              <w:spacing w:after="0" w:line="250"/>
              <w:jc w:val="center"/>
            </w:pPr>
            <w:r>
              <w:rPr>
                <w:rFonts w:ascii="Arial" w:cs="Arial" w:eastAsia="Arial" w:hAnsi="Arial"/>
                <w:b/>
                <w:bCs/>
                <w:color w:val="00806D"/>
                <w:sz w:val="13"/>
                <w:szCs w:val="13"/>
              </w:rPr>
              <w:t xml:space="preserve">accepted and fixed</w:t>
            </w:r>
          </w:p>
        </w:tc>
        <w:tc>
          <w:tcPr>
            <w:tcW w:type="dxa" w:w="4106"/>
            <w:tcBorders>
              <w:top w:val="single" w:color="D9D8D2" w:sz="3"/>
              <w:left w:val="none" w:color="FFFFFF" w:sz="0"/>
              <w:bottom w:val="single" w:color="D9D8D2" w:sz="3"/>
              <w:right w:val="none" w:color="FFFFFF" w:sz="0"/>
            </w:tcBorders>
            <w:shd w:fill="EFEEE9" w:color="auto" w:val="clear"/>
            <w:tcMar>
              <w:top w:type="dxa" w:w="70"/>
              <w:left w:type="dxa" w:w="100"/>
              <w:bottom w:type="dxa" w:w="70"/>
              <w:right w:type="dxa" w:w="100"/>
            </w:tcMar>
            <w:vAlign w:val="top"/>
          </w:tcPr>
          <w:p>
            <w:pPr>
              <w:spacing w:after="0" w:line="250"/>
            </w:pPr>
            <w:r>
              <w:rPr>
                <w:rFonts w:ascii="Arial" w:cs="Arial" w:eastAsia="Arial" w:hAnsi="Arial"/>
                <w:color w:val="52514E"/>
                <w:sz w:val="13"/>
                <w:szCs w:val="13"/>
              </w:rPr>
              <w:t xml:space="preserve">Arithmetic checked and the criticism holds. One numerator is now used throughout ($0.9bn APRA-side): about 1.1% of annual lump sums, about 0.03% of assets, about 3% of a single peak stress-test month. The unexplained range is deleted. This is the sentence the note proposes to open with, so it must survive arithmetic.</w:t>
            </w:r>
          </w:p>
        </w:tc>
      </w:tr>
      <w:tr>
        <w:tc>
          <w:tcPr>
            <w:tcW w:type="dxa" w:w="4300"/>
            <w:tcBorders>
              <w:top w:val="single" w:color="D9D8D2" w:sz="3"/>
              <w:left w:val="none" w:color="FFFFFF" w:sz="0"/>
              <w:bottom w:val="single" w:color="D9D8D2" w:sz="3"/>
              <w:right w:val="none" w:color="FFFFFF" w:sz="0"/>
            </w:tcBorders>
            <w:tcMar>
              <w:top w:type="dxa" w:w="70"/>
              <w:left w:type="dxa" w:w="100"/>
              <w:bottom w:type="dxa" w:w="70"/>
              <w:right w:type="dxa" w:w="100"/>
            </w:tcMar>
            <w:vAlign w:val="top"/>
          </w:tcPr>
          <w:p>
            <w:pPr>
              <w:spacing w:after="0" w:line="250"/>
            </w:pPr>
            <w:r>
              <w:rPr>
                <w:rFonts w:ascii="Arial" w:cs="Arial" w:eastAsia="Arial" w:hAnsi="Arial"/>
                <w:color w:val="1A1A1A"/>
                <w:sz w:val="14"/>
                <w:szCs w:val="14"/>
              </w:rPr>
              <w:t xml:space="preserve">'Met it without selling a single unlisted asset' is categorical; APRA's own wording is that funds largely avoided selling unlisted assets, meeting the shock primarily through listed equities.</w:t>
            </w:r>
          </w:p>
        </w:tc>
        <w:tc>
          <w:tcPr>
            <w:tcW w:type="dxa" w:w="1500"/>
            <w:tcBorders>
              <w:top w:val="single" w:color="D9D8D2" w:sz="3"/>
              <w:left w:val="none" w:color="FFFFFF" w:sz="0"/>
              <w:bottom w:val="single" w:color="D9D8D2" w:sz="3"/>
              <w:right w:val="none" w:color="FFFFFF" w:sz="0"/>
            </w:tcBorders>
            <w:tcMar>
              <w:top w:type="dxa" w:w="70"/>
              <w:left w:type="dxa" w:w="100"/>
              <w:bottom w:type="dxa" w:w="70"/>
              <w:right w:type="dxa" w:w="100"/>
            </w:tcMar>
            <w:vAlign w:val="top"/>
          </w:tcPr>
          <w:p>
            <w:pPr>
              <w:spacing w:after="0" w:line="250"/>
              <w:jc w:val="center"/>
            </w:pPr>
            <w:r>
              <w:rPr>
                <w:rFonts w:ascii="Arial" w:cs="Arial" w:eastAsia="Arial" w:hAnsi="Arial"/>
                <w:b/>
                <w:bCs/>
                <w:color w:val="00806D"/>
                <w:sz w:val="13"/>
                <w:szCs w:val="13"/>
              </w:rPr>
              <w:t xml:space="preserve">accepted and fixed</w:t>
            </w:r>
          </w:p>
        </w:tc>
        <w:tc>
          <w:tcPr>
            <w:tcW w:type="dxa" w:w="4106"/>
            <w:tcBorders>
              <w:top w:val="single" w:color="D9D8D2" w:sz="3"/>
              <w:left w:val="none" w:color="FFFFFF" w:sz="0"/>
              <w:bottom w:val="single" w:color="D9D8D2" w:sz="3"/>
              <w:right w:val="none" w:color="FFFFFF" w:sz="0"/>
            </w:tcBorders>
            <w:tcMar>
              <w:top w:type="dxa" w:w="70"/>
              <w:left w:type="dxa" w:w="100"/>
              <w:bottom w:type="dxa" w:w="70"/>
              <w:right w:type="dxa" w:w="100"/>
            </w:tcMar>
            <w:vAlign w:val="top"/>
          </w:tcPr>
          <w:p>
            <w:pPr>
              <w:spacing w:after="0" w:line="250"/>
            </w:pPr>
            <w:r>
              <w:rPr>
                <w:rFonts w:ascii="Arial" w:cs="Arial" w:eastAsia="Arial" w:hAnsi="Arial"/>
                <w:color w:val="52514E"/>
                <w:sz w:val="13"/>
                <w:szCs w:val="13"/>
              </w:rPr>
              <w:t xml:space="preserve">The source does not support the categorical claim and the sentence is load-bearing for the note's calibration. Replaced with APRA's own wording. The P6 quote is downgraded to a paraphrase pending verification against the full report.</w:t>
            </w:r>
          </w:p>
        </w:tc>
      </w:tr>
      <w:tr>
        <w:tc>
          <w:tcPr>
            <w:tcW w:type="dxa" w:w="4300"/>
            <w:tcBorders>
              <w:top w:val="single" w:color="D9D8D2" w:sz="3"/>
              <w:left w:val="none" w:color="FFFFFF" w:sz="0"/>
              <w:bottom w:val="single" w:color="D9D8D2" w:sz="3"/>
              <w:right w:val="none" w:color="FFFFFF" w:sz="0"/>
            </w:tcBorders>
            <w:shd w:fill="EFEEE9" w:color="auto" w:val="clear"/>
            <w:tcMar>
              <w:top w:type="dxa" w:w="70"/>
              <w:left w:type="dxa" w:w="100"/>
              <w:bottom w:type="dxa" w:w="70"/>
              <w:right w:type="dxa" w:w="100"/>
            </w:tcMar>
            <w:vAlign w:val="top"/>
          </w:tcPr>
          <w:p>
            <w:pPr>
              <w:spacing w:after="0" w:line="250"/>
            </w:pPr>
            <w:r>
              <w:rPr>
                <w:rFonts w:ascii="Arial" w:cs="Arial" w:eastAsia="Arial" w:hAnsi="Arial"/>
                <w:color w:val="1A1A1A"/>
                <w:sz w:val="14"/>
                <w:szCs w:val="14"/>
              </w:rPr>
              <w:t xml:space="preserve">P1 and P12 overstate trustee finality: the attribution is an input to a Commissioner's assessment, and the member retains an objection right against the ATO regardless of any AFCA carve-out.</w:t>
            </w:r>
          </w:p>
        </w:tc>
        <w:tc>
          <w:tcPr>
            <w:tcW w:type="dxa" w:w="1500"/>
            <w:tcBorders>
              <w:top w:val="single" w:color="D9D8D2" w:sz="3"/>
              <w:left w:val="none" w:color="FFFFFF" w:sz="0"/>
              <w:bottom w:val="single" w:color="D9D8D2" w:sz="3"/>
              <w:right w:val="none" w:color="FFFFFF" w:sz="0"/>
            </w:tcBorders>
            <w:shd w:fill="EFEEE9" w:color="auto" w:val="clear"/>
            <w:tcMar>
              <w:top w:type="dxa" w:w="70"/>
              <w:left w:type="dxa" w:w="100"/>
              <w:bottom w:type="dxa" w:w="70"/>
              <w:right w:type="dxa" w:w="100"/>
            </w:tcMar>
            <w:vAlign w:val="top"/>
          </w:tcPr>
          <w:p>
            <w:pPr>
              <w:spacing w:after="0" w:line="250"/>
              <w:jc w:val="center"/>
            </w:pPr>
            <w:r>
              <w:rPr>
                <w:rFonts w:ascii="Arial" w:cs="Arial" w:eastAsia="Arial" w:hAnsi="Arial"/>
                <w:b/>
                <w:bCs/>
                <w:color w:val="00806D"/>
                <w:sz w:val="13"/>
                <w:szCs w:val="13"/>
              </w:rPr>
              <w:t xml:space="preserve">accepted and fixed</w:t>
            </w:r>
          </w:p>
        </w:tc>
        <w:tc>
          <w:tcPr>
            <w:tcW w:type="dxa" w:w="4106"/>
            <w:tcBorders>
              <w:top w:val="single" w:color="D9D8D2" w:sz="3"/>
              <w:left w:val="none" w:color="FFFFFF" w:sz="0"/>
              <w:bottom w:val="single" w:color="D9D8D2" w:sz="3"/>
              <w:right w:val="none" w:color="FFFFFF" w:sz="0"/>
            </w:tcBorders>
            <w:shd w:fill="EFEEE9" w:color="auto" w:val="clear"/>
            <w:tcMar>
              <w:top w:type="dxa" w:w="70"/>
              <w:left w:type="dxa" w:w="100"/>
              <w:bottom w:type="dxa" w:w="70"/>
              <w:right w:type="dxa" w:w="100"/>
            </w:tcMar>
            <w:vAlign w:val="top"/>
          </w:tcPr>
          <w:p>
            <w:pPr>
              <w:spacing w:after="0" w:line="250"/>
            </w:pPr>
            <w:r>
              <w:rPr>
                <w:rFonts w:ascii="Arial" w:cs="Arial" w:eastAsia="Arial" w:hAnsi="Arial"/>
                <w:color w:val="52514E"/>
                <w:sz w:val="13"/>
                <w:szCs w:val="13"/>
              </w:rPr>
              <w:t xml:space="preserve">Correct, and it materially changes the remedy landscape. P1 is reframed - the trustee determines the input that drives the assessment. P12 now states that a carve-out removes the AFCA route but not the statutory objection route, and the ask becomes whether an objection against the ATO is a real remedy when the disputed judgement sits with a third party. Note this cuts both ways: the enacting law's express AFCA note on the provider's notification duty shows Parliament contemplated complaints against providers, which weakens the industry carve-out request.</w:t>
            </w:r>
          </w:p>
        </w:tc>
      </w:tr>
      <w:tr>
        <w:tc>
          <w:tcPr>
            <w:tcW w:type="dxa" w:w="4300"/>
            <w:tcBorders>
              <w:top w:val="single" w:color="D9D8D2" w:sz="3"/>
              <w:left w:val="none" w:color="FFFFFF" w:sz="0"/>
              <w:bottom w:val="single" w:color="D9D8D2" w:sz="3"/>
              <w:right w:val="none" w:color="FFFFFF" w:sz="0"/>
            </w:tcBorders>
            <w:tcMar>
              <w:top w:type="dxa" w:w="70"/>
              <w:left w:type="dxa" w:w="100"/>
              <w:bottom w:type="dxa" w:w="70"/>
              <w:right w:type="dxa" w:w="100"/>
            </w:tcMar>
            <w:vAlign w:val="top"/>
          </w:tcPr>
          <w:p>
            <w:pPr>
              <w:spacing w:after="0" w:line="250"/>
            </w:pPr>
            <w:r>
              <w:rPr>
                <w:rFonts w:ascii="Arial" w:cs="Arial" w:eastAsia="Arial" w:hAnsi="Arial"/>
                <w:color w:val="1A1A1A"/>
                <w:sz w:val="14"/>
                <w:szCs w:val="14"/>
              </w:rPr>
              <w:t xml:space="preserve">P10 declares the gender-equity concern 'closed' on the Actuaries Institute's endorsement while ASFA was still making submissions on male-only valuation factors at the close of consultation.</w:t>
            </w:r>
          </w:p>
        </w:tc>
        <w:tc>
          <w:tcPr>
            <w:tcW w:type="dxa" w:w="1500"/>
            <w:tcBorders>
              <w:top w:val="single" w:color="D9D8D2" w:sz="3"/>
              <w:left w:val="none" w:color="FFFFFF" w:sz="0"/>
              <w:bottom w:val="single" w:color="D9D8D2" w:sz="3"/>
              <w:right w:val="none" w:color="FFFFFF" w:sz="0"/>
            </w:tcBorders>
            <w:tcMar>
              <w:top w:type="dxa" w:w="70"/>
              <w:left w:type="dxa" w:w="100"/>
              <w:bottom w:type="dxa" w:w="70"/>
              <w:right w:type="dxa" w:w="100"/>
            </w:tcMar>
            <w:vAlign w:val="top"/>
          </w:tcPr>
          <w:p>
            <w:pPr>
              <w:spacing w:after="0" w:line="250"/>
              <w:jc w:val="center"/>
            </w:pPr>
            <w:r>
              <w:rPr>
                <w:rFonts w:ascii="Arial" w:cs="Arial" w:eastAsia="Arial" w:hAnsi="Arial"/>
                <w:b/>
                <w:bCs/>
                <w:color w:val="00806D"/>
                <w:sz w:val="13"/>
                <w:szCs w:val="13"/>
              </w:rPr>
              <w:t xml:space="preserve">accepted and fixed</w:t>
            </w:r>
          </w:p>
        </w:tc>
        <w:tc>
          <w:tcPr>
            <w:tcW w:type="dxa" w:w="4106"/>
            <w:tcBorders>
              <w:top w:val="single" w:color="D9D8D2" w:sz="3"/>
              <w:left w:val="none" w:color="FFFFFF" w:sz="0"/>
              <w:bottom w:val="single" w:color="D9D8D2" w:sz="3"/>
              <w:right w:val="none" w:color="FFFFFF" w:sz="0"/>
            </w:tcBorders>
            <w:tcMar>
              <w:top w:type="dxa" w:w="70"/>
              <w:left w:type="dxa" w:w="100"/>
              <w:bottom w:type="dxa" w:w="70"/>
              <w:right w:type="dxa" w:w="100"/>
            </w:tcMar>
            <w:vAlign w:val="top"/>
          </w:tcPr>
          <w:p>
            <w:pPr>
              <w:spacing w:after="0" w:line="250"/>
            </w:pPr>
            <w:r>
              <w:rPr>
                <w:rFonts w:ascii="Arial" w:cs="Arial" w:eastAsia="Arial" w:hAnsi="Arial"/>
                <w:color w:val="52514E"/>
                <w:sz w:val="13"/>
                <w:szCs w:val="13"/>
              </w:rPr>
              <w:t xml:space="preserve">Declaring an issue closed to a CEO on one body's endorsement while another's contemporaneous submission is open is an assurance the note cannot give. Downgraded to a statement of both positions, with the made-regulation position to be confirmed before treating it as settled.</w:t>
            </w:r>
          </w:p>
        </w:tc>
      </w:tr>
      <w:tr>
        <w:tc>
          <w:tcPr>
            <w:tcW w:type="dxa" w:w="4300"/>
            <w:tcBorders>
              <w:top w:val="single" w:color="D9D8D2" w:sz="3"/>
              <w:left w:val="none" w:color="FFFFFF" w:sz="0"/>
              <w:bottom w:val="single" w:color="D9D8D2" w:sz="3"/>
              <w:right w:val="none" w:color="FFFFFF" w:sz="0"/>
            </w:tcBorders>
            <w:shd w:fill="EFEEE9" w:color="auto" w:val="clear"/>
            <w:tcMar>
              <w:top w:type="dxa" w:w="70"/>
              <w:left w:type="dxa" w:w="100"/>
              <w:bottom w:type="dxa" w:w="70"/>
              <w:right w:type="dxa" w:w="100"/>
            </w:tcMar>
            <w:vAlign w:val="top"/>
          </w:tcPr>
          <w:p>
            <w:pPr>
              <w:spacing w:after="0" w:line="250"/>
            </w:pPr>
            <w:r>
              <w:rPr>
                <w:rFonts w:ascii="Arial" w:cs="Arial" w:eastAsia="Arial" w:hAnsi="Arial"/>
                <w:color w:val="1A1A1A"/>
                <w:sz w:val="14"/>
                <w:szCs w:val="14"/>
              </w:rPr>
              <w:t xml:space="preserve">P6 and P9 have identical score vectors (3/4/5) but different grades.</w:t>
            </w:r>
          </w:p>
        </w:tc>
        <w:tc>
          <w:tcPr>
            <w:tcW w:type="dxa" w:w="1500"/>
            <w:tcBorders>
              <w:top w:val="single" w:color="D9D8D2" w:sz="3"/>
              <w:left w:val="none" w:color="FFFFFF" w:sz="0"/>
              <w:bottom w:val="single" w:color="D9D8D2" w:sz="3"/>
              <w:right w:val="none" w:color="FFFFFF" w:sz="0"/>
            </w:tcBorders>
            <w:shd w:fill="EFEEE9" w:color="auto" w:val="clear"/>
            <w:tcMar>
              <w:top w:type="dxa" w:w="70"/>
              <w:left w:type="dxa" w:w="100"/>
              <w:bottom w:type="dxa" w:w="70"/>
              <w:right w:type="dxa" w:w="100"/>
            </w:tcMar>
            <w:vAlign w:val="top"/>
          </w:tcPr>
          <w:p>
            <w:pPr>
              <w:spacing w:after="0" w:line="250"/>
              <w:jc w:val="center"/>
            </w:pPr>
            <w:r>
              <w:rPr>
                <w:rFonts w:ascii="Arial" w:cs="Arial" w:eastAsia="Arial" w:hAnsi="Arial"/>
                <w:b/>
                <w:bCs/>
                <w:color w:val="00806D"/>
                <w:sz w:val="13"/>
                <w:szCs w:val="13"/>
              </w:rPr>
              <w:t xml:space="preserve">accepted and fixed</w:t>
            </w:r>
          </w:p>
        </w:tc>
        <w:tc>
          <w:tcPr>
            <w:tcW w:type="dxa" w:w="4106"/>
            <w:tcBorders>
              <w:top w:val="single" w:color="D9D8D2" w:sz="3"/>
              <w:left w:val="none" w:color="FFFFFF" w:sz="0"/>
              <w:bottom w:val="single" w:color="D9D8D2" w:sz="3"/>
              <w:right w:val="none" w:color="FFFFFF" w:sz="0"/>
            </w:tcBorders>
            <w:shd w:fill="EFEEE9" w:color="auto" w:val="clear"/>
            <w:tcMar>
              <w:top w:type="dxa" w:w="70"/>
              <w:left w:type="dxa" w:w="100"/>
              <w:bottom w:type="dxa" w:w="70"/>
              <w:right w:type="dxa" w:w="100"/>
            </w:tcMar>
            <w:vAlign w:val="top"/>
          </w:tcPr>
          <w:p>
            <w:pPr>
              <w:spacing w:after="0" w:line="250"/>
            </w:pPr>
            <w:r>
              <w:rPr>
                <w:rFonts w:ascii="Arial" w:cs="Arial" w:eastAsia="Arial" w:hAnsi="Arial"/>
                <w:color w:val="52514E"/>
                <w:sz w:val="13"/>
                <w:szCs w:val="13"/>
              </w:rPr>
              <w:t xml:space="preserve">Resolved by the stated rubric plus the demotion of P6 required by the liquidity contradiction. Under the rule both sit at B; P6 is then folded into the liquidity item and P9 retains its own entry.</w:t>
            </w:r>
          </w:p>
        </w:tc>
      </w:tr>
      <w:tr>
        <w:tc>
          <w:tcPr>
            <w:tcW w:type="dxa" w:w="4300"/>
            <w:tcBorders>
              <w:top w:val="single" w:color="D9D8D2" w:sz="3"/>
              <w:left w:val="none" w:color="FFFFFF" w:sz="0"/>
              <w:bottom w:val="single" w:color="D9D8D2" w:sz="3"/>
              <w:right w:val="none" w:color="FFFFFF" w:sz="0"/>
            </w:tcBorders>
            <w:tcMar>
              <w:top w:type="dxa" w:w="70"/>
              <w:left w:type="dxa" w:w="100"/>
              <w:bottom w:type="dxa" w:w="70"/>
              <w:right w:type="dxa" w:w="100"/>
            </w:tcMar>
            <w:vAlign w:val="top"/>
          </w:tcPr>
          <w:p>
            <w:pPr>
              <w:spacing w:after="0" w:line="250"/>
            </w:pPr>
            <w:r>
              <w:rPr>
                <w:rFonts w:ascii="Arial" w:cs="Arial" w:eastAsia="Arial" w:hAnsi="Arial"/>
                <w:color w:val="1A1A1A"/>
                <w:sz w:val="14"/>
                <w:szCs w:val="14"/>
              </w:rPr>
              <w:t xml:space="preserve">P15 strictly dominates P14 on the declared scores yet is graded one band lower.</w:t>
            </w:r>
          </w:p>
        </w:tc>
        <w:tc>
          <w:tcPr>
            <w:tcW w:type="dxa" w:w="1500"/>
            <w:tcBorders>
              <w:top w:val="single" w:color="D9D8D2" w:sz="3"/>
              <w:left w:val="none" w:color="FFFFFF" w:sz="0"/>
              <w:bottom w:val="single" w:color="D9D8D2" w:sz="3"/>
              <w:right w:val="none" w:color="FFFFFF" w:sz="0"/>
            </w:tcBorders>
            <w:tcMar>
              <w:top w:type="dxa" w:w="70"/>
              <w:left w:type="dxa" w:w="100"/>
              <w:bottom w:type="dxa" w:w="70"/>
              <w:right w:type="dxa" w:w="100"/>
            </w:tcMar>
            <w:vAlign w:val="top"/>
          </w:tcPr>
          <w:p>
            <w:pPr>
              <w:spacing w:after="0" w:line="250"/>
              <w:jc w:val="center"/>
            </w:pPr>
            <w:r>
              <w:rPr>
                <w:rFonts w:ascii="Arial" w:cs="Arial" w:eastAsia="Arial" w:hAnsi="Arial"/>
                <w:b/>
                <w:bCs/>
                <w:color w:val="00806D"/>
                <w:sz w:val="13"/>
                <w:szCs w:val="13"/>
              </w:rPr>
              <w:t xml:space="preserve">accepted and fixed</w:t>
            </w:r>
          </w:p>
        </w:tc>
        <w:tc>
          <w:tcPr>
            <w:tcW w:type="dxa" w:w="4106"/>
            <w:tcBorders>
              <w:top w:val="single" w:color="D9D8D2" w:sz="3"/>
              <w:left w:val="none" w:color="FFFFFF" w:sz="0"/>
              <w:bottom w:val="single" w:color="D9D8D2" w:sz="3"/>
              <w:right w:val="none" w:color="FFFFFF" w:sz="0"/>
            </w:tcBorders>
            <w:tcMar>
              <w:top w:type="dxa" w:w="70"/>
              <w:left w:type="dxa" w:w="100"/>
              <w:bottom w:type="dxa" w:w="70"/>
              <w:right w:type="dxa" w:w="100"/>
            </w:tcMar>
            <w:vAlign w:val="top"/>
          </w:tcPr>
          <w:p>
            <w:pPr>
              <w:spacing w:after="0" w:line="250"/>
            </w:pPr>
            <w:r>
              <w:rPr>
                <w:rFonts w:ascii="Arial" w:cs="Arial" w:eastAsia="Arial" w:hAnsi="Arial"/>
                <w:color w:val="52514E"/>
                <w:sz w:val="13"/>
                <w:szCs w:val="13"/>
              </w:rPr>
              <w:t xml:space="preserve">A second independent inversion. Fixed by the stated rubric and by the separate uplift to P15's proximity, which places it above P14 on both score and grade.</w:t>
            </w:r>
          </w:p>
        </w:tc>
      </w:tr>
      <w:tr>
        <w:tc>
          <w:tcPr>
            <w:tcW w:type="dxa" w:w="4300"/>
            <w:tcBorders>
              <w:top w:val="single" w:color="D9D8D2" w:sz="3"/>
              <w:left w:val="none" w:color="FFFFFF" w:sz="0"/>
              <w:bottom w:val="single" w:color="D9D8D2" w:sz="3"/>
              <w:right w:val="none" w:color="FFFFFF" w:sz="0"/>
            </w:tcBorders>
            <w:shd w:fill="EFEEE9" w:color="auto" w:val="clear"/>
            <w:tcMar>
              <w:top w:type="dxa" w:w="70"/>
              <w:left w:type="dxa" w:w="100"/>
              <w:bottom w:type="dxa" w:w="70"/>
              <w:right w:type="dxa" w:w="100"/>
            </w:tcMar>
            <w:vAlign w:val="top"/>
          </w:tcPr>
          <w:p>
            <w:pPr>
              <w:spacing w:after="0" w:line="250"/>
            </w:pPr>
            <w:r>
              <w:rPr>
                <w:rFonts w:ascii="Arial" w:cs="Arial" w:eastAsia="Arial" w:hAnsi="Arial"/>
                <w:color w:val="1A1A1A"/>
                <w:sz w:val="14"/>
                <w:szCs w:val="14"/>
              </w:rPr>
              <w:t xml:space="preserve">The RFI timing (10 business days from November 2027; 28 calendar days from April 2028) is cited jointly to two ATO meetings that say different things, and the non-defined-benefit date appears to have moved from February to April.</w:t>
            </w:r>
          </w:p>
        </w:tc>
        <w:tc>
          <w:tcPr>
            <w:tcW w:type="dxa" w:w="1500"/>
            <w:tcBorders>
              <w:top w:val="single" w:color="D9D8D2" w:sz="3"/>
              <w:left w:val="none" w:color="FFFFFF" w:sz="0"/>
              <w:bottom w:val="single" w:color="D9D8D2" w:sz="3"/>
              <w:right w:val="none" w:color="FFFFFF" w:sz="0"/>
            </w:tcBorders>
            <w:shd w:fill="EFEEE9" w:color="auto" w:val="clear"/>
            <w:tcMar>
              <w:top w:type="dxa" w:w="70"/>
              <w:left w:type="dxa" w:w="100"/>
              <w:bottom w:type="dxa" w:w="70"/>
              <w:right w:type="dxa" w:w="100"/>
            </w:tcMar>
            <w:vAlign w:val="top"/>
          </w:tcPr>
          <w:p>
            <w:pPr>
              <w:spacing w:after="0" w:line="250"/>
              <w:jc w:val="center"/>
            </w:pPr>
            <w:r>
              <w:rPr>
                <w:rFonts w:ascii="Arial" w:cs="Arial" w:eastAsia="Arial" w:hAnsi="Arial"/>
                <w:b/>
                <w:bCs/>
                <w:color w:val="00806D"/>
                <w:sz w:val="13"/>
                <w:szCs w:val="13"/>
              </w:rPr>
              <w:t xml:space="preserve">accepted and fixed</w:t>
            </w:r>
          </w:p>
        </w:tc>
        <w:tc>
          <w:tcPr>
            <w:tcW w:type="dxa" w:w="4106"/>
            <w:tcBorders>
              <w:top w:val="single" w:color="D9D8D2" w:sz="3"/>
              <w:left w:val="none" w:color="FFFFFF" w:sz="0"/>
              <w:bottom w:val="single" w:color="D9D8D2" w:sz="3"/>
              <w:right w:val="none" w:color="FFFFFF" w:sz="0"/>
            </w:tcBorders>
            <w:shd w:fill="EFEEE9" w:color="auto" w:val="clear"/>
            <w:tcMar>
              <w:top w:type="dxa" w:w="70"/>
              <w:left w:type="dxa" w:w="100"/>
              <w:bottom w:type="dxa" w:w="70"/>
              <w:right w:type="dxa" w:w="100"/>
            </w:tcMar>
            <w:vAlign w:val="top"/>
          </w:tcPr>
          <w:p>
            <w:pPr>
              <w:spacing w:after="0" w:line="250"/>
            </w:pPr>
            <w:r>
              <w:rPr>
                <w:rFonts w:ascii="Arial" w:cs="Arial" w:eastAsia="Arial" w:hAnsi="Arial"/>
                <w:color w:val="52514E"/>
                <w:sz w:val="13"/>
                <w:szCs w:val="13"/>
              </w:rPr>
              <w:t xml:space="preserve">The two sources are not consistent and the register presented them as if they were. Each meeting is now cited separately, the schedule change is disclosed, the years are marked as ATO indicative planning dates rather than settled, and the tension with 'assessments issue in the second half of 2027-28' is stated as an open question rather than smoothed over.</w:t>
            </w:r>
          </w:p>
        </w:tc>
      </w:tr>
      <w:tr>
        <w:tc>
          <w:tcPr>
            <w:tcW w:type="dxa" w:w="4300"/>
            <w:tcBorders>
              <w:top w:val="single" w:color="D9D8D2" w:sz="3"/>
              <w:left w:val="none" w:color="FFFFFF" w:sz="0"/>
              <w:bottom w:val="single" w:color="D9D8D2" w:sz="3"/>
              <w:right w:val="none" w:color="FFFFFF" w:sz="0"/>
            </w:tcBorders>
            <w:tcMar>
              <w:top w:type="dxa" w:w="70"/>
              <w:left w:type="dxa" w:w="100"/>
              <w:bottom w:type="dxa" w:w="70"/>
              <w:right w:type="dxa" w:w="100"/>
            </w:tcMar>
            <w:vAlign w:val="top"/>
          </w:tcPr>
          <w:p>
            <w:pPr>
              <w:spacing w:after="0" w:line="250"/>
            </w:pPr>
            <w:r>
              <w:rPr>
                <w:rFonts w:ascii="Arial" w:cs="Arial" w:eastAsia="Arial" w:hAnsi="Arial"/>
                <w:color w:val="1A1A1A"/>
                <w:sz w:val="14"/>
                <w:szCs w:val="14"/>
              </w:rPr>
              <w:t xml:space="preserve">P6's grade A ignores the size of the liability: a member at $3.2m pays about $1,800 and cannot rationally restructure for that, while a member at $8-10m has a real liability but cannot get under $3m by 30 June 2027. Both tails argue against a correlated rush.</w:t>
            </w:r>
          </w:p>
        </w:tc>
        <w:tc>
          <w:tcPr>
            <w:tcW w:type="dxa" w:w="1500"/>
            <w:tcBorders>
              <w:top w:val="single" w:color="D9D8D2" w:sz="3"/>
              <w:left w:val="none" w:color="FFFFFF" w:sz="0"/>
              <w:bottom w:val="single" w:color="D9D8D2" w:sz="3"/>
              <w:right w:val="none" w:color="FFFFFF" w:sz="0"/>
            </w:tcBorders>
            <w:tcMar>
              <w:top w:type="dxa" w:w="70"/>
              <w:left w:type="dxa" w:w="100"/>
              <w:bottom w:type="dxa" w:w="70"/>
              <w:right w:type="dxa" w:w="100"/>
            </w:tcMar>
            <w:vAlign w:val="top"/>
          </w:tcPr>
          <w:p>
            <w:pPr>
              <w:spacing w:after="0" w:line="250"/>
              <w:jc w:val="center"/>
            </w:pPr>
            <w:r>
              <w:rPr>
                <w:rFonts w:ascii="Arial" w:cs="Arial" w:eastAsia="Arial" w:hAnsi="Arial"/>
                <w:b/>
                <w:bCs/>
                <w:color w:val="00806D"/>
                <w:sz w:val="13"/>
                <w:szCs w:val="13"/>
              </w:rPr>
              <w:t xml:space="preserve">accepted and fixed</w:t>
            </w:r>
          </w:p>
        </w:tc>
        <w:tc>
          <w:tcPr>
            <w:tcW w:type="dxa" w:w="4106"/>
            <w:tcBorders>
              <w:top w:val="single" w:color="D9D8D2" w:sz="3"/>
              <w:left w:val="none" w:color="FFFFFF" w:sz="0"/>
              <w:bottom w:val="single" w:color="D9D8D2" w:sz="3"/>
              <w:right w:val="none" w:color="FFFFFF" w:sz="0"/>
            </w:tcBorders>
            <w:tcMar>
              <w:top w:type="dxa" w:w="70"/>
              <w:left w:type="dxa" w:w="100"/>
              <w:bottom w:type="dxa" w:w="70"/>
              <w:right w:type="dxa" w:w="100"/>
            </w:tcMar>
            <w:vAlign w:val="top"/>
          </w:tcPr>
          <w:p>
            <w:pPr>
              <w:spacing w:after="0" w:line="250"/>
            </w:pPr>
            <w:r>
              <w:rPr>
                <w:rFonts w:ascii="Arial" w:cs="Arial" w:eastAsia="Arial" w:hAnsi="Arial"/>
                <w:color w:val="52514E"/>
                <w:sz w:val="13"/>
                <w:szCs w:val="13"/>
              </w:rPr>
              <w:t xml:space="preserve">The arithmetic is correct (proportioning by (TSB-3m)/TSB then 15%) and it is the strongest single piece of analysis in the red-team pack. Likelihood cut, P6 demoted to C, and the $1,800 / $9,000 / $63,000 figures moved to the front of the note as the register's missing denominator. The supervisory action - requiring production of the policy-driven liquidity scenario - is retained as a cheap test.</w:t>
            </w:r>
          </w:p>
        </w:tc>
      </w:tr>
      <w:tr>
        <w:tc>
          <w:tcPr>
            <w:tcW w:type="dxa" w:w="4300"/>
            <w:tcBorders>
              <w:top w:val="single" w:color="D9D8D2" w:sz="3"/>
              <w:left w:val="none" w:color="FFFFFF" w:sz="0"/>
              <w:bottom w:val="single" w:color="D9D8D2" w:sz="3"/>
              <w:right w:val="none" w:color="FFFFFF" w:sz="0"/>
            </w:tcBorders>
            <w:shd w:fill="EFEEE9" w:color="auto" w:val="clear"/>
            <w:tcMar>
              <w:top w:type="dxa" w:w="70"/>
              <w:left w:type="dxa" w:w="100"/>
              <w:bottom w:type="dxa" w:w="70"/>
              <w:right w:type="dxa" w:w="100"/>
            </w:tcMar>
            <w:vAlign w:val="top"/>
          </w:tcPr>
          <w:p>
            <w:pPr>
              <w:spacing w:after="0" w:line="250"/>
            </w:pPr>
            <w:r>
              <w:rPr>
                <w:rFonts w:ascii="Arial" w:cs="Arial" w:eastAsia="Arial" w:hAnsi="Arial"/>
                <w:color w:val="1A1A1A"/>
                <w:sz w:val="14"/>
                <w:szCs w:val="14"/>
              </w:rPr>
              <w:t xml:space="preserve">P1's materiality 5 is the register's only 5 and nothing measures it; the spread between two lawful attribution methods is never estimated.</w:t>
            </w:r>
          </w:p>
        </w:tc>
        <w:tc>
          <w:tcPr>
            <w:tcW w:type="dxa" w:w="1500"/>
            <w:tcBorders>
              <w:top w:val="single" w:color="D9D8D2" w:sz="3"/>
              <w:left w:val="none" w:color="FFFFFF" w:sz="0"/>
              <w:bottom w:val="single" w:color="D9D8D2" w:sz="3"/>
              <w:right w:val="none" w:color="FFFFFF" w:sz="0"/>
            </w:tcBorders>
            <w:shd w:fill="EFEEE9" w:color="auto" w:val="clear"/>
            <w:tcMar>
              <w:top w:type="dxa" w:w="70"/>
              <w:left w:type="dxa" w:w="100"/>
              <w:bottom w:type="dxa" w:w="70"/>
              <w:right w:type="dxa" w:w="100"/>
            </w:tcMar>
            <w:vAlign w:val="top"/>
          </w:tcPr>
          <w:p>
            <w:pPr>
              <w:spacing w:after="0" w:line="250"/>
              <w:jc w:val="center"/>
            </w:pPr>
            <w:r>
              <w:rPr>
                <w:rFonts w:ascii="Arial" w:cs="Arial" w:eastAsia="Arial" w:hAnsi="Arial"/>
                <w:b/>
                <w:bCs/>
                <w:color w:val="E87722"/>
                <w:sz w:val="13"/>
                <w:szCs w:val="13"/>
              </w:rPr>
              <w:t xml:space="preserve">partially accepted</w:t>
            </w:r>
          </w:p>
        </w:tc>
        <w:tc>
          <w:tcPr>
            <w:tcW w:type="dxa" w:w="4106"/>
            <w:tcBorders>
              <w:top w:val="single" w:color="D9D8D2" w:sz="3"/>
              <w:left w:val="none" w:color="FFFFFF" w:sz="0"/>
              <w:bottom w:val="single" w:color="D9D8D2" w:sz="3"/>
              <w:right w:val="none" w:color="FFFFFF" w:sz="0"/>
            </w:tcBorders>
            <w:shd w:fill="EFEEE9" w:color="auto" w:val="clear"/>
            <w:tcMar>
              <w:top w:type="dxa" w:w="70"/>
              <w:left w:type="dxa" w:w="100"/>
              <w:bottom w:type="dxa" w:w="70"/>
              <w:right w:type="dxa" w:w="100"/>
            </w:tcMar>
            <w:vAlign w:val="top"/>
          </w:tcPr>
          <w:p>
            <w:pPr>
              <w:spacing w:after="0" w:line="250"/>
            </w:pPr>
            <w:r>
              <w:rPr>
                <w:rFonts w:ascii="Arial" w:cs="Arial" w:eastAsia="Arial" w:hAnsi="Arial"/>
                <w:color w:val="52514E"/>
                <w:sz w:val="13"/>
                <w:szCs w:val="13"/>
              </w:rPr>
              <w:t xml:space="preserve">Accepted that an unmeasured 5 cannot stand: materiality drops to 4 pending evidence, and the proposed test (ask two or three exposed licensees to run two defensible methods over FY2026-27 data to date and report the spread) is adopted as a pre-meeting action. Not fully accepted: the reviewer's premise that every lawful method 'must be broadly proportionate to member balances' is itself unsourced - the statute says only 'fair and reasonable' - so the inference that dispersion is structurally small is not established either. The score moves because the evidence is absent, not because the reviewer's alternative is proved.</w:t>
            </w:r>
          </w:p>
        </w:tc>
      </w:tr>
      <w:tr>
        <w:tc>
          <w:tcPr>
            <w:tcW w:type="dxa" w:w="4300"/>
            <w:tcBorders>
              <w:top w:val="single" w:color="D9D8D2" w:sz="3"/>
              <w:left w:val="none" w:color="FFFFFF" w:sz="0"/>
              <w:bottom w:val="single" w:color="D9D8D2" w:sz="3"/>
              <w:right w:val="none" w:color="FFFFFF" w:sz="0"/>
            </w:tcBorders>
            <w:tcMar>
              <w:top w:type="dxa" w:w="70"/>
              <w:left w:type="dxa" w:w="100"/>
              <w:bottom w:type="dxa" w:w="70"/>
              <w:right w:type="dxa" w:w="100"/>
            </w:tcMar>
            <w:vAlign w:val="top"/>
          </w:tcPr>
          <w:p>
            <w:pPr>
              <w:spacing w:after="0" w:line="250"/>
            </w:pPr>
            <w:r>
              <w:rPr>
                <w:rFonts w:ascii="Arial" w:cs="Arial" w:eastAsia="Arial" w:hAnsi="Arial"/>
                <w:color w:val="1A1A1A"/>
                <w:sz w:val="14"/>
                <w:szCs w:val="14"/>
              </w:rPr>
              <w:t xml:space="preserve">The register cites 305,000 accounts above $1m averaging $1.45m to argue APRA is blind, and never turns the same data round to bound the in-scope population, so no issue has a denominator.</w:t>
            </w:r>
          </w:p>
        </w:tc>
        <w:tc>
          <w:tcPr>
            <w:tcW w:type="dxa" w:w="1500"/>
            <w:tcBorders>
              <w:top w:val="single" w:color="D9D8D2" w:sz="3"/>
              <w:left w:val="none" w:color="FFFFFF" w:sz="0"/>
              <w:bottom w:val="single" w:color="D9D8D2" w:sz="3"/>
              <w:right w:val="none" w:color="FFFFFF" w:sz="0"/>
            </w:tcBorders>
            <w:tcMar>
              <w:top w:type="dxa" w:w="70"/>
              <w:left w:type="dxa" w:w="100"/>
              <w:bottom w:type="dxa" w:w="70"/>
              <w:right w:type="dxa" w:w="100"/>
            </w:tcMar>
            <w:vAlign w:val="top"/>
          </w:tcPr>
          <w:p>
            <w:pPr>
              <w:spacing w:after="0" w:line="250"/>
              <w:jc w:val="center"/>
            </w:pPr>
            <w:r>
              <w:rPr>
                <w:rFonts w:ascii="Arial" w:cs="Arial" w:eastAsia="Arial" w:hAnsi="Arial"/>
                <w:b/>
                <w:bCs/>
                <w:color w:val="00806D"/>
                <w:sz w:val="13"/>
                <w:szCs w:val="13"/>
              </w:rPr>
              <w:t xml:space="preserve">accepted and fixed</w:t>
            </w:r>
          </w:p>
        </w:tc>
        <w:tc>
          <w:tcPr>
            <w:tcW w:type="dxa" w:w="4106"/>
            <w:tcBorders>
              <w:top w:val="single" w:color="D9D8D2" w:sz="3"/>
              <w:left w:val="none" w:color="FFFFFF" w:sz="0"/>
              <w:bottom w:val="single" w:color="D9D8D2" w:sz="3"/>
              <w:right w:val="none" w:color="FFFFFF" w:sz="0"/>
            </w:tcBorders>
            <w:tcMar>
              <w:top w:type="dxa" w:w="70"/>
              <w:left w:type="dxa" w:w="100"/>
              <w:bottom w:type="dxa" w:w="70"/>
              <w:right w:type="dxa" w:w="100"/>
            </w:tcMar>
            <w:vAlign w:val="top"/>
          </w:tcPr>
          <w:p>
            <w:pPr>
              <w:spacing w:after="0" w:line="250"/>
            </w:pPr>
            <w:r>
              <w:rPr>
                <w:rFonts w:ascii="Arial" w:cs="Arial" w:eastAsia="Arial" w:hAnsi="Arial"/>
                <w:color w:val="52514E"/>
                <w:sz w:val="13"/>
                <w:szCs w:val="13"/>
              </w:rPr>
              <w:t xml:space="preserve">Correct and cheap to fix. A labelled inference is added: a steeply decaying right tail above $1m, read against Treasury's superseded-design estimate of 31,800 in-scope individuals across all APRA-regulated and exempt public sector funds, implies a median large licensee has in-scope members in the hundreds. Marked 'inferred', with the Treasury vintage caveat carried, and used to calibrate supervisory intensity and the proportionality gate in the readiness item.</w:t>
            </w:r>
          </w:p>
        </w:tc>
      </w:tr>
      <w:tr>
        <w:tc>
          <w:tcPr>
            <w:tcW w:type="dxa" w:w="4300"/>
            <w:tcBorders>
              <w:top w:val="single" w:color="D9D8D2" w:sz="3"/>
              <w:left w:val="none" w:color="FFFFFF" w:sz="0"/>
              <w:bottom w:val="single" w:color="D9D8D2" w:sz="3"/>
              <w:right w:val="none" w:color="FFFFFF" w:sz="0"/>
            </w:tcBorders>
            <w:shd w:fill="EFEEE9" w:color="auto" w:val="clear"/>
            <w:tcMar>
              <w:top w:type="dxa" w:w="70"/>
              <w:left w:type="dxa" w:w="100"/>
              <w:bottom w:type="dxa" w:w="70"/>
              <w:right w:type="dxa" w:w="100"/>
            </w:tcMar>
            <w:vAlign w:val="top"/>
          </w:tcPr>
          <w:p>
            <w:pPr>
              <w:spacing w:after="0" w:line="250"/>
            </w:pPr>
            <w:r>
              <w:rPr>
                <w:rFonts w:ascii="Arial" w:cs="Arial" w:eastAsia="Arial" w:hAnsi="Arial"/>
                <w:color w:val="1A1A1A"/>
                <w:sz w:val="14"/>
                <w:szCs w:val="14"/>
              </w:rPr>
              <w:t xml:space="preserve">P9 (valuation still determines the tax) is undergraded at B; it is the one issue where APRA has already published adverse findings on the precise control that now carries a personal tax consequence, and the sharper risk is upward revaluation pushing members over the threshold.</w:t>
            </w:r>
          </w:p>
        </w:tc>
        <w:tc>
          <w:tcPr>
            <w:tcW w:type="dxa" w:w="1500"/>
            <w:tcBorders>
              <w:top w:val="single" w:color="D9D8D2" w:sz="3"/>
              <w:left w:val="none" w:color="FFFFFF" w:sz="0"/>
              <w:bottom w:val="single" w:color="D9D8D2" w:sz="3"/>
              <w:right w:val="none" w:color="FFFFFF" w:sz="0"/>
            </w:tcBorders>
            <w:shd w:fill="EFEEE9" w:color="auto" w:val="clear"/>
            <w:tcMar>
              <w:top w:type="dxa" w:w="70"/>
              <w:left w:type="dxa" w:w="100"/>
              <w:bottom w:type="dxa" w:w="70"/>
              <w:right w:type="dxa" w:w="100"/>
            </w:tcMar>
            <w:vAlign w:val="top"/>
          </w:tcPr>
          <w:p>
            <w:pPr>
              <w:spacing w:after="0" w:line="250"/>
              <w:jc w:val="center"/>
            </w:pPr>
            <w:r>
              <w:rPr>
                <w:rFonts w:ascii="Arial" w:cs="Arial" w:eastAsia="Arial" w:hAnsi="Arial"/>
                <w:b/>
                <w:bCs/>
                <w:color w:val="E87722"/>
                <w:sz w:val="13"/>
                <w:szCs w:val="13"/>
              </w:rPr>
              <w:t xml:space="preserve">partially accepted</w:t>
            </w:r>
          </w:p>
        </w:tc>
        <w:tc>
          <w:tcPr>
            <w:tcW w:type="dxa" w:w="4106"/>
            <w:tcBorders>
              <w:top w:val="single" w:color="D9D8D2" w:sz="3"/>
              <w:left w:val="none" w:color="FFFFFF" w:sz="0"/>
              <w:bottom w:val="single" w:color="D9D8D2" w:sz="3"/>
              <w:right w:val="none" w:color="FFFFFF" w:sz="0"/>
            </w:tcBorders>
            <w:shd w:fill="EFEEE9" w:color="auto" w:val="clear"/>
            <w:tcMar>
              <w:top w:type="dxa" w:w="70"/>
              <w:left w:type="dxa" w:w="100"/>
              <w:bottom w:type="dxa" w:w="70"/>
              <w:right w:type="dxa" w:w="100"/>
            </w:tcMar>
            <w:vAlign w:val="top"/>
          </w:tcPr>
          <w:p>
            <w:pPr>
              <w:spacing w:after="0" w:line="250"/>
            </w:pPr>
            <w:r>
              <w:rPr>
                <w:rFonts w:ascii="Arial" w:cs="Arial" w:eastAsia="Arial" w:hAnsi="Arial"/>
                <w:color w:val="52514E"/>
                <w:sz w:val="13"/>
                <w:szCs w:val="13"/>
              </w:rPr>
              <w:t xml:space="preserve">The substantive insight is accepted and incorporated: upward revaluation at 30 June is the more likely complaints channel, since downward suppression requires alleging misconduct and harms every other member's exit price. The regrade to A is not accepted - under the now-stated rubric a 3/4/5 vector is B, and creating an unexplained override for this item would reintroduce the very inconsistency the rubric was adopted to cure. P9 is the highest-ranked B and is flagged as such, with the reputational point made in the text rather than through the grade.</w:t>
            </w:r>
          </w:p>
        </w:tc>
      </w:tr>
      <w:tr>
        <w:tc>
          <w:tcPr>
            <w:tcW w:type="dxa" w:w="4300"/>
            <w:tcBorders>
              <w:top w:val="single" w:color="D9D8D2" w:sz="3"/>
              <w:left w:val="none" w:color="FFFFFF" w:sz="0"/>
              <w:bottom w:val="single" w:color="D9D8D2" w:sz="3"/>
              <w:right w:val="none" w:color="FFFFFF" w:sz="0"/>
            </w:tcBorders>
            <w:tcMar>
              <w:top w:type="dxa" w:w="70"/>
              <w:left w:type="dxa" w:w="100"/>
              <w:bottom w:type="dxa" w:w="70"/>
              <w:right w:type="dxa" w:w="100"/>
            </w:tcMar>
            <w:vAlign w:val="top"/>
          </w:tcPr>
          <w:p>
            <w:pPr>
              <w:spacing w:after="0" w:line="250"/>
            </w:pPr>
            <w:r>
              <w:rPr>
                <w:rFonts w:ascii="Arial" w:cs="Arial" w:eastAsia="Arial" w:hAnsi="Arial"/>
                <w:color w:val="1A1A1A"/>
                <w:sz w:val="14"/>
                <w:szCs w:val="14"/>
              </w:rPr>
              <w:t xml:space="preserve">P15 (the total superannuation balance redefinition) is undergraded at C on proximity 2; the trustee reports the number and members will act on it, and the failure mode - an excess contributions assessment from a methodology-driven balance movement - is concrete and member-harming.</w:t>
            </w:r>
          </w:p>
        </w:tc>
        <w:tc>
          <w:tcPr>
            <w:tcW w:type="dxa" w:w="1500"/>
            <w:tcBorders>
              <w:top w:val="single" w:color="D9D8D2" w:sz="3"/>
              <w:left w:val="none" w:color="FFFFFF" w:sz="0"/>
              <w:bottom w:val="single" w:color="D9D8D2" w:sz="3"/>
              <w:right w:val="none" w:color="FFFFFF" w:sz="0"/>
            </w:tcBorders>
            <w:tcMar>
              <w:top w:type="dxa" w:w="70"/>
              <w:left w:type="dxa" w:w="100"/>
              <w:bottom w:type="dxa" w:w="70"/>
              <w:right w:type="dxa" w:w="100"/>
            </w:tcMar>
            <w:vAlign w:val="top"/>
          </w:tcPr>
          <w:p>
            <w:pPr>
              <w:spacing w:after="0" w:line="250"/>
              <w:jc w:val="center"/>
            </w:pPr>
            <w:r>
              <w:rPr>
                <w:rFonts w:ascii="Arial" w:cs="Arial" w:eastAsia="Arial" w:hAnsi="Arial"/>
                <w:b/>
                <w:bCs/>
                <w:color w:val="00806D"/>
                <w:sz w:val="13"/>
                <w:szCs w:val="13"/>
              </w:rPr>
              <w:t xml:space="preserve">accepted and fixed</w:t>
            </w:r>
          </w:p>
        </w:tc>
        <w:tc>
          <w:tcPr>
            <w:tcW w:type="dxa" w:w="4106"/>
            <w:tcBorders>
              <w:top w:val="single" w:color="D9D8D2" w:sz="3"/>
              <w:left w:val="none" w:color="FFFFFF" w:sz="0"/>
              <w:bottom w:val="single" w:color="D9D8D2" w:sz="3"/>
              <w:right w:val="none" w:color="FFFFFF" w:sz="0"/>
            </w:tcBorders>
            <w:tcMar>
              <w:top w:type="dxa" w:w="70"/>
              <w:left w:type="dxa" w:w="100"/>
              <w:bottom w:type="dxa" w:w="70"/>
              <w:right w:type="dxa" w:w="100"/>
            </w:tcMar>
            <w:vAlign w:val="top"/>
          </w:tcPr>
          <w:p>
            <w:pPr>
              <w:spacing w:after="0" w:line="250"/>
            </w:pPr>
            <w:r>
              <w:rPr>
                <w:rFonts w:ascii="Arial" w:cs="Arial" w:eastAsia="Arial" w:hAnsi="Arial"/>
                <w:color w:val="52514E"/>
                <w:sz w:val="13"/>
                <w:szCs w:val="13"/>
              </w:rPr>
              <w:t xml:space="preserve">Accepted. Proximity raised and the issue regraded to B, with the excess-contributions failure mode stated. The population is far larger than the Division 296 cohort and the trustee sits at the centre of the disclosure. The unexplained '$1.5 million' figure quoted from ASFA is flagged as unverified rather than repeated.</w:t>
            </w:r>
          </w:p>
        </w:tc>
      </w:tr>
      <w:tr>
        <w:tc>
          <w:tcPr>
            <w:tcW w:type="dxa" w:w="4300"/>
            <w:tcBorders>
              <w:top w:val="single" w:color="D9D8D2" w:sz="3"/>
              <w:left w:val="none" w:color="FFFFFF" w:sz="0"/>
              <w:bottom w:val="single" w:color="D9D8D2" w:sz="3"/>
              <w:right w:val="none" w:color="FFFFFF" w:sz="0"/>
            </w:tcBorders>
            <w:shd w:fill="EFEEE9" w:color="auto" w:val="clear"/>
            <w:tcMar>
              <w:top w:type="dxa" w:w="70"/>
              <w:left w:type="dxa" w:w="100"/>
              <w:bottom w:type="dxa" w:w="70"/>
              <w:right w:type="dxa" w:w="100"/>
            </w:tcMar>
            <w:vAlign w:val="top"/>
          </w:tcPr>
          <w:p>
            <w:pPr>
              <w:spacing w:after="0" w:line="250"/>
            </w:pPr>
            <w:r>
              <w:rPr>
                <w:rFonts w:ascii="Arial" w:cs="Arial" w:eastAsia="Arial" w:hAnsi="Arial"/>
                <w:color w:val="1A1A1A"/>
                <w:sz w:val="14"/>
                <w:szCs w:val="14"/>
              </w:rPr>
              <w:t xml:space="preserve">P3's likelihood 5 measures commencement rather than risk, and its statement that absence from the risk appetite statement, risk declaration, operational risk financial requirement target or business plan is 'a governance finding' has no materiality gate.</w:t>
            </w:r>
          </w:p>
        </w:tc>
        <w:tc>
          <w:tcPr>
            <w:tcW w:type="dxa" w:w="1500"/>
            <w:tcBorders>
              <w:top w:val="single" w:color="D9D8D2" w:sz="3"/>
              <w:left w:val="none" w:color="FFFFFF" w:sz="0"/>
              <w:bottom w:val="single" w:color="D9D8D2" w:sz="3"/>
              <w:right w:val="none" w:color="FFFFFF" w:sz="0"/>
            </w:tcBorders>
            <w:shd w:fill="EFEEE9" w:color="auto" w:val="clear"/>
            <w:tcMar>
              <w:top w:type="dxa" w:w="70"/>
              <w:left w:type="dxa" w:w="100"/>
              <w:bottom w:type="dxa" w:w="70"/>
              <w:right w:type="dxa" w:w="100"/>
            </w:tcMar>
            <w:vAlign w:val="top"/>
          </w:tcPr>
          <w:p>
            <w:pPr>
              <w:spacing w:after="0" w:line="250"/>
              <w:jc w:val="center"/>
            </w:pPr>
            <w:r>
              <w:rPr>
                <w:rFonts w:ascii="Arial" w:cs="Arial" w:eastAsia="Arial" w:hAnsi="Arial"/>
                <w:b/>
                <w:bCs/>
                <w:color w:val="00806D"/>
                <w:sz w:val="13"/>
                <w:szCs w:val="13"/>
              </w:rPr>
              <w:t xml:space="preserve">accepted and fixed</w:t>
            </w:r>
          </w:p>
        </w:tc>
        <w:tc>
          <w:tcPr>
            <w:tcW w:type="dxa" w:w="4106"/>
            <w:tcBorders>
              <w:top w:val="single" w:color="D9D8D2" w:sz="3"/>
              <w:left w:val="none" w:color="FFFFFF" w:sz="0"/>
              <w:bottom w:val="single" w:color="D9D8D2" w:sz="3"/>
              <w:right w:val="none" w:color="FFFFFF" w:sz="0"/>
            </w:tcBorders>
            <w:shd w:fill="EFEEE9" w:color="auto" w:val="clear"/>
            <w:tcMar>
              <w:top w:type="dxa" w:w="70"/>
              <w:left w:type="dxa" w:w="100"/>
              <w:bottom w:type="dxa" w:w="70"/>
              <w:right w:type="dxa" w:w="100"/>
            </w:tcMar>
            <w:vAlign w:val="top"/>
          </w:tcPr>
          <w:p>
            <w:pPr>
              <w:spacing w:after="0" w:line="250"/>
            </w:pPr>
            <w:r>
              <w:rPr>
                <w:rFonts w:ascii="Arial" w:cs="Arial" w:eastAsia="Arial" w:hAnsi="Arial"/>
                <w:color w:val="52514E"/>
                <w:sz w:val="13"/>
                <w:szCs w:val="13"/>
              </w:rPr>
              <w:t xml:space="preserve">Both limbs accepted. Likelihood rescored against a failed or materially wrong first RFI response in the 2028 window. The governance-finding statement is gated on exposure, using the in-scope headcount inference above, so a licensee with a handful of affected members is not held to the same expectation as a licensee with thousands. An ungated expectation would not survive contact with a small licensee.</w:t>
            </w:r>
          </w:p>
        </w:tc>
      </w:tr>
      <w:tr>
        <w:tc>
          <w:tcPr>
            <w:tcW w:type="dxa" w:w="4300"/>
            <w:tcBorders>
              <w:top w:val="single" w:color="D9D8D2" w:sz="3"/>
              <w:left w:val="none" w:color="FFFFFF" w:sz="0"/>
              <w:bottom w:val="single" w:color="D9D8D2" w:sz="3"/>
              <w:right w:val="none" w:color="FFFFFF" w:sz="0"/>
            </w:tcBorders>
            <w:tcMar>
              <w:top w:type="dxa" w:w="70"/>
              <w:left w:type="dxa" w:w="100"/>
              <w:bottom w:type="dxa" w:w="70"/>
              <w:right w:type="dxa" w:w="100"/>
            </w:tcMar>
            <w:vAlign w:val="top"/>
          </w:tcPr>
          <w:p>
            <w:pPr>
              <w:spacing w:after="0" w:line="250"/>
            </w:pPr>
            <w:r>
              <w:rPr>
                <w:rFonts w:ascii="Arial" w:cs="Arial" w:eastAsia="Arial" w:hAnsi="Arial"/>
                <w:color w:val="1A1A1A"/>
                <w:sz w:val="14"/>
                <w:szCs w:val="14"/>
              </w:rPr>
              <w:t xml:space="preserve">P3, P13 and P8 are one operational-risk theme (fund administration performing a new statutory calculation and payment function on external clocks) split into three graded entries, inflating the apparent breadth of the register.</w:t>
            </w:r>
          </w:p>
        </w:tc>
        <w:tc>
          <w:tcPr>
            <w:tcW w:type="dxa" w:w="1500"/>
            <w:tcBorders>
              <w:top w:val="single" w:color="D9D8D2" w:sz="3"/>
              <w:left w:val="none" w:color="FFFFFF" w:sz="0"/>
              <w:bottom w:val="single" w:color="D9D8D2" w:sz="3"/>
              <w:right w:val="none" w:color="FFFFFF" w:sz="0"/>
            </w:tcBorders>
            <w:tcMar>
              <w:top w:type="dxa" w:w="70"/>
              <w:left w:type="dxa" w:w="100"/>
              <w:bottom w:type="dxa" w:w="70"/>
              <w:right w:type="dxa" w:w="100"/>
            </w:tcMar>
            <w:vAlign w:val="top"/>
          </w:tcPr>
          <w:p>
            <w:pPr>
              <w:spacing w:after="0" w:line="250"/>
              <w:jc w:val="center"/>
            </w:pPr>
            <w:r>
              <w:rPr>
                <w:rFonts w:ascii="Arial" w:cs="Arial" w:eastAsia="Arial" w:hAnsi="Arial"/>
                <w:b/>
                <w:bCs/>
                <w:color w:val="898781"/>
                <w:sz w:val="13"/>
                <w:szCs w:val="13"/>
              </w:rPr>
              <w:t xml:space="preserve">rejected</w:t>
            </w:r>
          </w:p>
        </w:tc>
        <w:tc>
          <w:tcPr>
            <w:tcW w:type="dxa" w:w="4106"/>
            <w:tcBorders>
              <w:top w:val="single" w:color="D9D8D2" w:sz="3"/>
              <w:left w:val="none" w:color="FFFFFF" w:sz="0"/>
              <w:bottom w:val="single" w:color="D9D8D2" w:sz="3"/>
              <w:right w:val="none" w:color="FFFFFF" w:sz="0"/>
            </w:tcBorders>
            <w:tcMar>
              <w:top w:type="dxa" w:w="70"/>
              <w:left w:type="dxa" w:w="100"/>
              <w:bottom w:type="dxa" w:w="70"/>
              <w:right w:type="dxa" w:w="100"/>
            </w:tcMar>
            <w:vAlign w:val="top"/>
          </w:tcPr>
          <w:p>
            <w:pPr>
              <w:spacing w:after="0" w:line="250"/>
            </w:pPr>
            <w:r>
              <w:rPr>
                <w:rFonts w:ascii="Arial" w:cs="Arial" w:eastAsia="Arial" w:hAnsi="Arial"/>
                <w:color w:val="52514E"/>
                <w:sz w:val="13"/>
                <w:szCs w:val="13"/>
              </w:rPr>
              <w:t xml:space="preserve">They share instruments but not duties, clocks, failure modes or remedies. P3 is a build-and-respond capability question on an annual RFI window; P13 is an externally triggered payment obligation out of preserved benefits; P8 is a multi-year records and reproducibility obligation now reinforced by an independent statutory duty on the provider to notify the Commissioner within 14 days of an end benefit becoming payable and to correct a material error within 7 days - a duty that has nothing to do with release-authority payment and would be buried by a merge. The grade-inflation concern is real but is cured by the stated rubric and the rescoring, which is the proportionate remedy; collapsing three distinct obligations to fix a scoring artefact would lose the one genuinely new duty the enacting law imposes on funds.</w:t>
            </w:r>
          </w:p>
        </w:tc>
      </w:tr>
      <w:tr>
        <w:tc>
          <w:tcPr>
            <w:tcW w:type="dxa" w:w="4300"/>
            <w:tcBorders>
              <w:top w:val="single" w:color="D9D8D2" w:sz="3"/>
              <w:left w:val="none" w:color="FFFFFF" w:sz="0"/>
              <w:bottom w:val="single" w:color="D9D8D2" w:sz="3"/>
              <w:right w:val="none" w:color="FFFFFF" w:sz="0"/>
            </w:tcBorders>
            <w:shd w:fill="EFEEE9" w:color="auto" w:val="clear"/>
            <w:tcMar>
              <w:top w:type="dxa" w:w="70"/>
              <w:left w:type="dxa" w:w="100"/>
              <w:bottom w:type="dxa" w:w="70"/>
              <w:right w:type="dxa" w:w="100"/>
            </w:tcMar>
            <w:vAlign w:val="top"/>
          </w:tcPr>
          <w:p>
            <w:pPr>
              <w:spacing w:after="0" w:line="250"/>
            </w:pPr>
            <w:r>
              <w:rPr>
                <w:rFonts w:ascii="Arial" w:cs="Arial" w:eastAsia="Arial" w:hAnsi="Arial"/>
                <w:color w:val="1A1A1A"/>
                <w:sz w:val="14"/>
                <w:szCs w:val="14"/>
              </w:rPr>
              <w:t xml:space="preserve">P5 bootstraps: findings on unlisted valuation and liquidity frameworks, and enforcement on investment governance, are treated as evidence of unreadiness for a tax calculation performed by different systems and teams.</w:t>
            </w:r>
          </w:p>
        </w:tc>
        <w:tc>
          <w:tcPr>
            <w:tcW w:type="dxa" w:w="1500"/>
            <w:tcBorders>
              <w:top w:val="single" w:color="D9D8D2" w:sz="3"/>
              <w:left w:val="none" w:color="FFFFFF" w:sz="0"/>
              <w:bottom w:val="single" w:color="D9D8D2" w:sz="3"/>
              <w:right w:val="none" w:color="FFFFFF" w:sz="0"/>
            </w:tcBorders>
            <w:shd w:fill="EFEEE9" w:color="auto" w:val="clear"/>
            <w:tcMar>
              <w:top w:type="dxa" w:w="70"/>
              <w:left w:type="dxa" w:w="100"/>
              <w:bottom w:type="dxa" w:w="70"/>
              <w:right w:type="dxa" w:w="100"/>
            </w:tcMar>
            <w:vAlign w:val="top"/>
          </w:tcPr>
          <w:p>
            <w:pPr>
              <w:spacing w:after="0" w:line="250"/>
              <w:jc w:val="center"/>
            </w:pPr>
            <w:r>
              <w:rPr>
                <w:rFonts w:ascii="Arial" w:cs="Arial" w:eastAsia="Arial" w:hAnsi="Arial"/>
                <w:b/>
                <w:bCs/>
                <w:color w:val="00806D"/>
                <w:sz w:val="13"/>
                <w:szCs w:val="13"/>
              </w:rPr>
              <w:t xml:space="preserve">accepted and fixed</w:t>
            </w:r>
          </w:p>
        </w:tc>
        <w:tc>
          <w:tcPr>
            <w:tcW w:type="dxa" w:w="4106"/>
            <w:tcBorders>
              <w:top w:val="single" w:color="D9D8D2" w:sz="3"/>
              <w:left w:val="none" w:color="FFFFFF" w:sz="0"/>
              <w:bottom w:val="single" w:color="D9D8D2" w:sz="3"/>
              <w:right w:val="none" w:color="FFFFFF" w:sz="0"/>
            </w:tcBorders>
            <w:shd w:fill="EFEEE9" w:color="auto" w:val="clear"/>
            <w:tcMar>
              <w:top w:type="dxa" w:w="70"/>
              <w:left w:type="dxa" w:w="100"/>
              <w:bottom w:type="dxa" w:w="70"/>
              <w:right w:type="dxa" w:w="100"/>
            </w:tcMar>
            <w:vAlign w:val="top"/>
          </w:tcPr>
          <w:p>
            <w:pPr>
              <w:spacing w:after="0" w:line="250"/>
            </w:pPr>
            <w:r>
              <w:rPr>
                <w:rFonts w:ascii="Arial" w:cs="Arial" w:eastAsia="Arial" w:hAnsi="Arial"/>
                <w:color w:val="52514E"/>
                <w:sz w:val="13"/>
                <w:szCs w:val="13"/>
              </w:rPr>
              <w:t xml:space="preserve">The inference does not hold and would be spotted immediately. The reasoning is replaced with the sound one the reviewer supplies: platform and wrap trustees are the right cohort because member-directed options make attribution genuinely hard and genuinely divergent. The December 2024 thematic is retained only as indicative evidence of general governance capacity, expressly flagged as indicative rather than probative.</w:t>
            </w:r>
          </w:p>
        </w:tc>
      </w:tr>
      <w:tr>
        <w:tc>
          <w:tcPr>
            <w:tcW w:type="dxa" w:w="4300"/>
            <w:tcBorders>
              <w:top w:val="single" w:color="D9D8D2" w:sz="3"/>
              <w:left w:val="none" w:color="FFFFFF" w:sz="0"/>
              <w:bottom w:val="single" w:color="D9D8D2" w:sz="3"/>
              <w:right w:val="none" w:color="FFFFFF" w:sz="0"/>
            </w:tcBorders>
            <w:tcMar>
              <w:top w:type="dxa" w:w="70"/>
              <w:left w:type="dxa" w:w="100"/>
              <w:bottom w:type="dxa" w:w="70"/>
              <w:right w:type="dxa" w:w="100"/>
            </w:tcMar>
            <w:vAlign w:val="top"/>
          </w:tcPr>
          <w:p>
            <w:pPr>
              <w:spacing w:after="0" w:line="250"/>
            </w:pPr>
            <w:r>
              <w:rPr>
                <w:rFonts w:ascii="Arial" w:cs="Arial" w:eastAsia="Arial" w:hAnsi="Arial"/>
                <w:color w:val="1A1A1A"/>
                <w:sz w:val="14"/>
                <w:szCs w:val="14"/>
              </w:rPr>
              <w:t xml:space="preserve">P7's title asserts money is already moving while the body concedes causation is not established, and the largest rollover quarter predates the October 2025 redesign.</w:t>
            </w:r>
          </w:p>
        </w:tc>
        <w:tc>
          <w:tcPr>
            <w:tcW w:type="dxa" w:w="1500"/>
            <w:tcBorders>
              <w:top w:val="single" w:color="D9D8D2" w:sz="3"/>
              <w:left w:val="none" w:color="FFFFFF" w:sz="0"/>
              <w:bottom w:val="single" w:color="D9D8D2" w:sz="3"/>
              <w:right w:val="none" w:color="FFFFFF" w:sz="0"/>
            </w:tcBorders>
            <w:tcMar>
              <w:top w:type="dxa" w:w="70"/>
              <w:left w:type="dxa" w:w="100"/>
              <w:bottom w:type="dxa" w:w="70"/>
              <w:right w:type="dxa" w:w="100"/>
            </w:tcMar>
            <w:vAlign w:val="top"/>
          </w:tcPr>
          <w:p>
            <w:pPr>
              <w:spacing w:after="0" w:line="250"/>
              <w:jc w:val="center"/>
            </w:pPr>
            <w:r>
              <w:rPr>
                <w:rFonts w:ascii="Arial" w:cs="Arial" w:eastAsia="Arial" w:hAnsi="Arial"/>
                <w:b/>
                <w:bCs/>
                <w:color w:val="E87722"/>
                <w:sz w:val="13"/>
                <w:szCs w:val="13"/>
              </w:rPr>
              <w:t xml:space="preserve">partially accepted</w:t>
            </w:r>
          </w:p>
        </w:tc>
        <w:tc>
          <w:tcPr>
            <w:tcW w:type="dxa" w:w="4106"/>
            <w:tcBorders>
              <w:top w:val="single" w:color="D9D8D2" w:sz="3"/>
              <w:left w:val="none" w:color="FFFFFF" w:sz="0"/>
              <w:bottom w:val="single" w:color="D9D8D2" w:sz="3"/>
              <w:right w:val="none" w:color="FFFFFF" w:sz="0"/>
            </w:tcBorders>
            <w:tcMar>
              <w:top w:type="dxa" w:w="70"/>
              <w:left w:type="dxa" w:w="100"/>
              <w:bottom w:type="dxa" w:w="70"/>
              <w:right w:type="dxa" w:w="100"/>
            </w:tcMar>
            <w:vAlign w:val="top"/>
          </w:tcPr>
          <w:p>
            <w:pPr>
              <w:spacing w:after="0" w:line="250"/>
            </w:pPr>
            <w:r>
              <w:rPr>
                <w:rFonts w:ascii="Arial" w:cs="Arial" w:eastAsia="Arial" w:hAnsi="Arial"/>
                <w:color w:val="52514E"/>
                <w:sz w:val="13"/>
                <w:szCs w:val="13"/>
              </w:rPr>
              <w:t xml:space="preserve">Accepted that the title over-claims: retitled around the legislated cost-base asymmetry, with the rollover series demoted to a monitoring line and materiality reduced. Not accepted in its reasoning: the September 2025 quarter predates the redesign but not the measure, which had been public policy since February 2023, so that quarter does not refute a Division 296 explanation any more than it supports one. The correct position is that causation is unestablished in both directions and APRA should say so plainly.</w:t>
            </w:r>
          </w:p>
        </w:tc>
      </w:tr>
      <w:tr>
        <w:tc>
          <w:tcPr>
            <w:tcW w:type="dxa" w:w="4300"/>
            <w:tcBorders>
              <w:top w:val="single" w:color="D9D8D2" w:sz="3"/>
              <w:left w:val="none" w:color="FFFFFF" w:sz="0"/>
              <w:bottom w:val="single" w:color="D9D8D2" w:sz="3"/>
              <w:right w:val="none" w:color="FFFFFF" w:sz="0"/>
            </w:tcBorders>
            <w:shd w:fill="EFEEE9" w:color="auto" w:val="clear"/>
            <w:tcMar>
              <w:top w:type="dxa" w:w="70"/>
              <w:left w:type="dxa" w:w="100"/>
              <w:bottom w:type="dxa" w:w="70"/>
              <w:right w:type="dxa" w:w="100"/>
            </w:tcMar>
            <w:vAlign w:val="top"/>
          </w:tcPr>
          <w:p>
            <w:pPr>
              <w:spacing w:after="0" w:line="250"/>
            </w:pPr>
            <w:r>
              <w:rPr>
                <w:rFonts w:ascii="Arial" w:cs="Arial" w:eastAsia="Arial" w:hAnsi="Arial"/>
                <w:color w:val="1A1A1A"/>
                <w:sz w:val="14"/>
                <w:szCs w:val="14"/>
              </w:rPr>
              <w:t xml:space="preserve">P8's materiality 4 is defeated by its own evidence: ASFA puts typical amendment variation at a few basis points, so per-member tax changes are trivial. The real point is administrative disproportion and four-year reproducibility.</w:t>
            </w:r>
          </w:p>
        </w:tc>
        <w:tc>
          <w:tcPr>
            <w:tcW w:type="dxa" w:w="1500"/>
            <w:tcBorders>
              <w:top w:val="single" w:color="D9D8D2" w:sz="3"/>
              <w:left w:val="none" w:color="FFFFFF" w:sz="0"/>
              <w:bottom w:val="single" w:color="D9D8D2" w:sz="3"/>
              <w:right w:val="none" w:color="FFFFFF" w:sz="0"/>
            </w:tcBorders>
            <w:shd w:fill="EFEEE9" w:color="auto" w:val="clear"/>
            <w:tcMar>
              <w:top w:type="dxa" w:w="70"/>
              <w:left w:type="dxa" w:w="100"/>
              <w:bottom w:type="dxa" w:w="70"/>
              <w:right w:type="dxa" w:w="100"/>
            </w:tcMar>
            <w:vAlign w:val="top"/>
          </w:tcPr>
          <w:p>
            <w:pPr>
              <w:spacing w:after="0" w:line="250"/>
              <w:jc w:val="center"/>
            </w:pPr>
            <w:r>
              <w:rPr>
                <w:rFonts w:ascii="Arial" w:cs="Arial" w:eastAsia="Arial" w:hAnsi="Arial"/>
                <w:b/>
                <w:bCs/>
                <w:color w:val="E87722"/>
                <w:sz w:val="13"/>
                <w:szCs w:val="13"/>
              </w:rPr>
              <w:t xml:space="preserve">partially accepted</w:t>
            </w:r>
          </w:p>
        </w:tc>
        <w:tc>
          <w:tcPr>
            <w:tcW w:type="dxa" w:w="4106"/>
            <w:tcBorders>
              <w:top w:val="single" w:color="D9D8D2" w:sz="3"/>
              <w:left w:val="none" w:color="FFFFFF" w:sz="0"/>
              <w:bottom w:val="single" w:color="D9D8D2" w:sz="3"/>
              <w:right w:val="none" w:color="FFFFFF" w:sz="0"/>
            </w:tcBorders>
            <w:shd w:fill="EFEEE9" w:color="auto" w:val="clear"/>
            <w:tcMar>
              <w:top w:type="dxa" w:w="70"/>
              <w:left w:type="dxa" w:w="100"/>
              <w:bottom w:type="dxa" w:w="70"/>
              <w:right w:type="dxa" w:w="100"/>
            </w:tcMar>
            <w:vAlign w:val="top"/>
          </w:tcPr>
          <w:p>
            <w:pPr>
              <w:spacing w:after="0" w:line="250"/>
            </w:pPr>
            <w:r>
              <w:rPr>
                <w:rFonts w:ascii="Arial" w:cs="Arial" w:eastAsia="Arial" w:hAnsi="Arial"/>
                <w:color w:val="52514E"/>
                <w:sz w:val="13"/>
                <w:szCs w:val="13"/>
              </w:rPr>
              <w:t xml:space="preserve">Accepted that member financial harm is not the right frame and that materiality must come down; the issue is reframed around reissuing assessments to move a bill by tens of dollars, which is the strongest argument for the industry's materiality-threshold ask. Not demoted as far as C: the four-year reproducibility obligation now sits alongside an express statutory correction duty on the provider within 7 days of a material change or omission, which is a live, dated compliance obligation rather than a hypothetical, so the issue holds at B.</w:t>
            </w:r>
          </w:p>
        </w:tc>
      </w:tr>
      <w:tr>
        <w:tc>
          <w:tcPr>
            <w:tcW w:type="dxa" w:w="4300"/>
            <w:tcBorders>
              <w:top w:val="single" w:color="D9D8D2" w:sz="3"/>
              <w:left w:val="none" w:color="FFFFFF" w:sz="0"/>
              <w:bottom w:val="single" w:color="D9D8D2" w:sz="3"/>
              <w:right w:val="none" w:color="FFFFFF" w:sz="0"/>
            </w:tcBorders>
            <w:tcMar>
              <w:top w:type="dxa" w:w="70"/>
              <w:left w:type="dxa" w:w="100"/>
              <w:bottom w:type="dxa" w:w="70"/>
              <w:right w:type="dxa" w:w="100"/>
            </w:tcMar>
            <w:vAlign w:val="top"/>
          </w:tcPr>
          <w:p>
            <w:pPr>
              <w:spacing w:after="0" w:line="250"/>
            </w:pPr>
            <w:r>
              <w:rPr>
                <w:rFonts w:ascii="Arial" w:cs="Arial" w:eastAsia="Arial" w:hAnsi="Arial"/>
                <w:color w:val="1A1A1A"/>
                <w:sz w:val="14"/>
                <w:szCs w:val="14"/>
              </w:rPr>
              <w:t xml:space="preserve">P13 states the ten-business-day release authority clock and penalty as settled fact in plain English while its own gap records that the Division 296 release authority type is unconfirmed.</w:t>
            </w:r>
          </w:p>
        </w:tc>
        <w:tc>
          <w:tcPr>
            <w:tcW w:type="dxa" w:w="1500"/>
            <w:tcBorders>
              <w:top w:val="single" w:color="D9D8D2" w:sz="3"/>
              <w:left w:val="none" w:color="FFFFFF" w:sz="0"/>
              <w:bottom w:val="single" w:color="D9D8D2" w:sz="3"/>
              <w:right w:val="none" w:color="FFFFFF" w:sz="0"/>
            </w:tcBorders>
            <w:tcMar>
              <w:top w:type="dxa" w:w="70"/>
              <w:left w:type="dxa" w:w="100"/>
              <w:bottom w:type="dxa" w:w="70"/>
              <w:right w:type="dxa" w:w="100"/>
            </w:tcMar>
            <w:vAlign w:val="top"/>
          </w:tcPr>
          <w:p>
            <w:pPr>
              <w:spacing w:after="0" w:line="250"/>
              <w:jc w:val="center"/>
            </w:pPr>
            <w:r>
              <w:rPr>
                <w:rFonts w:ascii="Arial" w:cs="Arial" w:eastAsia="Arial" w:hAnsi="Arial"/>
                <w:b/>
                <w:bCs/>
                <w:color w:val="00806D"/>
                <w:sz w:val="13"/>
                <w:szCs w:val="13"/>
              </w:rPr>
              <w:t xml:space="preserve">accepted and fixed</w:t>
            </w:r>
          </w:p>
        </w:tc>
        <w:tc>
          <w:tcPr>
            <w:tcW w:type="dxa" w:w="4106"/>
            <w:tcBorders>
              <w:top w:val="single" w:color="D9D8D2" w:sz="3"/>
              <w:left w:val="none" w:color="FFFFFF" w:sz="0"/>
              <w:bottom w:val="single" w:color="D9D8D2" w:sz="3"/>
              <w:right w:val="none" w:color="FFFFFF" w:sz="0"/>
            </w:tcBorders>
            <w:tcMar>
              <w:top w:type="dxa" w:w="70"/>
              <w:left w:type="dxa" w:w="100"/>
              <w:bottom w:type="dxa" w:w="70"/>
              <w:right w:type="dxa" w:w="100"/>
            </w:tcMar>
            <w:vAlign w:val="top"/>
          </w:tcPr>
          <w:p>
            <w:pPr>
              <w:spacing w:after="0" w:line="250"/>
            </w:pPr>
            <w:r>
              <w:rPr>
                <w:rFonts w:ascii="Arial" w:cs="Arial" w:eastAsia="Arial" w:hAnsi="Arial"/>
                <w:color w:val="52514E"/>
                <w:sz w:val="13"/>
                <w:szCs w:val="13"/>
              </w:rPr>
              <w:t xml:space="preserve">An unconfirmed statutory deadline cannot sit in the plain-English text with the caveat three fields away. Rewritten to state that other release authority types carry a ten-business-day clock and a penalty and that the Division 296 equivalent has not been published, pending confirmation with the ATO before the meeting.</w:t>
            </w:r>
          </w:p>
        </w:tc>
      </w:tr>
      <w:tr>
        <w:tc>
          <w:tcPr>
            <w:tcW w:type="dxa" w:w="4300"/>
            <w:tcBorders>
              <w:top w:val="single" w:color="D9D8D2" w:sz="3"/>
              <w:left w:val="none" w:color="FFFFFF" w:sz="0"/>
              <w:bottom w:val="single" w:color="D9D8D2" w:sz="3"/>
              <w:right w:val="none" w:color="FFFFFF" w:sz="0"/>
            </w:tcBorders>
            <w:shd w:fill="EFEEE9" w:color="auto" w:val="clear"/>
            <w:tcMar>
              <w:top w:type="dxa" w:w="70"/>
              <w:left w:type="dxa" w:w="100"/>
              <w:bottom w:type="dxa" w:w="70"/>
              <w:right w:type="dxa" w:w="100"/>
            </w:tcMar>
            <w:vAlign w:val="top"/>
          </w:tcPr>
          <w:p>
            <w:pPr>
              <w:spacing w:after="0" w:line="250"/>
            </w:pPr>
            <w:r>
              <w:rPr>
                <w:rFonts w:ascii="Arial" w:cs="Arial" w:eastAsia="Arial" w:hAnsi="Arial"/>
                <w:color w:val="1A1A1A"/>
                <w:sz w:val="14"/>
                <w:szCs w:val="14"/>
              </w:rPr>
              <w:t xml:space="preserve">P12 overstates APRA's proximity (AFCA jurisdiction is ASIC and Treasury territory) and recommends an ATO data request that taxpayer confidentiality does not permit.</w:t>
            </w:r>
          </w:p>
        </w:tc>
        <w:tc>
          <w:tcPr>
            <w:tcW w:type="dxa" w:w="1500"/>
            <w:tcBorders>
              <w:top w:val="single" w:color="D9D8D2" w:sz="3"/>
              <w:left w:val="none" w:color="FFFFFF" w:sz="0"/>
              <w:bottom w:val="single" w:color="D9D8D2" w:sz="3"/>
              <w:right w:val="none" w:color="FFFFFF" w:sz="0"/>
            </w:tcBorders>
            <w:shd w:fill="EFEEE9" w:color="auto" w:val="clear"/>
            <w:tcMar>
              <w:top w:type="dxa" w:w="70"/>
              <w:left w:type="dxa" w:w="100"/>
              <w:bottom w:type="dxa" w:w="70"/>
              <w:right w:type="dxa" w:w="100"/>
            </w:tcMar>
            <w:vAlign w:val="top"/>
          </w:tcPr>
          <w:p>
            <w:pPr>
              <w:spacing w:after="0" w:line="250"/>
              <w:jc w:val="center"/>
            </w:pPr>
            <w:r>
              <w:rPr>
                <w:rFonts w:ascii="Arial" w:cs="Arial" w:eastAsia="Arial" w:hAnsi="Arial"/>
                <w:b/>
                <w:bCs/>
                <w:color w:val="E87722"/>
                <w:sz w:val="13"/>
                <w:szCs w:val="13"/>
              </w:rPr>
              <w:t xml:space="preserve">partially accepted</w:t>
            </w:r>
          </w:p>
        </w:tc>
        <w:tc>
          <w:tcPr>
            <w:tcW w:type="dxa" w:w="4106"/>
            <w:tcBorders>
              <w:top w:val="single" w:color="D9D8D2" w:sz="3"/>
              <w:left w:val="none" w:color="FFFFFF" w:sz="0"/>
              <w:bottom w:val="single" w:color="D9D8D2" w:sz="3"/>
              <w:right w:val="none" w:color="FFFFFF" w:sz="0"/>
            </w:tcBorders>
            <w:shd w:fill="EFEEE9" w:color="auto" w:val="clear"/>
            <w:tcMar>
              <w:top w:type="dxa" w:w="70"/>
              <w:left w:type="dxa" w:w="100"/>
              <w:bottom w:type="dxa" w:w="70"/>
              <w:right w:type="dxa" w:w="100"/>
            </w:tcMar>
            <w:vAlign w:val="top"/>
          </w:tcPr>
          <w:p>
            <w:pPr>
              <w:spacing w:after="0" w:line="250"/>
            </w:pPr>
            <w:r>
              <w:rPr>
                <w:rFonts w:ascii="Arial" w:cs="Arial" w:eastAsia="Arial" w:hAnsi="Arial"/>
                <w:color w:val="52514E"/>
                <w:sz w:val="13"/>
                <w:szCs w:val="13"/>
              </w:rPr>
              <w:t xml:space="preserve">The secrecy point is accepted in full: the ask is reframed as a legislative request to Treasury for a disclosure exception, with the obstacle stated. The AFCA point is accepted only in part - the question is routed to ASIC with an APRA member-outcomes view attached rather than owned by APRA - but the proximity downgrade is rejected, because the enacting law's own notification provision carries an express note that a dissatisfied person may complain under the AFCA scheme. Parliament has therefore already contemplated member complaints against providers arising from Division 296 conduct, which is squarely a supervised-entity conduct and operational exposure.</w:t>
            </w:r>
          </w:p>
        </w:tc>
      </w:tr>
      <w:tr>
        <w:tc>
          <w:tcPr>
            <w:tcW w:type="dxa" w:w="4300"/>
            <w:tcBorders>
              <w:top w:val="single" w:color="D9D8D2" w:sz="3"/>
              <w:left w:val="none" w:color="FFFFFF" w:sz="0"/>
              <w:bottom w:val="single" w:color="D9D8D2" w:sz="3"/>
              <w:right w:val="none" w:color="FFFFFF" w:sz="0"/>
            </w:tcBorders>
            <w:tcMar>
              <w:top w:type="dxa" w:w="70"/>
              <w:left w:type="dxa" w:w="100"/>
              <w:bottom w:type="dxa" w:w="70"/>
              <w:right w:type="dxa" w:w="100"/>
            </w:tcMar>
            <w:vAlign w:val="top"/>
          </w:tcPr>
          <w:p>
            <w:pPr>
              <w:spacing w:after="0" w:line="250"/>
            </w:pPr>
            <w:r>
              <w:rPr>
                <w:rFonts w:ascii="Arial" w:cs="Arial" w:eastAsia="Arial" w:hAnsi="Arial"/>
                <w:color w:val="1A1A1A"/>
                <w:sz w:val="14"/>
                <w:szCs w:val="14"/>
              </w:rPr>
              <w:t xml:space="preserve">P10 frames the accumulation/defined benefit differential tax base as an equitable-treatment failing, but a trustee cannot breach the covenant by complying with a statute that prescribes different bases.</w:t>
            </w:r>
          </w:p>
        </w:tc>
        <w:tc>
          <w:tcPr>
            <w:tcW w:type="dxa" w:w="1500"/>
            <w:tcBorders>
              <w:top w:val="single" w:color="D9D8D2" w:sz="3"/>
              <w:left w:val="none" w:color="FFFFFF" w:sz="0"/>
              <w:bottom w:val="single" w:color="D9D8D2" w:sz="3"/>
              <w:right w:val="none" w:color="FFFFFF" w:sz="0"/>
            </w:tcBorders>
            <w:tcMar>
              <w:top w:type="dxa" w:w="70"/>
              <w:left w:type="dxa" w:w="100"/>
              <w:bottom w:type="dxa" w:w="70"/>
              <w:right w:type="dxa" w:w="100"/>
            </w:tcMar>
            <w:vAlign w:val="top"/>
          </w:tcPr>
          <w:p>
            <w:pPr>
              <w:spacing w:after="0" w:line="250"/>
              <w:jc w:val="center"/>
            </w:pPr>
            <w:r>
              <w:rPr>
                <w:rFonts w:ascii="Arial" w:cs="Arial" w:eastAsia="Arial" w:hAnsi="Arial"/>
                <w:b/>
                <w:bCs/>
                <w:color w:val="00806D"/>
                <w:sz w:val="13"/>
                <w:szCs w:val="13"/>
              </w:rPr>
              <w:t xml:space="preserve">accepted and fixed</w:t>
            </w:r>
          </w:p>
        </w:tc>
        <w:tc>
          <w:tcPr>
            <w:tcW w:type="dxa" w:w="4106"/>
            <w:tcBorders>
              <w:top w:val="single" w:color="D9D8D2" w:sz="3"/>
              <w:left w:val="none" w:color="FFFFFF" w:sz="0"/>
              <w:bottom w:val="single" w:color="D9D8D2" w:sz="3"/>
              <w:right w:val="none" w:color="FFFFFF" w:sz="0"/>
            </w:tcBorders>
            <w:tcMar>
              <w:top w:type="dxa" w:w="70"/>
              <w:left w:type="dxa" w:w="100"/>
              <w:bottom w:type="dxa" w:w="70"/>
              <w:right w:type="dxa" w:w="100"/>
            </w:tcMar>
            <w:vAlign w:val="top"/>
          </w:tcPr>
          <w:p>
            <w:pPr>
              <w:spacing w:after="0" w:line="250"/>
            </w:pPr>
            <w:r>
              <w:rPr>
                <w:rFonts w:ascii="Arial" w:cs="Arial" w:eastAsia="Arial" w:hAnsi="Arial"/>
                <w:color w:val="52514E"/>
                <w:sz w:val="13"/>
                <w:szCs w:val="13"/>
              </w:rPr>
              <w:t xml:space="preserve">Category error accepted. The equity framing is demoted to a member-communications point and the issue leads on what is genuinely trustee-side: the new annual actuarial valuation capability, the tighter response window, and decades-long deferred debt account tracking that must survive mergers and administrator changes. The 10,000 defined benefit members figure is caveated to the same standard as the other superseded-design numbers.</w:t>
            </w:r>
          </w:p>
        </w:tc>
      </w:tr>
      <w:tr>
        <w:tc>
          <w:tcPr>
            <w:tcW w:type="dxa" w:w="4300"/>
            <w:tcBorders>
              <w:top w:val="single" w:color="D9D8D2" w:sz="3"/>
              <w:left w:val="none" w:color="FFFFFF" w:sz="0"/>
              <w:bottom w:val="single" w:color="D9D8D2" w:sz="3"/>
              <w:right w:val="none" w:color="FFFFFF" w:sz="0"/>
            </w:tcBorders>
            <w:shd w:fill="EFEEE9" w:color="auto" w:val="clear"/>
            <w:tcMar>
              <w:top w:type="dxa" w:w="70"/>
              <w:left w:type="dxa" w:w="100"/>
              <w:bottom w:type="dxa" w:w="70"/>
              <w:right w:type="dxa" w:w="100"/>
            </w:tcMar>
            <w:vAlign w:val="top"/>
          </w:tcPr>
          <w:p>
            <w:pPr>
              <w:spacing w:after="0" w:line="250"/>
            </w:pPr>
            <w:r>
              <w:rPr>
                <w:rFonts w:ascii="Arial" w:cs="Arial" w:eastAsia="Arial" w:hAnsi="Arial"/>
                <w:color w:val="1A1A1A"/>
                <w:sz w:val="14"/>
                <w:szCs w:val="14"/>
              </w:rPr>
              <w:t xml:space="preserve">P11's materiality 3 is unsupported: roughly $1.42m sector-wide (or even ten times that) spread across 22.5m accounts is cents per member, which is a governance-of-process point, not a member-outcomes harm.</w:t>
            </w:r>
          </w:p>
        </w:tc>
        <w:tc>
          <w:tcPr>
            <w:tcW w:type="dxa" w:w="1500"/>
            <w:tcBorders>
              <w:top w:val="single" w:color="D9D8D2" w:sz="3"/>
              <w:left w:val="none" w:color="FFFFFF" w:sz="0"/>
              <w:bottom w:val="single" w:color="D9D8D2" w:sz="3"/>
              <w:right w:val="none" w:color="FFFFFF" w:sz="0"/>
            </w:tcBorders>
            <w:shd w:fill="EFEEE9" w:color="auto" w:val="clear"/>
            <w:tcMar>
              <w:top w:type="dxa" w:w="70"/>
              <w:left w:type="dxa" w:w="100"/>
              <w:bottom w:type="dxa" w:w="70"/>
              <w:right w:type="dxa" w:w="100"/>
            </w:tcMar>
            <w:vAlign w:val="top"/>
          </w:tcPr>
          <w:p>
            <w:pPr>
              <w:spacing w:after="0" w:line="250"/>
              <w:jc w:val="center"/>
            </w:pPr>
            <w:r>
              <w:rPr>
                <w:rFonts w:ascii="Arial" w:cs="Arial" w:eastAsia="Arial" w:hAnsi="Arial"/>
                <w:b/>
                <w:bCs/>
                <w:color w:val="00806D"/>
                <w:sz w:val="13"/>
                <w:szCs w:val="13"/>
              </w:rPr>
              <w:t xml:space="preserve">accepted and fixed</w:t>
            </w:r>
          </w:p>
        </w:tc>
        <w:tc>
          <w:tcPr>
            <w:tcW w:type="dxa" w:w="4106"/>
            <w:tcBorders>
              <w:top w:val="single" w:color="D9D8D2" w:sz="3"/>
              <w:left w:val="none" w:color="FFFFFF" w:sz="0"/>
              <w:bottom w:val="single" w:color="D9D8D2" w:sz="3"/>
              <w:right w:val="none" w:color="FFFFFF" w:sz="0"/>
            </w:tcBorders>
            <w:shd w:fill="EFEEE9" w:color="auto" w:val="clear"/>
            <w:tcMar>
              <w:top w:type="dxa" w:w="70"/>
              <w:left w:type="dxa" w:w="100"/>
              <w:bottom w:type="dxa" w:w="70"/>
              <w:right w:type="dxa" w:w="100"/>
            </w:tcMar>
            <w:vAlign w:val="top"/>
          </w:tcPr>
          <w:p>
            <w:pPr>
              <w:spacing w:after="0" w:line="250"/>
            </w:pPr>
            <w:r>
              <w:rPr>
                <w:rFonts w:ascii="Arial" w:cs="Arial" w:eastAsia="Arial" w:hAnsi="Arial"/>
                <w:color w:val="52514E"/>
                <w:sz w:val="13"/>
                <w:szCs w:val="13"/>
              </w:rPr>
              <w:t xml:space="preserve">The arithmetic is right and belongs in the note. Materiality reduced and the issue regraded, while the recommended action is kept unchanged - asking how build and run costs are recovered before FY2028 fee-setting is locked in is cheap, timely and useful, and the cohort proposal for business performance reviews is among the best instrument-level ideas in the pack. A lower-grade issue with a strong action is recorded as such.</w:t>
            </w:r>
          </w:p>
        </w:tc>
      </w:tr>
      <w:tr>
        <w:tc>
          <w:tcPr>
            <w:tcW w:type="dxa" w:w="4300"/>
            <w:tcBorders>
              <w:top w:val="single" w:color="D9D8D2" w:sz="3"/>
              <w:left w:val="none" w:color="FFFFFF" w:sz="0"/>
              <w:bottom w:val="single" w:color="D9D8D2" w:sz="3"/>
              <w:right w:val="none" w:color="FFFFFF" w:sz="0"/>
            </w:tcBorders>
            <w:tcMar>
              <w:top w:type="dxa" w:w="70"/>
              <w:left w:type="dxa" w:w="100"/>
              <w:bottom w:type="dxa" w:w="70"/>
              <w:right w:type="dxa" w:w="100"/>
            </w:tcMar>
            <w:vAlign w:val="top"/>
          </w:tcPr>
          <w:p>
            <w:pPr>
              <w:spacing w:after="0" w:line="250"/>
            </w:pPr>
            <w:r>
              <w:rPr>
                <w:rFonts w:ascii="Arial" w:cs="Arial" w:eastAsia="Arial" w:hAnsi="Arial"/>
                <w:color w:val="1A1A1A"/>
                <w:sz w:val="14"/>
                <w:szCs w:val="14"/>
              </w:rPr>
              <w:t xml:space="preserve">About half the consultation asks are tax-design positions advanced in APRA's name (cost-base levelling, materiality thresholds, reserve treatment, post-death attribution, loss treatment, pooled superannuation trust mechanics) rather than prudential consequences.</w:t>
            </w:r>
          </w:p>
        </w:tc>
        <w:tc>
          <w:tcPr>
            <w:tcW w:type="dxa" w:w="1500"/>
            <w:tcBorders>
              <w:top w:val="single" w:color="D9D8D2" w:sz="3"/>
              <w:left w:val="none" w:color="FFFFFF" w:sz="0"/>
              <w:bottom w:val="single" w:color="D9D8D2" w:sz="3"/>
              <w:right w:val="none" w:color="FFFFFF" w:sz="0"/>
            </w:tcBorders>
            <w:tcMar>
              <w:top w:type="dxa" w:w="70"/>
              <w:left w:type="dxa" w:w="100"/>
              <w:bottom w:type="dxa" w:w="70"/>
              <w:right w:type="dxa" w:w="100"/>
            </w:tcMar>
            <w:vAlign w:val="top"/>
          </w:tcPr>
          <w:p>
            <w:pPr>
              <w:spacing w:after="0" w:line="250"/>
              <w:jc w:val="center"/>
            </w:pPr>
            <w:r>
              <w:rPr>
                <w:rFonts w:ascii="Arial" w:cs="Arial" w:eastAsia="Arial" w:hAnsi="Arial"/>
                <w:b/>
                <w:bCs/>
                <w:color w:val="E87722"/>
                <w:sz w:val="13"/>
                <w:szCs w:val="13"/>
              </w:rPr>
              <w:t xml:space="preserve">partially accepted</w:t>
            </w:r>
          </w:p>
        </w:tc>
        <w:tc>
          <w:tcPr>
            <w:tcW w:type="dxa" w:w="4106"/>
            <w:tcBorders>
              <w:top w:val="single" w:color="D9D8D2" w:sz="3"/>
              <w:left w:val="none" w:color="FFFFFF" w:sz="0"/>
              <w:bottom w:val="single" w:color="D9D8D2" w:sz="3"/>
              <w:right w:val="none" w:color="FFFFFF" w:sz="0"/>
            </w:tcBorders>
            <w:tcMar>
              <w:top w:type="dxa" w:w="70"/>
              <w:left w:type="dxa" w:w="100"/>
              <w:bottom w:type="dxa" w:w="70"/>
              <w:right w:type="dxa" w:w="100"/>
            </w:tcMar>
            <w:vAlign w:val="top"/>
          </w:tcPr>
          <w:p>
            <w:pPr>
              <w:spacing w:after="0" w:line="250"/>
            </w:pPr>
            <w:r>
              <w:rPr>
                <w:rFonts w:ascii="Arial" w:cs="Arial" w:eastAsia="Arial" w:hAnsi="Arial"/>
                <w:color w:val="52514E"/>
                <w:sz w:val="13"/>
                <w:szCs w:val="13"/>
              </w:rPr>
              <w:t xml:space="preserve">Accepted in structure: the list is split into asks APRA owns (participation in the calculation and attribution work, the transfer protocol, a published in-scope headcount, an ATO data arrangement, and a minimum governance standard for attribution as a member-equity expectation) and prudential consequences put on the record for Treasury and the ATO to remedy. Not accepted that the substance should be dropped - a prudential regulator is entitled, and expected, to state the consequence for supervised entities and members of a specific design feature; what it should not do is nominate the tax mechanic. Each relocated item is restated as a consequence with the remedy left to the policy owner.</w:t>
            </w:r>
          </w:p>
        </w:tc>
      </w:tr>
      <w:tr>
        <w:tc>
          <w:tcPr>
            <w:tcW w:type="dxa" w:w="4300"/>
            <w:tcBorders>
              <w:top w:val="single" w:color="D9D8D2" w:sz="3"/>
              <w:left w:val="none" w:color="FFFFFF" w:sz="0"/>
              <w:bottom w:val="single" w:color="D9D8D2" w:sz="3"/>
              <w:right w:val="none" w:color="FFFFFF" w:sz="0"/>
            </w:tcBorders>
            <w:shd w:fill="EFEEE9" w:color="auto" w:val="clear"/>
            <w:tcMar>
              <w:top w:type="dxa" w:w="70"/>
              <w:left w:type="dxa" w:w="100"/>
              <w:bottom w:type="dxa" w:w="70"/>
              <w:right w:type="dxa" w:w="100"/>
            </w:tcMar>
            <w:vAlign w:val="top"/>
          </w:tcPr>
          <w:p>
            <w:pPr>
              <w:spacing w:after="0" w:line="250"/>
            </w:pPr>
            <w:r>
              <w:rPr>
                <w:rFonts w:ascii="Arial" w:cs="Arial" w:eastAsia="Arial" w:hAnsi="Arial"/>
                <w:color w:val="1A1A1A"/>
                <w:sz w:val="14"/>
                <w:szCs w:val="14"/>
              </w:rPr>
              <w:t xml:space="preserve">P15's plain English fails: 'superannuation interest' is an undefined term of art and is the crux of the issue.</w:t>
            </w:r>
          </w:p>
        </w:tc>
        <w:tc>
          <w:tcPr>
            <w:tcW w:type="dxa" w:w="1500"/>
            <w:tcBorders>
              <w:top w:val="single" w:color="D9D8D2" w:sz="3"/>
              <w:left w:val="none" w:color="FFFFFF" w:sz="0"/>
              <w:bottom w:val="single" w:color="D9D8D2" w:sz="3"/>
              <w:right w:val="none" w:color="FFFFFF" w:sz="0"/>
            </w:tcBorders>
            <w:shd w:fill="EFEEE9" w:color="auto" w:val="clear"/>
            <w:tcMar>
              <w:top w:type="dxa" w:w="70"/>
              <w:left w:type="dxa" w:w="100"/>
              <w:bottom w:type="dxa" w:w="70"/>
              <w:right w:type="dxa" w:w="100"/>
            </w:tcMar>
            <w:vAlign w:val="top"/>
          </w:tcPr>
          <w:p>
            <w:pPr>
              <w:spacing w:after="0" w:line="250"/>
              <w:jc w:val="center"/>
            </w:pPr>
            <w:r>
              <w:rPr>
                <w:rFonts w:ascii="Arial" w:cs="Arial" w:eastAsia="Arial" w:hAnsi="Arial"/>
                <w:b/>
                <w:bCs/>
                <w:color w:val="00806D"/>
                <w:sz w:val="13"/>
                <w:szCs w:val="13"/>
              </w:rPr>
              <w:t xml:space="preserve">accepted and fixed</w:t>
            </w:r>
          </w:p>
        </w:tc>
        <w:tc>
          <w:tcPr>
            <w:tcW w:type="dxa" w:w="4106"/>
            <w:tcBorders>
              <w:top w:val="single" w:color="D9D8D2" w:sz="3"/>
              <w:left w:val="none" w:color="FFFFFF" w:sz="0"/>
              <w:bottom w:val="single" w:color="D9D8D2" w:sz="3"/>
              <w:right w:val="none" w:color="FFFFFF" w:sz="0"/>
            </w:tcBorders>
            <w:shd w:fill="EFEEE9" w:color="auto" w:val="clear"/>
            <w:tcMar>
              <w:top w:type="dxa" w:w="70"/>
              <w:left w:type="dxa" w:w="100"/>
              <w:bottom w:type="dxa" w:w="70"/>
              <w:right w:type="dxa" w:w="100"/>
            </w:tcMar>
            <w:vAlign w:val="top"/>
          </w:tcPr>
          <w:p>
            <w:pPr>
              <w:spacing w:after="0" w:line="250"/>
            </w:pPr>
            <w:r>
              <w:rPr>
                <w:rFonts w:ascii="Arial" w:cs="Arial" w:eastAsia="Arial" w:hAnsi="Arial"/>
                <w:color w:val="52514E"/>
                <w:sz w:val="13"/>
                <w:szCs w:val="13"/>
              </w:rPr>
              <w:t xml:space="preserve">Rewritten in the reviewer's terms - each separate pot of super gets its own value, the total decides whether more money can be put in, and for defined benefit members the number can move because the measuring method changed rather than because their money changed. The note is unreadable at CEO level if the crux is a term of art.</w:t>
            </w:r>
          </w:p>
        </w:tc>
      </w:tr>
      <w:tr>
        <w:tc>
          <w:tcPr>
            <w:tcW w:type="dxa" w:w="4300"/>
            <w:tcBorders>
              <w:top w:val="single" w:color="D9D8D2" w:sz="3"/>
              <w:left w:val="none" w:color="FFFFFF" w:sz="0"/>
              <w:bottom w:val="single" w:color="D9D8D2" w:sz="3"/>
              <w:right w:val="none" w:color="FFFFFF" w:sz="0"/>
            </w:tcBorders>
            <w:tcMar>
              <w:top w:type="dxa" w:w="70"/>
              <w:left w:type="dxa" w:w="100"/>
              <w:bottom w:type="dxa" w:w="70"/>
              <w:right w:type="dxa" w:w="100"/>
            </w:tcMar>
            <w:vAlign w:val="top"/>
          </w:tcPr>
          <w:p>
            <w:pPr>
              <w:spacing w:after="0" w:line="250"/>
            </w:pPr>
            <w:r>
              <w:rPr>
                <w:rFonts w:ascii="Arial" w:cs="Arial" w:eastAsia="Arial" w:hAnsi="Arial"/>
                <w:color w:val="1A1A1A"/>
                <w:sz w:val="14"/>
                <w:szCs w:val="14"/>
              </w:rPr>
              <w:t xml:space="preserve">P10's plain English packs actuarial value, the movement measure and the 0.825 factor into one clause and assumes the reader knows what a family law split valuation is.</w:t>
            </w:r>
          </w:p>
        </w:tc>
        <w:tc>
          <w:tcPr>
            <w:tcW w:type="dxa" w:w="1500"/>
            <w:tcBorders>
              <w:top w:val="single" w:color="D9D8D2" w:sz="3"/>
              <w:left w:val="none" w:color="FFFFFF" w:sz="0"/>
              <w:bottom w:val="single" w:color="D9D8D2" w:sz="3"/>
              <w:right w:val="none" w:color="FFFFFF" w:sz="0"/>
            </w:tcBorders>
            <w:tcMar>
              <w:top w:type="dxa" w:w="70"/>
              <w:left w:type="dxa" w:w="100"/>
              <w:bottom w:type="dxa" w:w="70"/>
              <w:right w:type="dxa" w:w="100"/>
            </w:tcMar>
            <w:vAlign w:val="top"/>
          </w:tcPr>
          <w:p>
            <w:pPr>
              <w:spacing w:after="0" w:line="250"/>
              <w:jc w:val="center"/>
            </w:pPr>
            <w:r>
              <w:rPr>
                <w:rFonts w:ascii="Arial" w:cs="Arial" w:eastAsia="Arial" w:hAnsi="Arial"/>
                <w:b/>
                <w:bCs/>
                <w:color w:val="00806D"/>
                <w:sz w:val="13"/>
                <w:szCs w:val="13"/>
              </w:rPr>
              <w:t xml:space="preserve">accepted and fixed</w:t>
            </w:r>
          </w:p>
        </w:tc>
        <w:tc>
          <w:tcPr>
            <w:tcW w:type="dxa" w:w="4106"/>
            <w:tcBorders>
              <w:top w:val="single" w:color="D9D8D2" w:sz="3"/>
              <w:left w:val="none" w:color="FFFFFF" w:sz="0"/>
              <w:bottom w:val="single" w:color="D9D8D2" w:sz="3"/>
              <w:right w:val="none" w:color="FFFFFF" w:sz="0"/>
            </w:tcBorders>
            <w:tcMar>
              <w:top w:type="dxa" w:w="70"/>
              <w:left w:type="dxa" w:w="100"/>
              <w:bottom w:type="dxa" w:w="70"/>
              <w:right w:type="dxa" w:w="100"/>
            </w:tcMar>
            <w:vAlign w:val="top"/>
          </w:tcPr>
          <w:p>
            <w:pPr>
              <w:spacing w:after="0" w:line="250"/>
            </w:pPr>
            <w:r>
              <w:rPr>
                <w:rFonts w:ascii="Arial" w:cs="Arial" w:eastAsia="Arial" w:hAnsi="Arial"/>
                <w:color w:val="52514E"/>
                <w:sz w:val="13"/>
                <w:szCs w:val="13"/>
              </w:rPr>
              <w:t xml:space="preserve">Rewritten to explain that an actuary must estimate what a promised pension is worth, that the tax looks at how much that estimate rose over the year cut by about 17.5%, and that funds have only ever done this one member at a time, by hand, on divorce. Without that, a reader cannot judge whether the capability build is proportionate.</w:t>
            </w:r>
          </w:p>
        </w:tc>
      </w:tr>
      <w:tr>
        <w:tc>
          <w:tcPr>
            <w:tcW w:type="dxa" w:w="4300"/>
            <w:tcBorders>
              <w:top w:val="single" w:color="D9D8D2" w:sz="3"/>
              <w:left w:val="none" w:color="FFFFFF" w:sz="0"/>
              <w:bottom w:val="single" w:color="D9D8D2" w:sz="3"/>
              <w:right w:val="none" w:color="FFFFFF" w:sz="0"/>
            </w:tcBorders>
            <w:shd w:fill="EFEEE9" w:color="auto" w:val="clear"/>
            <w:tcMar>
              <w:top w:type="dxa" w:w="70"/>
              <w:left w:type="dxa" w:w="100"/>
              <w:bottom w:type="dxa" w:w="70"/>
              <w:right w:type="dxa" w:w="100"/>
            </w:tcMar>
            <w:vAlign w:val="top"/>
          </w:tcPr>
          <w:p>
            <w:pPr>
              <w:spacing w:after="0" w:line="250"/>
            </w:pPr>
            <w:r>
              <w:rPr>
                <w:rFonts w:ascii="Arial" w:cs="Arial" w:eastAsia="Arial" w:hAnsi="Arial"/>
                <w:color w:val="1A1A1A"/>
                <w:sz w:val="14"/>
                <w:szCs w:val="14"/>
              </w:rPr>
              <w:t xml:space="preserve">No issue anywhere states what an affected member actually pays, so the proportioning mechanism - only the share of earnings above the threshold is taxed - is never explained and every materiality judgement is untestable.</w:t>
            </w:r>
          </w:p>
        </w:tc>
        <w:tc>
          <w:tcPr>
            <w:tcW w:type="dxa" w:w="1500"/>
            <w:tcBorders>
              <w:top w:val="single" w:color="D9D8D2" w:sz="3"/>
              <w:left w:val="none" w:color="FFFFFF" w:sz="0"/>
              <w:bottom w:val="single" w:color="D9D8D2" w:sz="3"/>
              <w:right w:val="none" w:color="FFFFFF" w:sz="0"/>
            </w:tcBorders>
            <w:shd w:fill="EFEEE9" w:color="auto" w:val="clear"/>
            <w:tcMar>
              <w:top w:type="dxa" w:w="70"/>
              <w:left w:type="dxa" w:w="100"/>
              <w:bottom w:type="dxa" w:w="70"/>
              <w:right w:type="dxa" w:w="100"/>
            </w:tcMar>
            <w:vAlign w:val="top"/>
          </w:tcPr>
          <w:p>
            <w:pPr>
              <w:spacing w:after="0" w:line="250"/>
              <w:jc w:val="center"/>
            </w:pPr>
            <w:r>
              <w:rPr>
                <w:rFonts w:ascii="Arial" w:cs="Arial" w:eastAsia="Arial" w:hAnsi="Arial"/>
                <w:b/>
                <w:bCs/>
                <w:color w:val="00806D"/>
                <w:sz w:val="13"/>
                <w:szCs w:val="13"/>
              </w:rPr>
              <w:t xml:space="preserve">accepted and fixed</w:t>
            </w:r>
          </w:p>
        </w:tc>
        <w:tc>
          <w:tcPr>
            <w:tcW w:type="dxa" w:w="4106"/>
            <w:tcBorders>
              <w:top w:val="single" w:color="D9D8D2" w:sz="3"/>
              <w:left w:val="none" w:color="FFFFFF" w:sz="0"/>
              <w:bottom w:val="single" w:color="D9D8D2" w:sz="3"/>
              <w:right w:val="none" w:color="FFFFFF" w:sz="0"/>
            </w:tcBorders>
            <w:shd w:fill="EFEEE9" w:color="auto" w:val="clear"/>
            <w:tcMar>
              <w:top w:type="dxa" w:w="70"/>
              <w:left w:type="dxa" w:w="100"/>
              <w:bottom w:type="dxa" w:w="70"/>
              <w:right w:type="dxa" w:w="100"/>
            </w:tcMar>
            <w:vAlign w:val="top"/>
          </w:tcPr>
          <w:p>
            <w:pPr>
              <w:spacing w:after="0" w:line="250"/>
            </w:pPr>
            <w:r>
              <w:rPr>
                <w:rFonts w:ascii="Arial" w:cs="Arial" w:eastAsia="Arial" w:hAnsi="Arial"/>
                <w:color w:val="52514E"/>
                <w:sz w:val="13"/>
                <w:szCs w:val="13"/>
              </w:rPr>
              <w:t xml:space="preserve">The single most useful omission identified. A worked example is added at the front of the note ($3.2m about $1,800; $4m about $9,000; $10m about $63,000, with the arithmetic shown and labelled as APRA's own derivation), and every likelihood and materiality score is re-tested against it. This alone drove the demotion of the outflow issue.</w:t>
            </w:r>
          </w:p>
        </w:tc>
      </w:tr>
      <w:tr>
        <w:tc>
          <w:tcPr>
            <w:tcW w:type="dxa" w:w="4300"/>
            <w:tcBorders>
              <w:top w:val="single" w:color="D9D8D2" w:sz="3"/>
              <w:left w:val="none" w:color="FFFFFF" w:sz="0"/>
              <w:bottom w:val="single" w:color="D9D8D2" w:sz="3"/>
              <w:right w:val="none" w:color="FFFFFF" w:sz="0"/>
            </w:tcBorders>
            <w:tcMar>
              <w:top w:type="dxa" w:w="70"/>
              <w:left w:type="dxa" w:w="100"/>
              <w:bottom w:type="dxa" w:w="70"/>
              <w:right w:type="dxa" w:w="100"/>
            </w:tcMar>
            <w:vAlign w:val="top"/>
          </w:tcPr>
          <w:p>
            <w:pPr>
              <w:spacing w:after="0" w:line="250"/>
            </w:pPr>
            <w:r>
              <w:rPr>
                <w:rFonts w:ascii="Arial" w:cs="Arial" w:eastAsia="Arial" w:hAnsi="Arial"/>
                <w:color w:val="1A1A1A"/>
                <w:sz w:val="14"/>
                <w:szCs w:val="14"/>
              </w:rPr>
              <w:t xml:space="preserve">P2 recommends escalating an APRA-ATO coordination gap to the Council of Financial Regulators, of which the ATO is not a member; the relevant forum is the wider CFR Plus grouping. The register also recommends an ATO data exchange three times without checking whether taxation secrecy permits it.</w:t>
            </w:r>
          </w:p>
        </w:tc>
        <w:tc>
          <w:tcPr>
            <w:tcW w:type="dxa" w:w="1500"/>
            <w:tcBorders>
              <w:top w:val="single" w:color="D9D8D2" w:sz="3"/>
              <w:left w:val="none" w:color="FFFFFF" w:sz="0"/>
              <w:bottom w:val="single" w:color="D9D8D2" w:sz="3"/>
              <w:right w:val="none" w:color="FFFFFF" w:sz="0"/>
            </w:tcBorders>
            <w:tcMar>
              <w:top w:type="dxa" w:w="70"/>
              <w:left w:type="dxa" w:w="100"/>
              <w:bottom w:type="dxa" w:w="70"/>
              <w:right w:type="dxa" w:w="100"/>
            </w:tcMar>
            <w:vAlign w:val="top"/>
          </w:tcPr>
          <w:p>
            <w:pPr>
              <w:spacing w:after="0" w:line="250"/>
              <w:jc w:val="center"/>
            </w:pPr>
            <w:r>
              <w:rPr>
                <w:rFonts w:ascii="Arial" w:cs="Arial" w:eastAsia="Arial" w:hAnsi="Arial"/>
                <w:b/>
                <w:bCs/>
                <w:color w:val="00806D"/>
                <w:sz w:val="13"/>
                <w:szCs w:val="13"/>
              </w:rPr>
              <w:t xml:space="preserve">accepted and fixed</w:t>
            </w:r>
          </w:p>
        </w:tc>
        <w:tc>
          <w:tcPr>
            <w:tcW w:type="dxa" w:w="4106"/>
            <w:tcBorders>
              <w:top w:val="single" w:color="D9D8D2" w:sz="3"/>
              <w:left w:val="none" w:color="FFFFFF" w:sz="0"/>
              <w:bottom w:val="single" w:color="D9D8D2" w:sz="3"/>
              <w:right w:val="none" w:color="FFFFFF" w:sz="0"/>
            </w:tcBorders>
            <w:tcMar>
              <w:top w:type="dxa" w:w="70"/>
              <w:left w:type="dxa" w:w="100"/>
              <w:bottom w:type="dxa" w:w="70"/>
              <w:right w:type="dxa" w:w="100"/>
            </w:tcMar>
            <w:vAlign w:val="top"/>
          </w:tcPr>
          <w:p>
            <w:pPr>
              <w:spacing w:after="0" w:line="250"/>
            </w:pPr>
            <w:r>
              <w:rPr>
                <w:rFonts w:ascii="Arial" w:cs="Arial" w:eastAsia="Arial" w:hAnsi="Arial"/>
                <w:color w:val="52514E"/>
                <w:sz w:val="13"/>
                <w:szCs w:val="13"/>
              </w:rPr>
              <w:t xml:space="preserve">Both accepted. The forum is corrected, and the legal-basis question - whether the taxation secrecy provisions and the existing APRA-ATO arrangements permit member-level or fund-level Division 296 data to be shared, or whether a legislated exception is needed - is added as the threshold step before any data-exchange recommendation. Recommending a data flow without establishing that it is lawful is a hole a Treasury or ATO counterpart would find immediately.</w:t>
            </w:r>
          </w:p>
        </w:tc>
      </w:tr>
      <w:tr>
        <w:tc>
          <w:tcPr>
            <w:tcW w:type="dxa" w:w="4300"/>
            <w:tcBorders>
              <w:top w:val="single" w:color="D9D8D2" w:sz="3"/>
              <w:left w:val="none" w:color="FFFFFF" w:sz="0"/>
              <w:bottom w:val="single" w:color="D9D8D2" w:sz="3"/>
              <w:right w:val="none" w:color="FFFFFF" w:sz="0"/>
            </w:tcBorders>
            <w:shd w:fill="EFEEE9" w:color="auto" w:val="clear"/>
            <w:tcMar>
              <w:top w:type="dxa" w:w="70"/>
              <w:left w:type="dxa" w:w="100"/>
              <w:bottom w:type="dxa" w:w="70"/>
              <w:right w:type="dxa" w:w="100"/>
            </w:tcMar>
            <w:vAlign w:val="top"/>
          </w:tcPr>
          <w:p>
            <w:pPr>
              <w:spacing w:after="0" w:line="250"/>
            </w:pPr>
            <w:r>
              <w:rPr>
                <w:rFonts w:ascii="Arial" w:cs="Arial" w:eastAsia="Arial" w:hAnsi="Arial"/>
                <w:color w:val="1A1A1A"/>
                <w:sz w:val="14"/>
                <w:szCs w:val="14"/>
              </w:rPr>
              <w:t xml:space="preserve">The register misses APRA's own Payday Super readiness letter of 25 March 2026 - a four-month-old, self-authored precedent for exactly the intervention the register proposes, on a measure commencing the same day.</w:t>
            </w:r>
          </w:p>
        </w:tc>
        <w:tc>
          <w:tcPr>
            <w:tcW w:type="dxa" w:w="1500"/>
            <w:tcBorders>
              <w:top w:val="single" w:color="D9D8D2" w:sz="3"/>
              <w:left w:val="none" w:color="FFFFFF" w:sz="0"/>
              <w:bottom w:val="single" w:color="D9D8D2" w:sz="3"/>
              <w:right w:val="none" w:color="FFFFFF" w:sz="0"/>
            </w:tcBorders>
            <w:shd w:fill="EFEEE9" w:color="auto" w:val="clear"/>
            <w:tcMar>
              <w:top w:type="dxa" w:w="70"/>
              <w:left w:type="dxa" w:w="100"/>
              <w:bottom w:type="dxa" w:w="70"/>
              <w:right w:type="dxa" w:w="100"/>
            </w:tcMar>
            <w:vAlign w:val="top"/>
          </w:tcPr>
          <w:p>
            <w:pPr>
              <w:spacing w:after="0" w:line="250"/>
              <w:jc w:val="center"/>
            </w:pPr>
            <w:r>
              <w:rPr>
                <w:rFonts w:ascii="Arial" w:cs="Arial" w:eastAsia="Arial" w:hAnsi="Arial"/>
                <w:b/>
                <w:bCs/>
                <w:color w:val="00806D"/>
                <w:sz w:val="13"/>
                <w:szCs w:val="13"/>
              </w:rPr>
              <w:t xml:space="preserve">accepted and fixed</w:t>
            </w:r>
          </w:p>
        </w:tc>
        <w:tc>
          <w:tcPr>
            <w:tcW w:type="dxa" w:w="4106"/>
            <w:tcBorders>
              <w:top w:val="single" w:color="D9D8D2" w:sz="3"/>
              <w:left w:val="none" w:color="FFFFFF" w:sz="0"/>
              <w:bottom w:val="single" w:color="D9D8D2" w:sz="3"/>
              <w:right w:val="none" w:color="FFFFFF" w:sz="0"/>
            </w:tcBorders>
            <w:shd w:fill="EFEEE9" w:color="auto" w:val="clear"/>
            <w:tcMar>
              <w:top w:type="dxa" w:w="70"/>
              <w:left w:type="dxa" w:w="100"/>
              <w:bottom w:type="dxa" w:w="70"/>
              <w:right w:type="dxa" w:w="100"/>
            </w:tcMar>
            <w:vAlign w:val="top"/>
          </w:tcPr>
          <w:p>
            <w:pPr>
              <w:spacing w:after="0" w:line="250"/>
            </w:pPr>
            <w:r>
              <w:rPr>
                <w:rFonts w:ascii="Arial" w:cs="Arial" w:eastAsia="Arial" w:hAnsi="Arial"/>
                <w:color w:val="52514E"/>
                <w:sz w:val="13"/>
                <w:szCs w:val="13"/>
              </w:rPr>
              <w:t xml:space="preserve">Strongest completeness addition. It supplies a precedent, drafting, and an answer to the 'is this APRA's business?' objection, and it makes the proposed Division 296 letter a consistency step rather than a new initiative. Cited in the engagement and readiness items. The related change-saturation point - both measures commencing 1 July 2026 on the same platforms and the same finite administrator change capacity - is added as a distinct operational risk.</w:t>
            </w:r>
          </w:p>
        </w:tc>
      </w:tr>
      <w:tr>
        <w:tc>
          <w:tcPr>
            <w:tcW w:type="dxa" w:w="4300"/>
            <w:tcBorders>
              <w:top w:val="single" w:color="D9D8D2" w:sz="3"/>
              <w:left w:val="none" w:color="FFFFFF" w:sz="0"/>
              <w:bottom w:val="single" w:color="D9D8D2" w:sz="3"/>
              <w:right w:val="none" w:color="FFFFFF" w:sz="0"/>
            </w:tcBorders>
            <w:tcMar>
              <w:top w:type="dxa" w:w="70"/>
              <w:left w:type="dxa" w:w="100"/>
              <w:bottom w:type="dxa" w:w="70"/>
              <w:right w:type="dxa" w:w="100"/>
            </w:tcMar>
            <w:vAlign w:val="top"/>
          </w:tcPr>
          <w:p>
            <w:pPr>
              <w:spacing w:after="0" w:line="250"/>
            </w:pPr>
            <w:r>
              <w:rPr>
                <w:rFonts w:ascii="Arial" w:cs="Arial" w:eastAsia="Arial" w:hAnsi="Arial"/>
                <w:color w:val="1A1A1A"/>
                <w:sz w:val="14"/>
                <w:szCs w:val="14"/>
              </w:rPr>
              <w:t xml:space="preserve">P11 stops at fee-setting governance and misses the transmission mechanism: costs recovered through administration fees feed the annual performance test, which carries a product-closure consequence. Regrade to A.</w:t>
            </w:r>
          </w:p>
        </w:tc>
        <w:tc>
          <w:tcPr>
            <w:tcW w:type="dxa" w:w="1500"/>
            <w:tcBorders>
              <w:top w:val="single" w:color="D9D8D2" w:sz="3"/>
              <w:left w:val="none" w:color="FFFFFF" w:sz="0"/>
              <w:bottom w:val="single" w:color="D9D8D2" w:sz="3"/>
              <w:right w:val="none" w:color="FFFFFF" w:sz="0"/>
            </w:tcBorders>
            <w:tcMar>
              <w:top w:type="dxa" w:w="70"/>
              <w:left w:type="dxa" w:w="100"/>
              <w:bottom w:type="dxa" w:w="70"/>
              <w:right w:type="dxa" w:w="100"/>
            </w:tcMar>
            <w:vAlign w:val="top"/>
          </w:tcPr>
          <w:p>
            <w:pPr>
              <w:spacing w:after="0" w:line="250"/>
              <w:jc w:val="center"/>
            </w:pPr>
            <w:r>
              <w:rPr>
                <w:rFonts w:ascii="Arial" w:cs="Arial" w:eastAsia="Arial" w:hAnsi="Arial"/>
                <w:b/>
                <w:bCs/>
                <w:color w:val="E87722"/>
                <w:sz w:val="13"/>
                <w:szCs w:val="13"/>
              </w:rPr>
              <w:t xml:space="preserve">partially accepted</w:t>
            </w:r>
          </w:p>
        </w:tc>
        <w:tc>
          <w:tcPr>
            <w:tcW w:type="dxa" w:w="4106"/>
            <w:tcBorders>
              <w:top w:val="single" w:color="D9D8D2" w:sz="3"/>
              <w:left w:val="none" w:color="FFFFFF" w:sz="0"/>
              <w:bottom w:val="single" w:color="D9D8D2" w:sz="3"/>
              <w:right w:val="none" w:color="FFFFFF" w:sz="0"/>
            </w:tcBorders>
            <w:tcMar>
              <w:top w:type="dxa" w:w="70"/>
              <w:left w:type="dxa" w:w="100"/>
              <w:bottom w:type="dxa" w:w="70"/>
              <w:right w:type="dxa" w:w="100"/>
            </w:tcMar>
            <w:vAlign w:val="top"/>
          </w:tcPr>
          <w:p>
            <w:pPr>
              <w:spacing w:after="0" w:line="250"/>
            </w:pPr>
            <w:r>
              <w:rPr>
                <w:rFonts w:ascii="Arial" w:cs="Arial" w:eastAsia="Arial" w:hAnsi="Arial"/>
                <w:color w:val="52514E"/>
                <w:sz w:val="13"/>
                <w:szCs w:val="13"/>
              </w:rPr>
              <w:t xml:space="preserve">The transmission mechanism is accepted and added, together with the perverse incentive it creates to absorb or capitalise the cost rather than recover it transparently. The regrade to A is rejected: the performance test benchmarks administration fees against the median for the product category, so a cost incurred by the whole sector moves the median as well as the licensee, and the effect is differential rather than absolute. It bites only where a licensee's affected population is small relative to its fee base - a real but narrow exposure, better stated as a supervisory question than as a top-tier risk. The performance test citation is also marked for verification before it is put in front of the CEO.</w:t>
            </w:r>
          </w:p>
        </w:tc>
      </w:tr>
      <w:tr>
        <w:tc>
          <w:tcPr>
            <w:tcW w:type="dxa" w:w="4300"/>
            <w:tcBorders>
              <w:top w:val="single" w:color="D9D8D2" w:sz="3"/>
              <w:left w:val="none" w:color="FFFFFF" w:sz="0"/>
              <w:bottom w:val="single" w:color="D9D8D2" w:sz="3"/>
              <w:right w:val="none" w:color="FFFFFF" w:sz="0"/>
            </w:tcBorders>
            <w:shd w:fill="EFEEE9" w:color="auto" w:val="clear"/>
            <w:tcMar>
              <w:top w:type="dxa" w:w="70"/>
              <w:left w:type="dxa" w:w="100"/>
              <w:bottom w:type="dxa" w:w="70"/>
              <w:right w:type="dxa" w:w="100"/>
            </w:tcMar>
            <w:vAlign w:val="top"/>
          </w:tcPr>
          <w:p>
            <w:pPr>
              <w:spacing w:after="0" w:line="250"/>
            </w:pPr>
            <w:r>
              <w:rPr>
                <w:rFonts w:ascii="Arial" w:cs="Arial" w:eastAsia="Arial" w:hAnsi="Arial"/>
                <w:color w:val="1A1A1A"/>
                <w:sz w:val="14"/>
                <w:szCs w:val="14"/>
              </w:rPr>
              <w:t xml:space="preserve">P10 cites SPS 231 Outsourcing, which was replaced by CPS 230 on 1 July 2025, so the defined benefit actuarial capability question is analysed under a repealed standard.</w:t>
            </w:r>
          </w:p>
        </w:tc>
        <w:tc>
          <w:tcPr>
            <w:tcW w:type="dxa" w:w="1500"/>
            <w:tcBorders>
              <w:top w:val="single" w:color="D9D8D2" w:sz="3"/>
              <w:left w:val="none" w:color="FFFFFF" w:sz="0"/>
              <w:bottom w:val="single" w:color="D9D8D2" w:sz="3"/>
              <w:right w:val="none" w:color="FFFFFF" w:sz="0"/>
            </w:tcBorders>
            <w:shd w:fill="EFEEE9" w:color="auto" w:val="clear"/>
            <w:tcMar>
              <w:top w:type="dxa" w:w="70"/>
              <w:left w:type="dxa" w:w="100"/>
              <w:bottom w:type="dxa" w:w="70"/>
              <w:right w:type="dxa" w:w="100"/>
            </w:tcMar>
            <w:vAlign w:val="top"/>
          </w:tcPr>
          <w:p>
            <w:pPr>
              <w:spacing w:after="0" w:line="250"/>
              <w:jc w:val="center"/>
            </w:pPr>
            <w:r>
              <w:rPr>
                <w:rFonts w:ascii="Arial" w:cs="Arial" w:eastAsia="Arial" w:hAnsi="Arial"/>
                <w:b/>
                <w:bCs/>
                <w:color w:val="00806D"/>
                <w:sz w:val="13"/>
                <w:szCs w:val="13"/>
              </w:rPr>
              <w:t xml:space="preserve">accepted and fixed</w:t>
            </w:r>
          </w:p>
        </w:tc>
        <w:tc>
          <w:tcPr>
            <w:tcW w:type="dxa" w:w="4106"/>
            <w:tcBorders>
              <w:top w:val="single" w:color="D9D8D2" w:sz="3"/>
              <w:left w:val="none" w:color="FFFFFF" w:sz="0"/>
              <w:bottom w:val="single" w:color="D9D8D2" w:sz="3"/>
              <w:right w:val="none" w:color="FFFFFF" w:sz="0"/>
            </w:tcBorders>
            <w:shd w:fill="EFEEE9" w:color="auto" w:val="clear"/>
            <w:tcMar>
              <w:top w:type="dxa" w:w="70"/>
              <w:left w:type="dxa" w:w="100"/>
              <w:bottom w:type="dxa" w:w="70"/>
              <w:right w:type="dxa" w:w="100"/>
            </w:tcMar>
            <w:vAlign w:val="top"/>
          </w:tcPr>
          <w:p>
            <w:pPr>
              <w:spacing w:after="0" w:line="250"/>
            </w:pPr>
            <w:r>
              <w:rPr>
                <w:rFonts w:ascii="Arial" w:cs="Arial" w:eastAsia="Arial" w:hAnsi="Arial"/>
                <w:color w:val="52514E"/>
                <w:sz w:val="13"/>
                <w:szCs w:val="13"/>
              </w:rPr>
              <w:t xml:space="preserve">Verified and corrected to the CPS 230 service provider provisions. The substitution also improves the analysis: a small number of consulting actuarial firms will perform the new annual valuation for essentially every defined benefit scheme in the country on a short response clock, which is a service provider concentration exposure in its own right and now sits with the broader concentration issue.</w:t>
            </w:r>
          </w:p>
        </w:tc>
      </w:tr>
      <w:tr>
        <w:tc>
          <w:tcPr>
            <w:tcW w:type="dxa" w:w="4300"/>
            <w:tcBorders>
              <w:top w:val="single" w:color="D9D8D2" w:sz="3"/>
              <w:left w:val="none" w:color="FFFFFF" w:sz="0"/>
              <w:bottom w:val="single" w:color="D9D8D2" w:sz="3"/>
              <w:right w:val="none" w:color="FFFFFF" w:sz="0"/>
            </w:tcBorders>
            <w:tcMar>
              <w:top w:type="dxa" w:w="70"/>
              <w:left w:type="dxa" w:w="100"/>
              <w:bottom w:type="dxa" w:w="70"/>
              <w:right w:type="dxa" w:w="100"/>
            </w:tcMar>
            <w:vAlign w:val="top"/>
          </w:tcPr>
          <w:p>
            <w:pPr>
              <w:spacing w:after="0" w:line="250"/>
            </w:pPr>
            <w:r>
              <w:rPr>
                <w:rFonts w:ascii="Arial" w:cs="Arial" w:eastAsia="Arial" w:hAnsi="Arial"/>
                <w:color w:val="1A1A1A"/>
                <w:sz w:val="14"/>
                <w:szCs w:val="14"/>
              </w:rPr>
              <w:t xml:space="preserve">The register identifies that RSE auditor assurance does not reach the Division 296 calculation but never runs the same reasoning on breach reporting: Division 296 obligations arise under tax law, not RSE licensee law, so a failed ATO report is not of itself notifiable to APRA.</w:t>
            </w:r>
          </w:p>
        </w:tc>
        <w:tc>
          <w:tcPr>
            <w:tcW w:type="dxa" w:w="1500"/>
            <w:tcBorders>
              <w:top w:val="single" w:color="D9D8D2" w:sz="3"/>
              <w:left w:val="none" w:color="FFFFFF" w:sz="0"/>
              <w:bottom w:val="single" w:color="D9D8D2" w:sz="3"/>
              <w:right w:val="none" w:color="FFFFFF" w:sz="0"/>
            </w:tcBorders>
            <w:tcMar>
              <w:top w:type="dxa" w:w="70"/>
              <w:left w:type="dxa" w:w="100"/>
              <w:bottom w:type="dxa" w:w="70"/>
              <w:right w:type="dxa" w:w="100"/>
            </w:tcMar>
            <w:vAlign w:val="top"/>
          </w:tcPr>
          <w:p>
            <w:pPr>
              <w:spacing w:after="0" w:line="250"/>
              <w:jc w:val="center"/>
            </w:pPr>
            <w:r>
              <w:rPr>
                <w:rFonts w:ascii="Arial" w:cs="Arial" w:eastAsia="Arial" w:hAnsi="Arial"/>
                <w:b/>
                <w:bCs/>
                <w:color w:val="00806D"/>
                <w:sz w:val="13"/>
                <w:szCs w:val="13"/>
              </w:rPr>
              <w:t xml:space="preserve">accepted and fixed</w:t>
            </w:r>
          </w:p>
        </w:tc>
        <w:tc>
          <w:tcPr>
            <w:tcW w:type="dxa" w:w="4106"/>
            <w:tcBorders>
              <w:top w:val="single" w:color="D9D8D2" w:sz="3"/>
              <w:left w:val="none" w:color="FFFFFF" w:sz="0"/>
              <w:bottom w:val="single" w:color="D9D8D2" w:sz="3"/>
              <w:right w:val="none" w:color="FFFFFF" w:sz="0"/>
            </w:tcBorders>
            <w:tcMar>
              <w:top w:type="dxa" w:w="70"/>
              <w:left w:type="dxa" w:w="100"/>
              <w:bottom w:type="dxa" w:w="70"/>
              <w:right w:type="dxa" w:w="100"/>
            </w:tcMar>
            <w:vAlign w:val="top"/>
          </w:tcPr>
          <w:p>
            <w:pPr>
              <w:spacing w:after="0" w:line="250"/>
            </w:pPr>
            <w:r>
              <w:rPr>
                <w:rFonts w:ascii="Arial" w:cs="Arial" w:eastAsia="Arial" w:hAnsi="Arial"/>
                <w:color w:val="52514E"/>
                <w:sz w:val="13"/>
                <w:szCs w:val="13"/>
              </w:rPr>
              <w:t xml:space="preserve">The reasoning is sound and yields three layered blind spots - no APRA reporting standard, no auditor assurance, no notification trigger - of which the register found one. Added, with the fix that costs nothing: state in the proposed letter that APRA expects notification of material Division 296 failures, mirroring the Payday Super approach. Noted alongside it that the enacting law does impose a direct notification duty on the provider, but to the Commissioner and not to APRA, which sharpens rather than weakens the point.</w:t>
            </w:r>
          </w:p>
        </w:tc>
      </w:tr>
      <w:tr>
        <w:tc>
          <w:tcPr>
            <w:tcW w:type="dxa" w:w="4300"/>
            <w:tcBorders>
              <w:top w:val="single" w:color="D9D8D2" w:sz="3"/>
              <w:left w:val="none" w:color="FFFFFF" w:sz="0"/>
              <w:bottom w:val="single" w:color="D9D8D2" w:sz="3"/>
              <w:right w:val="none" w:color="FFFFFF" w:sz="0"/>
            </w:tcBorders>
            <w:shd w:fill="EFEEE9" w:color="auto" w:val="clear"/>
            <w:tcMar>
              <w:top w:type="dxa" w:w="70"/>
              <w:left w:type="dxa" w:w="100"/>
              <w:bottom w:type="dxa" w:w="70"/>
              <w:right w:type="dxa" w:w="100"/>
            </w:tcMar>
            <w:vAlign w:val="top"/>
          </w:tcPr>
          <w:p>
            <w:pPr>
              <w:spacing w:after="0" w:line="250"/>
            </w:pPr>
            <w:r>
              <w:rPr>
                <w:rFonts w:ascii="Arial" w:cs="Arial" w:eastAsia="Arial" w:hAnsi="Arial"/>
                <w:color w:val="1A1A1A"/>
                <w:sz w:val="14"/>
                <w:szCs w:val="14"/>
              </w:rPr>
              <w:t xml:space="preserve">The perimeter analysis has only one channel. Members can also reduce their measured balance via life-company lifetime income streams, and money leaving super often goes to investment bonds - both APRA-regulated products, so part of the supposed perimeter loss is a transfer within APRA's own perimeter.</w:t>
            </w:r>
          </w:p>
        </w:tc>
        <w:tc>
          <w:tcPr>
            <w:tcW w:type="dxa" w:w="1500"/>
            <w:tcBorders>
              <w:top w:val="single" w:color="D9D8D2" w:sz="3"/>
              <w:left w:val="none" w:color="FFFFFF" w:sz="0"/>
              <w:bottom w:val="single" w:color="D9D8D2" w:sz="3"/>
              <w:right w:val="none" w:color="FFFFFF" w:sz="0"/>
            </w:tcBorders>
            <w:shd w:fill="EFEEE9" w:color="auto" w:val="clear"/>
            <w:tcMar>
              <w:top w:type="dxa" w:w="70"/>
              <w:left w:type="dxa" w:w="100"/>
              <w:bottom w:type="dxa" w:w="70"/>
              <w:right w:type="dxa" w:w="100"/>
            </w:tcMar>
            <w:vAlign w:val="top"/>
          </w:tcPr>
          <w:p>
            <w:pPr>
              <w:spacing w:after="0" w:line="250"/>
              <w:jc w:val="center"/>
            </w:pPr>
            <w:r>
              <w:rPr>
                <w:rFonts w:ascii="Arial" w:cs="Arial" w:eastAsia="Arial" w:hAnsi="Arial"/>
                <w:b/>
                <w:bCs/>
                <w:color w:val="00806D"/>
                <w:sz w:val="13"/>
                <w:szCs w:val="13"/>
              </w:rPr>
              <w:t xml:space="preserve">accepted and fixed</w:t>
            </w:r>
          </w:p>
        </w:tc>
        <w:tc>
          <w:tcPr>
            <w:tcW w:type="dxa" w:w="4106"/>
            <w:tcBorders>
              <w:top w:val="single" w:color="D9D8D2" w:sz="3"/>
              <w:left w:val="none" w:color="FFFFFF" w:sz="0"/>
              <w:bottom w:val="single" w:color="D9D8D2" w:sz="3"/>
              <w:right w:val="none" w:color="FFFFFF" w:sz="0"/>
            </w:tcBorders>
            <w:shd w:fill="EFEEE9" w:color="auto" w:val="clear"/>
            <w:tcMar>
              <w:top w:type="dxa" w:w="70"/>
              <w:left w:type="dxa" w:w="100"/>
              <w:bottom w:type="dxa" w:w="70"/>
              <w:right w:type="dxa" w:w="100"/>
            </w:tcMar>
            <w:vAlign w:val="top"/>
          </w:tcPr>
          <w:p>
            <w:pPr>
              <w:spacing w:after="0" w:line="250"/>
            </w:pPr>
            <w:r>
              <w:rPr>
                <w:rFonts w:ascii="Arial" w:cs="Arial" w:eastAsia="Arial" w:hAnsi="Arial"/>
                <w:color w:val="52514E"/>
                <w:sz w:val="13"/>
                <w:szCs w:val="13"/>
              </w:rPr>
              <w:t xml:space="preserve">Accepted as a monitoring item, labelled inferred and unquantified. It usefully reframes the CEO conversation from loss of visibility to an internal coordination step with life insurance supervision that costs nothing, and it connects to the total superannuation balance valuation changes already identified elsewhere in the register.</w:t>
            </w:r>
          </w:p>
        </w:tc>
      </w:tr>
      <w:tr>
        <w:tc>
          <w:tcPr>
            <w:tcW w:type="dxa" w:w="4300"/>
            <w:tcBorders>
              <w:top w:val="single" w:color="D9D8D2" w:sz="3"/>
              <w:left w:val="none" w:color="FFFFFF" w:sz="0"/>
              <w:bottom w:val="single" w:color="D9D8D2" w:sz="3"/>
              <w:right w:val="none" w:color="FFFFFF" w:sz="0"/>
            </w:tcBorders>
            <w:tcMar>
              <w:top w:type="dxa" w:w="70"/>
              <w:left w:type="dxa" w:w="100"/>
              <w:bottom w:type="dxa" w:w="70"/>
              <w:right w:type="dxa" w:w="100"/>
            </w:tcMar>
            <w:vAlign w:val="top"/>
          </w:tcPr>
          <w:p>
            <w:pPr>
              <w:spacing w:after="0" w:line="250"/>
            </w:pPr>
            <w:r>
              <w:rPr>
                <w:rFonts w:ascii="Arial" w:cs="Arial" w:eastAsia="Arial" w:hAnsi="Arial"/>
                <w:color w:val="1A1A1A"/>
                <w:sz w:val="14"/>
                <w:szCs w:val="14"/>
              </w:rPr>
              <w:t xml:space="preserve">The liquidity item closes the system-level file after testing only aggregate outflow. A realised-earnings base is a deferral incentive that tilts portfolios toward low-distribution, low-turnover illiquid assets - compounding a trend APRA has already flagged.</w:t>
            </w:r>
          </w:p>
        </w:tc>
        <w:tc>
          <w:tcPr>
            <w:tcW w:type="dxa" w:w="1500"/>
            <w:tcBorders>
              <w:top w:val="single" w:color="D9D8D2" w:sz="3"/>
              <w:left w:val="none" w:color="FFFFFF" w:sz="0"/>
              <w:bottom w:val="single" w:color="D9D8D2" w:sz="3"/>
              <w:right w:val="none" w:color="FFFFFF" w:sz="0"/>
            </w:tcBorders>
            <w:tcMar>
              <w:top w:type="dxa" w:w="70"/>
              <w:left w:type="dxa" w:w="100"/>
              <w:bottom w:type="dxa" w:w="70"/>
              <w:right w:type="dxa" w:w="100"/>
            </w:tcMar>
            <w:vAlign w:val="top"/>
          </w:tcPr>
          <w:p>
            <w:pPr>
              <w:spacing w:after="0" w:line="250"/>
              <w:jc w:val="center"/>
            </w:pPr>
            <w:r>
              <w:rPr>
                <w:rFonts w:ascii="Arial" w:cs="Arial" w:eastAsia="Arial" w:hAnsi="Arial"/>
                <w:b/>
                <w:bCs/>
                <w:color w:val="898781"/>
                <w:sz w:val="13"/>
                <w:szCs w:val="13"/>
              </w:rPr>
              <w:t xml:space="preserve">rejected</w:t>
            </w:r>
          </w:p>
        </w:tc>
        <w:tc>
          <w:tcPr>
            <w:tcW w:type="dxa" w:w="4106"/>
            <w:tcBorders>
              <w:top w:val="single" w:color="D9D8D2" w:sz="3"/>
              <w:left w:val="none" w:color="FFFFFF" w:sz="0"/>
              <w:bottom w:val="single" w:color="D9D8D2" w:sz="3"/>
              <w:right w:val="none" w:color="FFFFFF" w:sz="0"/>
            </w:tcBorders>
            <w:tcMar>
              <w:top w:type="dxa" w:w="70"/>
              <w:left w:type="dxa" w:w="100"/>
              <w:bottom w:type="dxa" w:w="70"/>
              <w:right w:type="dxa" w:w="100"/>
            </w:tcMar>
            <w:vAlign w:val="top"/>
          </w:tcPr>
          <w:p>
            <w:pPr>
              <w:spacing w:after="0" w:line="250"/>
            </w:pPr>
            <w:r>
              <w:rPr>
                <w:rFonts w:ascii="Arial" w:cs="Arial" w:eastAsia="Arial" w:hAnsi="Arial"/>
                <w:color w:val="52514E"/>
                <w:sz w:val="13"/>
                <w:szCs w:val="13"/>
              </w:rPr>
              <w:t xml:space="preserve">Not carried into the note. In pooled options asset allocation is set for the whole option and a trustee cannot tilt it to suit fewer than 0.5% of members without running straight into the equitable-treatment covenant, so the proposed mechanism has no route to operate at scale. Where it does operate directly - member-directed and platform options - the effect is already captured by the platform and attribution issues. What remains is an unquantified, unsourced macro-allocation claim in a domain owned by Treasury and the RBA; advancing it as an original APRA proposition in a CEO-level note invites a challenge the note cannot answer, which is precisely the risk this pass is meant to remove. Recorded here as a considered rejection rather than an oversight, and noted as a question APRA could pose internally if it wishes to test it with evidence.</w:t>
            </w:r>
          </w:p>
        </w:tc>
      </w:tr>
    </w:tbl>
    <w:p>
      <w:pPr>
        <w:pBdr>
          <w:bottom w:val="single" w:color="0072CE" w:sz="6" w:space="4"/>
        </w:pBdr>
        <w:spacing w:after="100" w:before="240"/>
      </w:pPr>
      <w:r>
        <w:rPr>
          <w:rFonts w:ascii="Arial" w:cs="Arial" w:eastAsia="Arial" w:hAnsi="Arial"/>
          <w:b/>
          <w:bCs/>
          <w:color w:val="012169"/>
          <w:sz w:val="22"/>
          <w:szCs w:val="22"/>
        </w:rPr>
        <w:t xml:space="preserve">Annex E1 — Points to carry into engagement with Treasury and the ATO</w:t>
      </w:r>
    </w:p>
    <w:p>
      <w:pPr>
        <w:spacing w:after="120" w:before="0" w:line="264"/>
      </w:pPr>
      <w:r>
        <w:rPr>
          <w:rFonts w:ascii="Arial" w:cs="Arial" w:eastAsia="Arial" w:hAnsi="Arial"/>
          <w:color w:val="52514E"/>
          <w:sz w:val="17"/>
          <w:szCs w:val="17"/>
        </w:rPr>
        <w:t xml:space="preserve">Both public consultations on this measure have closed, so these are points for bilateral engagement and the ATO co-design process rather than a submission. They are confined to prudential and member-outcomes consequences; the tax design remedies are left to the policy owner.</w:t>
      </w:r>
    </w:p>
    <w:p>
      <w:pPr>
        <w:pStyle w:val="ListParagraph"/>
        <w:numPr>
          <w:ilvl w:val="0"/>
          <w:numId w:val="2"/>
        </w:numPr>
        <w:spacing w:after="60" w:before="0" w:line="258"/>
      </w:pPr>
      <w:r>
        <w:rPr>
          <w:rFonts w:ascii="Arial" w:cs="Arial" w:eastAsia="Arial" w:hAnsi="Arial"/>
          <w:color w:val="1A1A1A"/>
          <w:sz w:val="17"/>
          <w:szCs w:val="17"/>
        </w:rPr>
        <w:t xml:space="preserve">FRAMING NOTE FOR ALL OF THE BELOW. Both Treasury consultations on this measure have closed (exposure draft, and draft regulations closed 7 April 2026), so there is no open public process to lodge a submission into. The Government's October 2025 commitment to further consultation on how realised earnings are calculated and attributed is being progressed through an ATO co-design process, and APRA engages bilaterally with both Treasury and the ATO. These are therefore points to carry into that existing engagement and into the ATO's co-design work as guidance products are developed - an opportunity to add a prudential and member-outcomes perspective to work that is already under way, not a gap in anyone's current practice.</w:t>
      </w:r>
    </w:p>
    <w:p>
      <w:pPr>
        <w:pStyle w:val="ListParagraph"/>
        <w:numPr>
          <w:ilvl w:val="0"/>
          <w:numId w:val="2"/>
        </w:numPr>
        <w:spacing w:after="60" w:before="0" w:line="258"/>
      </w:pPr>
      <w:r>
        <w:rPr>
          <w:rFonts w:ascii="Arial" w:cs="Arial" w:eastAsia="Arial" w:hAnsi="Arial"/>
          <w:color w:val="1A1A1A"/>
          <w:sz w:val="17"/>
          <w:szCs w:val="17"/>
        </w:rPr>
        <w:t xml:space="preserve">OFFER A PRUDENTIAL PERSPECTIVE ON THE GOVERNANCE OF ATTRIBUTION, WITHOUT PRESCRIBING THE TAX METHOD. The method by which a fund attributes earnings to individual members is being settled through ATO guidance. APRA's distinctive contribution is not the arithmetic but the governance wrapper: that the choice of method is a member-equity decision within the investment governance framework, and so warrants a written and Board-approved methodology, applied consistently from year to year, documented well enough to be reproduced for the full amendment period, and subject to some form of independent review. Worth noting that industry has itself proposed governance by analogy to unit pricing and crediting rate practice. Also worth putting: a default or safe-harbour method that a trustee adopting it can rely on would do more to produce consistent member outcomes than any governance expectation APRA could set, and industry would likely support it - but the design of any such method is properly the ATO's and Treasury's call.</w:t>
      </w:r>
    </w:p>
    <w:p>
      <w:pPr>
        <w:pStyle w:val="ListParagraph"/>
        <w:numPr>
          <w:ilvl w:val="0"/>
          <w:numId w:val="2"/>
        </w:numPr>
        <w:spacing w:after="60" w:before="0" w:line="258"/>
      </w:pPr>
      <w:r>
        <w:rPr>
          <w:rFonts w:ascii="Arial" w:cs="Arial" w:eastAsia="Arial" w:hAnsi="Arial"/>
          <w:color w:val="1A1A1A"/>
          <w:sz w:val="17"/>
          <w:szCs w:val="17"/>
        </w:rPr>
        <w:t xml:space="preserve">RECORD THE THIRD-PARTY CONCENTRATION CONSEQUENCE. The calculation, attribution, reporting and payment functions will be delivered not by each licensee independently but largely by a small number of shared administrators and custodians - all of them mandatory material service providers under CPS 230 para 50. The prudential consequence worth putting on the record with the ATO is that a defect or delay at one provider is a common-mode event across many funds simultaneously, in the same annual window, rather than an isolated failure. This is relevant to how the ATO sequences its information requests, how much transition support it plans, and how it handles first-year extensions. APRA can inform this from the material service provider registers it already receives annually.</w:t>
      </w:r>
    </w:p>
    <w:p>
      <w:pPr>
        <w:pStyle w:val="ListParagraph"/>
        <w:numPr>
          <w:ilvl w:val="0"/>
          <w:numId w:val="2"/>
        </w:numPr>
        <w:spacing w:after="60" w:before="0" w:line="258"/>
      </w:pPr>
      <w:r>
        <w:rPr>
          <w:rFonts w:ascii="Arial" w:cs="Arial" w:eastAsia="Arial" w:hAnsi="Arial"/>
          <w:color w:val="1A1A1A"/>
          <w:sz w:val="17"/>
          <w:szCs w:val="17"/>
        </w:rPr>
        <w:t xml:space="preserve">SETTLE THE TRANSFER PROTOCOL BEFORE THE FY2027 MERGER SEASON. The protocol for carrying member-level Division 296 information through a successor fund transfer or intra-fund transfer needs to be settled for transfers spanning the 30 June 2027 measurement date. This is squarely APRA's business because APRA actively encourages consolidation, so an unresolved protocol means APRA's own consolidation agenda could generate member-level tax errors. (The earlier industry discussion of a 'retrospective law' problem related to the abandoned 1 July 2025 commencement under the previous design and no longer applies: Royal Assent on 13 March 2026 preceded commencement on 1 July 2026.)</w:t>
      </w:r>
    </w:p>
    <w:p>
      <w:pPr>
        <w:pStyle w:val="ListParagraph"/>
        <w:numPr>
          <w:ilvl w:val="0"/>
          <w:numId w:val="2"/>
        </w:numPr>
        <w:spacing w:after="60" w:before="0" w:line="258"/>
      </w:pPr>
      <w:r>
        <w:rPr>
          <w:rFonts w:ascii="Arial" w:cs="Arial" w:eastAsia="Arial" w:hAnsi="Arial"/>
          <w:color w:val="1A1A1A"/>
          <w:sz w:val="17"/>
          <w:szCs w:val="17"/>
        </w:rPr>
        <w:t xml:space="preserve">ASK FOR A CURRENT IN-SCOPE HEADCOUNT, SPLIT BY SECTOR. The only Commonwealth estimate of the affected population was struck under the superseded design on older data, and no absolute headcount has been published for the enacted realised-earnings design. Without a current number split between APRA-regulated funds, exempt public sector schemes and self-managed funds, APRA cannot calibrate supervisory intensity, cannot test a licensee that says it has very few affected members, and cannot size the perimeter question. This is a low-cost ask and the ATO is the only party that can answer it.</w:t>
      </w:r>
    </w:p>
    <w:p>
      <w:pPr>
        <w:pStyle w:val="ListParagraph"/>
        <w:numPr>
          <w:ilvl w:val="0"/>
          <w:numId w:val="2"/>
        </w:numPr>
        <w:spacing w:after="60" w:before="0" w:line="258"/>
      </w:pPr>
      <w:r>
        <w:rPr>
          <w:rFonts w:ascii="Arial" w:cs="Arial" w:eastAsia="Arial" w:hAnsi="Arial"/>
          <w:color w:val="1A1A1A"/>
          <w:sz w:val="17"/>
          <w:szCs w:val="17"/>
        </w:rPr>
        <w:t xml:space="preserve">RESOLVE THE LEGAL GATEWAY BEFORE PURSUING A DATA EXCHANGE. A standing ATO-to-APRA data exchange covering balance distribution and Division 296 outflows by fund would substantially answer APRA's visibility problem without any change to APRA's own collections. The threshold question is whether taxpayer confidentiality in the taxation administration law permits it, and whether the existing APRA-ATO arrangements cover it or an amendment is needed. That question should be settled first, because if the answer is no, the remedy is a legislative one for Treasury rather than an administrative one for the ATO. Note also that the Council of Financial Regulators does not include the ATO, so this is a bilateral matter rather than a CFR one.</w:t>
      </w:r>
    </w:p>
    <w:p>
      <w:pPr>
        <w:pStyle w:val="ListParagraph"/>
        <w:numPr>
          <w:ilvl w:val="0"/>
          <w:numId w:val="2"/>
        </w:numPr>
        <w:spacing w:after="60" w:before="0" w:line="258"/>
      </w:pPr>
      <w:r>
        <w:rPr>
          <w:rFonts w:ascii="Arial" w:cs="Arial" w:eastAsia="Arial" w:hAnsi="Arial"/>
          <w:color w:val="1A1A1A"/>
          <w:sz w:val="17"/>
          <w:szCs w:val="17"/>
        </w:rPr>
        <w:t xml:space="preserve">PUT THE CHANGE-SATURATION POINT ON THE RECORD. Payday Super and Division 296 commenced on the same day, in the same administration systems, drawing on the same finite pool of administrator change capacity, with Payday Super carrying the earlier and more visible deadline. The foreseeable consequence is that Division 296 is the change most likely to be deprioritised - and it is the one with guidance still being developed, no external assurance, and a multi-year amendment tail. This is worth stating to Treasury and the ATO as a sequencing and transition-support consideration, and it is directly relevant to how much first-year flexibility the ATO builds in.</w:t>
      </w:r>
    </w:p>
    <w:p>
      <w:pPr>
        <w:pStyle w:val="ListParagraph"/>
        <w:numPr>
          <w:ilvl w:val="0"/>
          <w:numId w:val="2"/>
        </w:numPr>
        <w:spacing w:after="60" w:before="0" w:line="258"/>
      </w:pPr>
      <w:r>
        <w:rPr>
          <w:rFonts w:ascii="Arial" w:cs="Arial" w:eastAsia="Arial" w:hAnsi="Arial"/>
          <w:color w:val="1A1A1A"/>
          <w:sz w:val="17"/>
          <w:szCs w:val="17"/>
        </w:rPr>
        <w:t xml:space="preserve">RECORD PRUDENTIAL AND MEMBER-OUTCOMES CONSEQUENCES, LEAVING THE REMEDIES TO THE POLICY OWNER. Several contested design features have real consequences for supervised entities and their members, but the remedies are tax design questions for Treasury and the ATO and APRA should not advocate specific tax mechanics. The consequences worth recording are: (a) continued attribution of earnings after a member's death sits awkwardly with the trustee's obligation to cash a death benefit as soon as practicable, and trustees will need to know which obligation yields - noting that this rule is now made law, so licensees must build to it rather than wait; (b) where a fund amends its income tax return, the resulting re-reporting can reopen personal assessments years later, which is an administrative and record-keeping burden on trustees disproportionate to the typically small change in any member's tax; (c) the cost-base transitional treatment differs by fund size rather than by regulator, so some APRA-regulated entities sit on each side of the line, and the asymmetry is a migration incentive worth monitoring rather than a settled cause of the recent rollover trend; and (d) industry has asked that trustee attribution judgements sit outside the external dispute resolution scheme - APRA should have a view before this is settled by default, noting that the new notification duty on providers in the taxation administration law carries an express note preserving AFCA complaints, which cuts against that request, and that the question is primarily ASIC's and Treasury's perimeter.</w:t>
      </w:r>
    </w:p>
    <w:p>
      <w:pPr>
        <w:pBdr>
          <w:bottom w:val="single" w:color="0072CE" w:sz="6" w:space="4"/>
        </w:pBdr>
        <w:spacing w:after="100" w:before="240"/>
      </w:pPr>
      <w:r>
        <w:rPr>
          <w:rFonts w:ascii="Arial" w:cs="Arial" w:eastAsia="Arial" w:hAnsi="Arial"/>
          <w:b/>
          <w:bCs/>
          <w:color w:val="012169"/>
          <w:sz w:val="22"/>
          <w:szCs w:val="22"/>
        </w:rPr>
        <w:t xml:space="preserve">Annex E2 — What remains unknown</w:t>
      </w:r>
    </w:p>
    <w:p>
      <w:pPr>
        <w:spacing w:after="100" w:before="0" w:line="264"/>
      </w:pPr>
      <w:r>
        <w:rPr>
          <w:rFonts w:ascii="Arial" w:cs="Arial" w:eastAsia="Arial" w:hAnsi="Arial"/>
          <w:color w:val="52514E"/>
          <w:sz w:val="17"/>
          <w:szCs w:val="17"/>
        </w:rPr>
        <w:t xml:space="preserve">Stated plainly so the meeting does not over-read the analysis.</w:t>
      </w:r>
    </w:p>
    <w:p>
      <w:pPr>
        <w:pStyle w:val="ListParagraph"/>
        <w:numPr>
          <w:ilvl w:val="0"/>
          <w:numId w:val="2"/>
        </w:numPr>
        <w:spacing w:after="60" w:before="0" w:line="258"/>
      </w:pPr>
      <w:r>
        <w:rPr>
          <w:rFonts w:ascii="Arial" w:cs="Arial" w:eastAsia="Arial" w:hAnsi="Arial"/>
          <w:color w:val="1A1A1A"/>
          <w:sz w:val="17"/>
          <w:szCs w:val="17"/>
        </w:rPr>
        <w:t xml:space="preserve">The ATO's law companion ruling on calculating Division 296 fund earnings and members' relevant super earnings is still unwritten and unpublished. As at the page's 6 July 2026 update, no Division 296 item appears on the ATO's advice-under-development programme, which lists five unrelated items. Until it issues, no authoritative statement exists of how the calculation is to be performed, and the ruling's move from draft to final is the point at which the method effectively fixes.</w:t>
      </w:r>
    </w:p>
    <w:p>
      <w:pPr>
        <w:pStyle w:val="ListParagraph"/>
        <w:numPr>
          <w:ilvl w:val="0"/>
          <w:numId w:val="2"/>
        </w:numPr>
        <w:spacing w:after="60" w:before="0" w:line="258"/>
      </w:pPr>
      <w:r>
        <w:rPr>
          <w:rFonts w:ascii="Arial" w:cs="Arial" w:eastAsia="Arial" w:hAnsi="Arial"/>
          <w:color w:val="1A1A1A"/>
          <w:sz w:val="17"/>
          <w:szCs w:val="17"/>
        </w:rPr>
        <w:t xml:space="preserve">The operative attribution text in F2026L00726 could not be read directly - the Federal Register serves instrument documents through a JavaScript front end. The 'more than six members' boundary, the 'fair and reasonable' wording, the prescribed formula and actuarial certificate for small funds, and the prescribed defined benefit reduction factor of 0.825 all rest on the Bills Digest, industry submissions and practitioner commentary on the draft, not on the made instrument. The register's earlier phase-in factors (20/40/60/80 per cent) were drawn from two practitioner readings of the draft and are not carried in the note.</w:t>
      </w:r>
    </w:p>
    <w:p>
      <w:pPr>
        <w:pStyle w:val="ListParagraph"/>
        <w:numPr>
          <w:ilvl w:val="0"/>
          <w:numId w:val="2"/>
        </w:numPr>
        <w:spacing w:after="60" w:before="0" w:line="258"/>
      </w:pPr>
      <w:r>
        <w:rPr>
          <w:rFonts w:ascii="Arial" w:cs="Arial" w:eastAsia="Arial" w:hAnsi="Arial"/>
          <w:color w:val="1A1A1A"/>
          <w:sz w:val="17"/>
          <w:szCs w:val="17"/>
        </w:rPr>
        <w:t xml:space="preserve">Consequently it is not confirmed whether the made regulations adopted any of the following, each of which industry requested and each of which changes a recommendation in the note: a materiality threshold (5 per cent was proposed by two bodies) and an extended reporting window on amended fund tax returns; a fix for pooled superannuation trusts with multiple options or unitholders; a prescribed treatment of unallocated reserves; a bulk 30 June 2026 cost-base declaration for member-directed options in large funds; and the treatment of losses, specifically whether member-level earnings are floored at nil with no carry-forward and whether a loss in one interest can offset a gain in another.</w:t>
      </w:r>
    </w:p>
    <w:p>
      <w:pPr>
        <w:pStyle w:val="ListParagraph"/>
        <w:numPr>
          <w:ilvl w:val="0"/>
          <w:numId w:val="2"/>
        </w:numPr>
        <w:spacing w:after="60" w:before="0" w:line="258"/>
      </w:pPr>
      <w:r>
        <w:rPr>
          <w:rFonts w:ascii="Arial" w:cs="Arial" w:eastAsia="Arial" w:hAnsi="Arial"/>
          <w:color w:val="1A1A1A"/>
          <w:sz w:val="17"/>
          <w:szCs w:val="17"/>
        </w:rPr>
        <w:t xml:space="preserve">The ATO's information-request timetable is internally inconsistent across its own published records. The 18 February 2026 Superannuation Administration Group key messages record defined benefit requests from November 2027 and other APRA-fund requests from February 2028; the 20 May 2026 key messages say November and April with no year stated. Neither reconciles cleanly with assessments issuing in the second half of 2027-28. The dates should be treated as indicative ATO planning that has already moved once, and confirmed before any supervisory timetable is built on them.</w:t>
      </w:r>
    </w:p>
    <w:p>
      <w:pPr>
        <w:pStyle w:val="ListParagraph"/>
        <w:numPr>
          <w:ilvl w:val="0"/>
          <w:numId w:val="2"/>
        </w:numPr>
        <w:spacing w:after="60" w:before="0" w:line="258"/>
      </w:pPr>
      <w:r>
        <w:rPr>
          <w:rFonts w:ascii="Arial" w:cs="Arial" w:eastAsia="Arial" w:hAnsi="Arial"/>
          <w:color w:val="1A1A1A"/>
          <w:sz w:val="17"/>
          <w:szCs w:val="17"/>
        </w:rPr>
        <w:t xml:space="preserve">Whether AFCA jurisdiction over a trustee's 'fair and reasonable' attribution will be curtailed is unresolved and points in two directions. s 134-140 of Schedule 1 to the TAA 1953 carries an express note contemplating AFCA complaints about provider conduct under this regime; ASFA asked Treasury to place attribution judgements outside AFCA review. It is separately doubtful that income tax regulations could curtail AFCA at all, since its jurisdiction derives from the Corporations Act scheme approval and the AFCA Rules, which is ASIC and Treasury territory rather than APRA's. The member's statutory right to object to the ATO assessment persists either way, but whether that is a real remedy when the disputed judgement was made by a third party is untested.</w:t>
      </w:r>
    </w:p>
    <w:p>
      <w:pPr>
        <w:pStyle w:val="ListParagraph"/>
        <w:numPr>
          <w:ilvl w:val="0"/>
          <w:numId w:val="2"/>
        </w:numPr>
        <w:spacing w:after="60" w:before="0" w:line="258"/>
      </w:pPr>
      <w:r>
        <w:rPr>
          <w:rFonts w:ascii="Arial" w:cs="Arial" w:eastAsia="Arial" w:hAnsi="Arial"/>
          <w:color w:val="1A1A1A"/>
          <w:sz w:val="17"/>
          <w:szCs w:val="17"/>
        </w:rPr>
        <w:t xml:space="preserve">The dispersion between two lawful 'fair and reasonable' attribution methods applied to the same fund and the same members has never been measured, and nothing in the public record estimates it. This is the single most consequential unknown in the note: if the spread is a few basis points of attributed earnings, the attribution issue is a platform and member-directed-option problem rather than an industry-wide one; if it is percentage points, it is the central issue. The recommended test - asking two or three exposed licensees to run two defensible methods over their year-to-date data and report the spread - would resolve it before the first measurement year closes.</w:t>
      </w:r>
    </w:p>
    <w:p>
      <w:pPr>
        <w:pStyle w:val="ListParagraph"/>
        <w:numPr>
          <w:ilvl w:val="0"/>
          <w:numId w:val="2"/>
        </w:numPr>
        <w:spacing w:after="60" w:before="0" w:line="258"/>
      </w:pPr>
      <w:r>
        <w:rPr>
          <w:rFonts w:ascii="Arial" w:cs="Arial" w:eastAsia="Arial" w:hAnsi="Arial"/>
          <w:color w:val="1A1A1A"/>
          <w:sz w:val="17"/>
          <w:szCs w:val="17"/>
        </w:rPr>
        <w:t xml:space="preserve">No current in-scope headcount exists under the enacted design, at sector level or per licensee. The only Commonwealth figure - 31,800 of approximately 80,000 individuals - is from the January 2024 Impact Analysis, struck on 2022-vintage data under the superseded change-in-balance design, and it combines APRA-regulated funds with exempt public sector schemes that APRA does not supervise. Without a denominator, supervisory intensity cannot be calibrated and a licensee claiming minimal exposure cannot be challenged.</w:t>
      </w:r>
    </w:p>
    <w:p>
      <w:pPr>
        <w:pStyle w:val="ListParagraph"/>
        <w:numPr>
          <w:ilvl w:val="0"/>
          <w:numId w:val="2"/>
        </w:numPr>
        <w:spacing w:after="60" w:before="0" w:line="258"/>
      </w:pPr>
      <w:r>
        <w:rPr>
          <w:rFonts w:ascii="Arial" w:cs="Arial" w:eastAsia="Arial" w:hAnsi="Arial"/>
          <w:color w:val="1A1A1A"/>
          <w:sz w:val="17"/>
          <w:szCs w:val="17"/>
        </w:rPr>
        <w:t xml:space="preserve">The integrity of APRA's fund-level balance-bracket data for the largest Commonwealth defined benefit schemes is in doubt. PSS and MilitarySuper report fewer than 20 accounts above $1m against average balances near $585,000 and $546,000, with most accounts clustered in a single bracket. CSS, reported by the same entity on the same form, is the largest single concentration in the exposed-cohort analysis. Until Commonwealth Superannuation Corporation confirms the reporting, CSS should not be used as a headline figure.</w:t>
      </w:r>
    </w:p>
    <w:p>
      <w:pPr>
        <w:pStyle w:val="ListParagraph"/>
        <w:numPr>
          <w:ilvl w:val="0"/>
          <w:numId w:val="2"/>
        </w:numPr>
        <w:spacing w:after="60" w:before="0" w:line="258"/>
      </w:pPr>
      <w:r>
        <w:rPr>
          <w:rFonts w:ascii="Arial" w:cs="Arial" w:eastAsia="Arial" w:hAnsi="Arial"/>
          <w:color w:val="1A1A1A"/>
          <w:sz w:val="17"/>
          <w:szCs w:val="17"/>
        </w:rPr>
        <w:t xml:space="preserve">Causation of the growth in net rollovers to SMSFs is not established and probably cannot be from published data. The largest single quarter precedes the redesign announcement, and the best establishment data attributes growth to different drivers and a younger demographic. The legislated cost-base asymmetry is real; the flow series does not evidence its effect.</w:t>
      </w:r>
    </w:p>
    <w:p>
      <w:pPr>
        <w:pStyle w:val="ListParagraph"/>
        <w:numPr>
          <w:ilvl w:val="0"/>
          <w:numId w:val="2"/>
        </w:numPr>
        <w:spacing w:after="60" w:before="0" w:line="258"/>
      </w:pPr>
      <w:r>
        <w:rPr>
          <w:rFonts w:ascii="Arial" w:cs="Arial" w:eastAsia="Arial" w:hAnsi="Arial"/>
          <w:color w:val="1A1A1A"/>
          <w:sz w:val="17"/>
          <w:szCs w:val="17"/>
        </w:rPr>
        <w:t xml:space="preserve">Whether the male-only unisex mortality basis was settled in the made regulations is unknown. Two peak bodies were in disagreement at the close of consultation - the Actuaries Institute welcoming it, ASFA still submitting on it - and the draft register's statement that the question is closed has been withdrawn.</w:t>
      </w:r>
    </w:p>
    <w:p>
      <w:pPr>
        <w:pStyle w:val="ListParagraph"/>
        <w:numPr>
          <w:ilvl w:val="0"/>
          <w:numId w:val="2"/>
        </w:numPr>
        <w:spacing w:after="60" w:before="0" w:line="258"/>
      </w:pPr>
      <w:r>
        <w:rPr>
          <w:rFonts w:ascii="Arial" w:cs="Arial" w:eastAsia="Arial" w:hAnsi="Arial"/>
          <w:color w:val="1A1A1A"/>
          <w:sz w:val="17"/>
          <w:szCs w:val="17"/>
        </w:rPr>
        <w:t xml:space="preserve">The final form of post-death attribution is not confirmed against the made instrument. Practitioner commentary on release indicates the draft approach survived and a 'death benefit income stream' concept was added, but sources conflict on whether a deceased member's total superannuation balance is set to nil so no further liability accrues, or whether attribution continues to the undistributed interest until death benefits are fully paid. The two readings produce materially different trustee obligations.</w:t>
      </w:r>
    </w:p>
    <w:p>
      <w:pPr>
        <w:pStyle w:val="ListParagraph"/>
        <w:numPr>
          <w:ilvl w:val="0"/>
          <w:numId w:val="2"/>
        </w:numPr>
        <w:spacing w:after="60" w:before="0" w:line="258"/>
      </w:pPr>
      <w:r>
        <w:rPr>
          <w:rFonts w:ascii="Arial" w:cs="Arial" w:eastAsia="Arial" w:hAnsi="Arial"/>
          <w:color w:val="1A1A1A"/>
          <w:sz w:val="17"/>
          <w:szCs w:val="17"/>
        </w:rPr>
        <w:t xml:space="preserve">Whether Division 296 release authorities carry the ten-business-day payment clock and the 20-penalty-unit non-compliance exposure has not been published. The ATO's list of release authority types for APRA-regulated funds shows six categories and does not include Division 296. The specific condition-of-release item authorising release of preserved benefits for this purpose was also not identified.</w:t>
      </w:r>
    </w:p>
    <w:p>
      <w:pPr>
        <w:pStyle w:val="ListParagraph"/>
        <w:numPr>
          <w:ilvl w:val="0"/>
          <w:numId w:val="2"/>
        </w:numPr>
        <w:spacing w:after="60" w:before="0" w:line="258"/>
      </w:pPr>
      <w:r>
        <w:rPr>
          <w:rFonts w:ascii="Arial" w:cs="Arial" w:eastAsia="Arial" w:hAnsi="Arial"/>
          <w:color w:val="1A1A1A"/>
          <w:sz w:val="17"/>
          <w:szCs w:val="17"/>
        </w:rPr>
        <w:t xml:space="preserve">The legal gateway for any ATO-to-APRA data exchange is unresolved: whether the taxation secrecy provisions in Schedule 1 Division 355 of the TAA 1953 permit disclosure of total-balance or Division 296 outflow data to APRA, whether the existing APRA-ATO memorandum of understanding covers it, and whether a legislated exception is required. The note's principal answer to its own principal visibility problem may not be administratively available.</w:t>
      </w:r>
    </w:p>
    <w:p>
      <w:pPr>
        <w:pStyle w:val="ListParagraph"/>
        <w:numPr>
          <w:ilvl w:val="0"/>
          <w:numId w:val="2"/>
        </w:numPr>
        <w:spacing w:after="60" w:before="0" w:line="258"/>
      </w:pPr>
      <w:r>
        <w:rPr>
          <w:rFonts w:ascii="Arial" w:cs="Arial" w:eastAsia="Arial" w:hAnsi="Arial"/>
          <w:color w:val="1A1A1A"/>
          <w:sz w:val="17"/>
          <w:szCs w:val="17"/>
        </w:rPr>
        <w:t xml:space="preserve">The trust-law layer beneath the operational analysis is untested. Whether an RSE's governing rules permit debiting a member's interest to satisfy a Division 296 release authority, and whether they permit recovering build and run costs from members, has not been checked and may require deed amendments across the industry before the first release authorities arrive.</w:t>
      </w:r>
    </w:p>
    <w:p>
      <w:pPr>
        <w:pStyle w:val="ListParagraph"/>
        <w:numPr>
          <w:ilvl w:val="0"/>
          <w:numId w:val="2"/>
        </w:numPr>
        <w:spacing w:after="60" w:before="0" w:line="258"/>
      </w:pPr>
      <w:r>
        <w:rPr>
          <w:rFonts w:ascii="Arial" w:cs="Arial" w:eastAsia="Arial" w:hAnsi="Arial"/>
          <w:color w:val="1A1A1A"/>
          <w:sz w:val="17"/>
          <w:szCs w:val="17"/>
        </w:rPr>
        <w:t xml:space="preserve">Where a trustee's attribution error causes a member a personal tax detriment or a penalty, it is unknown whether the trustee may indemnify itself from fund assets consistently with the SIS Act restrictions on indemnity, and whether the operational risk financial requirement - which is members' money - may lawfully be applied to compensate an individual's personal tax liability. Either answer has a significant member-equity consequence and neither has been researched.</w:t>
      </w:r>
    </w:p>
    <w:p>
      <w:pPr>
        <w:pStyle w:val="ListParagraph"/>
        <w:numPr>
          <w:ilvl w:val="0"/>
          <w:numId w:val="2"/>
        </w:numPr>
        <w:spacing w:after="60" w:before="0" w:line="258"/>
      </w:pPr>
      <w:r>
        <w:rPr>
          <w:rFonts w:ascii="Arial" w:cs="Arial" w:eastAsia="Arial" w:hAnsi="Arial"/>
          <w:color w:val="1A1A1A"/>
          <w:sz w:val="17"/>
          <w:szCs w:val="17"/>
        </w:rPr>
        <w:t xml:space="preserve">Two reporting-side questions remain open: whether SRS 710.0 Conditions of Release or SRS 610.1 Changes in Membership Profile already decompose outflows by reason, which would partly close the flow-visibility gap; and whether confidentiality and re-identification constraints would prevent publication of fund-level counts in a $10m+ balance bracket, which bears on the claim that adding brackets to SRS 611.0 is a cheap change.</w:t>
      </w:r>
    </w:p>
    <w:p>
      <w:pPr>
        <w:pStyle w:val="ListParagraph"/>
        <w:numPr>
          <w:ilvl w:val="0"/>
          <w:numId w:val="2"/>
        </w:numPr>
        <w:spacing w:after="60" w:before="0" w:line="258"/>
      </w:pPr>
      <w:r>
        <w:rPr>
          <w:rFonts w:ascii="Arial" w:cs="Arial" w:eastAsia="Arial" w:hAnsi="Arial"/>
          <w:color w:val="1A1A1A"/>
          <w:sz w:val="17"/>
          <w:szCs w:val="17"/>
        </w:rPr>
        <w:t xml:space="preserve">It is not known whether the remediation plans arising from APRA's December 2024 valuation and liquidity thematic have been delivered and closed out. The exposed-cohort recommendation assumes they have not, and should be checked internally before the meeting.</w:t>
      </w:r>
    </w:p>
    <w:p>
      <w:pPr>
        <w:pStyle w:val="ListParagraph"/>
        <w:numPr>
          <w:ilvl w:val="0"/>
          <w:numId w:val="2"/>
        </w:numPr>
        <w:spacing w:after="60" w:before="0" w:line="258"/>
      </w:pPr>
      <w:r>
        <w:rPr>
          <w:rFonts w:ascii="Arial" w:cs="Arial" w:eastAsia="Arial" w:hAnsi="Arial"/>
          <w:color w:val="1A1A1A"/>
          <w:sz w:val="17"/>
          <w:szCs w:val="17"/>
        </w:rPr>
        <w:t xml:space="preserve">The extent and form of APRA's engagement with Treasury and the ATO on this measure since October 2025 is known to exist but not documented in this work. The finding that APRA has published nothing Division 296-specific is search-based and should be confirmed against APRA's own publication records before being stated externally.</w:t>
      </w:r>
    </w:p>
    <w:p>
      <w:pPr>
        <w:pStyle w:val="ListParagraph"/>
        <w:numPr>
          <w:ilvl w:val="0"/>
          <w:numId w:val="2"/>
        </w:numPr>
        <w:spacing w:after="60" w:before="0" w:line="258"/>
      </w:pPr>
      <w:r>
        <w:rPr>
          <w:rFonts w:ascii="Arial" w:cs="Arial" w:eastAsia="Arial" w:hAnsi="Arial"/>
          <w:color w:val="1A1A1A"/>
          <w:sz w:val="17"/>
          <w:szCs w:val="17"/>
        </w:rPr>
        <w:t xml:space="preserve">Whether the s 29JA breach-notification analysis is legally correct has not been confirmed against the provision's text. If a Division 296 failure is in fact notifiable on some other basis, the recommended letter is unnecessary; if it is not, the letter is the cheapest available fix.</w:t>
      </w:r>
    </w:p>
    <w:p>
      <w:pPr>
        <w:pStyle w:val="ListParagraph"/>
        <w:numPr>
          <w:ilvl w:val="0"/>
          <w:numId w:val="2"/>
        </w:numPr>
        <w:spacing w:after="60" w:before="0" w:line="258"/>
      </w:pPr>
      <w:r>
        <w:rPr>
          <w:rFonts w:ascii="Arial" w:cs="Arial" w:eastAsia="Arial" w:hAnsi="Arial"/>
          <w:color w:val="1A1A1A"/>
          <w:sz w:val="17"/>
          <w:szCs w:val="17"/>
        </w:rPr>
        <w:t xml:space="preserve">Several populations named in the note remain unanalysed for want of time: exempt public sector schemes and unfunded state schemes, which are outside APRA's supervision but inside the Commonwealth's affected-population estimate; constitutionally protected funds; crediting-rate and smoothed-return funds, where the note's unit-pricing governance analogy does not reach; deferred and innovative income streams; and migration into life-company lifetime income streams and investment bonds, which would move members between two parts of APRA's own perimeter rather than out of it. Each is identified as a gap rather than asserted.</w:t>
      </w:r>
    </w:p>
    <w:p>
      <w:pPr>
        <w:pBdr>
          <w:bottom w:val="single" w:color="0072CE" w:sz="6" w:space="4"/>
        </w:pBdr>
        <w:spacing w:after="100" w:before="240"/>
      </w:pPr>
      <w:r>
        <w:rPr>
          <w:rFonts w:ascii="Arial" w:cs="Arial" w:eastAsia="Arial" w:hAnsi="Arial"/>
          <w:b/>
          <w:bCs/>
          <w:color w:val="012169"/>
          <w:sz w:val="22"/>
          <w:szCs w:val="22"/>
        </w:rPr>
        <w:t xml:space="preserve">Annex F — Sources consulted</w:t>
      </w:r>
    </w:p>
    <w:p>
      <w:pPr>
        <w:spacing w:after="30" w:line="230"/>
      </w:pPr>
      <w:r>
        <w:rPr>
          <w:rFonts w:ascii="Arial" w:cs="Arial" w:eastAsia="Arial" w:hAnsi="Arial"/>
          <w:color w:val="52514E"/>
          <w:sz w:val="13"/>
          <w:szCs w:val="13"/>
        </w:rPr>
        <w:t xml:space="preserve">https://api.prod.legislation.gov.au/v1/titles/C2026A00008</w:t>
      </w:r>
    </w:p>
    <w:p>
      <w:pPr>
        <w:spacing w:after="30" w:line="230"/>
      </w:pPr>
      <w:r>
        <w:rPr>
          <w:rFonts w:ascii="Arial" w:cs="Arial" w:eastAsia="Arial" w:hAnsi="Arial"/>
          <w:color w:val="52514E"/>
          <w:sz w:val="13"/>
          <w:szCs w:val="13"/>
        </w:rPr>
        <w:t xml:space="preserve">https://www.legislation.gov.au/C2026A00008/asmade/text</w:t>
      </w:r>
    </w:p>
    <w:p>
      <w:pPr>
        <w:spacing w:after="30" w:line="230"/>
      </w:pPr>
      <w:r>
        <w:rPr>
          <w:rFonts w:ascii="Arial" w:cs="Arial" w:eastAsia="Arial" w:hAnsi="Arial"/>
          <w:color w:val="52514E"/>
          <w:sz w:val="13"/>
          <w:szCs w:val="13"/>
        </w:rPr>
        <w:t xml:space="preserve">https://www.ato.gov.au/individuals-and-families/super-for-individuals-and-families/super/growing-and-keeping-track-of-your-super/caps-limits-and-tax-on-super-contributions/division-296-tax/how-division-296-tax-is-calculated</w:t>
      </w:r>
    </w:p>
    <w:p>
      <w:pPr>
        <w:spacing w:after="30" w:line="230"/>
      </w:pPr>
      <w:r>
        <w:rPr>
          <w:rFonts w:ascii="Arial" w:cs="Arial" w:eastAsia="Arial" w:hAnsi="Arial"/>
          <w:color w:val="52514E"/>
          <w:sz w:val="13"/>
          <w:szCs w:val="13"/>
        </w:rPr>
        <w:t xml:space="preserve">https://www.ato.gov.au/individuals-and-families/super-for-individuals-and-families/super/growing-and-keeping-track-of-your-super/caps-limits-and-tax-on-super-contributions/division-296-tax/division-296-tax-on-large-super-balances</w:t>
      </w:r>
    </w:p>
    <w:p>
      <w:pPr>
        <w:spacing w:after="30" w:line="230"/>
      </w:pPr>
      <w:r>
        <w:rPr>
          <w:rFonts w:ascii="Arial" w:cs="Arial" w:eastAsia="Arial" w:hAnsi="Arial"/>
          <w:color w:val="52514E"/>
          <w:sz w:val="13"/>
          <w:szCs w:val="13"/>
        </w:rPr>
        <w:t xml:space="preserve">https://www.ato.gov.au/individuals-and-families/super-for-individuals-and-families/super/growing-and-keeping-track-of-your-super/caps-limits-and-tax-on-super-contributions/division-296-tax/paying-division-296-tax</w:t>
      </w:r>
    </w:p>
    <w:p>
      <w:pPr>
        <w:spacing w:after="30" w:line="230"/>
      </w:pPr>
      <w:r>
        <w:rPr>
          <w:rFonts w:ascii="Arial" w:cs="Arial" w:eastAsia="Arial" w:hAnsi="Arial"/>
          <w:color w:val="52514E"/>
          <w:sz w:val="13"/>
          <w:szCs w:val="13"/>
        </w:rPr>
        <w:t xml:space="preserve">https://www.ato.gov.au/about-ato/new-legislation/in-detail/superannuation/better-targeted-superannuation-concessions</w:t>
      </w:r>
    </w:p>
    <w:p>
      <w:pPr>
        <w:spacing w:after="30" w:line="230"/>
      </w:pPr>
      <w:r>
        <w:rPr>
          <w:rFonts w:ascii="Arial" w:cs="Arial" w:eastAsia="Arial" w:hAnsi="Arial"/>
          <w:color w:val="52514E"/>
          <w:sz w:val="13"/>
          <w:szCs w:val="13"/>
        </w:rPr>
        <w:t xml:space="preserve">https://www.ato.gov.au/individuals-and-families/super-for-individuals-and-families/self-managed-super-funds-smsf/smsf-administration-and-reporting/about-division-296-tax-for-smsfs</w:t>
      </w:r>
    </w:p>
    <w:p>
      <w:pPr>
        <w:spacing w:after="30" w:line="230"/>
      </w:pPr>
      <w:r>
        <w:rPr>
          <w:rFonts w:ascii="Arial" w:cs="Arial" w:eastAsia="Arial" w:hAnsi="Arial"/>
          <w:color w:val="52514E"/>
          <w:sz w:val="13"/>
          <w:szCs w:val="13"/>
        </w:rPr>
        <w:t xml:space="preserve">https://www.ato.gov.au/tax-and-super-professionals/for-superannuation-professionals/apra-regulated-funds/managing-member-benefits/release-authorities</w:t>
      </w:r>
    </w:p>
    <w:p>
      <w:pPr>
        <w:spacing w:after="30" w:line="230"/>
      </w:pPr>
      <w:r>
        <w:rPr>
          <w:rFonts w:ascii="Arial" w:cs="Arial" w:eastAsia="Arial" w:hAnsi="Arial"/>
          <w:color w:val="52514E"/>
          <w:sz w:val="13"/>
          <w:szCs w:val="13"/>
        </w:rPr>
        <w:t xml:space="preserve">https://www.superannuation.asn.au/wp-content/uploads/2026/05/202619_Treasury_Division-296_Regulations_7_April.pdf</w:t>
      </w:r>
    </w:p>
    <w:p>
      <w:pPr>
        <w:spacing w:after="30" w:line="230"/>
      </w:pPr>
      <w:r>
        <w:rPr>
          <w:rFonts w:ascii="Arial" w:cs="Arial" w:eastAsia="Arial" w:hAnsi="Arial"/>
          <w:color w:val="52514E"/>
          <w:sz w:val="13"/>
          <w:szCs w:val="13"/>
        </w:rPr>
        <w:t xml:space="preserve">https://consult.treasury.gov.au/c2026-750935</w:t>
      </w:r>
    </w:p>
    <w:p>
      <w:pPr>
        <w:spacing w:after="30" w:line="230"/>
      </w:pPr>
      <w:r>
        <w:rPr>
          <w:rFonts w:ascii="Arial" w:cs="Arial" w:eastAsia="Arial" w:hAnsi="Arial"/>
          <w:color w:val="52514E"/>
          <w:sz w:val="13"/>
          <w:szCs w:val="13"/>
        </w:rPr>
        <w:t xml:space="preserve">https://www.taxinstitute.com.au/resources/submissions/2026/building-a-stronger-and-fairer-super-system-act-2026-draft-regulations</w:t>
      </w:r>
    </w:p>
    <w:p>
      <w:pPr>
        <w:spacing w:after="30" w:line="230"/>
      </w:pPr>
      <w:r>
        <w:rPr>
          <w:rFonts w:ascii="Arial" w:cs="Arial" w:eastAsia="Arial" w:hAnsi="Arial"/>
          <w:color w:val="52514E"/>
          <w:sz w:val="13"/>
          <w:szCs w:val="13"/>
        </w:rPr>
        <w:t xml:space="preserve">https://www.charteredaccountantsanz.com/news-and-analysis/advocacy/policy-submissions/submission-on-building-a-stronger-and-fairer-super-system-act-2026</w:t>
      </w:r>
    </w:p>
    <w:p>
      <w:pPr>
        <w:spacing w:after="30" w:line="230"/>
      </w:pPr>
      <w:r>
        <w:rPr>
          <w:rFonts w:ascii="Arial" w:cs="Arial" w:eastAsia="Arial" w:hAnsi="Arial"/>
          <w:color w:val="52514E"/>
          <w:sz w:val="13"/>
          <w:szCs w:val="13"/>
        </w:rPr>
        <w:t xml:space="preserve">https://www.heffron.com.au/news/division-296-draft-regulations-key-highlights-heffron</w:t>
      </w:r>
    </w:p>
    <w:p>
      <w:pPr>
        <w:spacing w:after="30" w:line="230"/>
      </w:pPr>
      <w:r>
        <w:rPr>
          <w:rFonts w:ascii="Arial" w:cs="Arial" w:eastAsia="Arial" w:hAnsi="Arial"/>
          <w:color w:val="52514E"/>
          <w:sz w:val="13"/>
          <w:szCs w:val="13"/>
        </w:rPr>
        <w:t xml:space="preserve">https://landing.heffron.com.au/division-296-news-and-resources</w:t>
      </w:r>
    </w:p>
    <w:p>
      <w:pPr>
        <w:spacing w:after="30" w:line="230"/>
      </w:pPr>
      <w:r>
        <w:rPr>
          <w:rFonts w:ascii="Arial" w:cs="Arial" w:eastAsia="Arial" w:hAnsi="Arial"/>
          <w:color w:val="52514E"/>
          <w:sz w:val="13"/>
          <w:szCs w:val="13"/>
        </w:rPr>
        <w:t xml:space="preserve">https://www.grantthornton.com.au/insights/client-alerts/what-do-the-division-296-draft-tax-regulations-tell-us/</w:t>
      </w:r>
    </w:p>
    <w:p>
      <w:pPr>
        <w:spacing w:after="30" w:line="230"/>
      </w:pPr>
      <w:r>
        <w:rPr>
          <w:rFonts w:ascii="Arial" w:cs="Arial" w:eastAsia="Arial" w:hAnsi="Arial"/>
          <w:color w:val="52514E"/>
          <w:sz w:val="13"/>
          <w:szCs w:val="13"/>
        </w:rPr>
        <w:t xml:space="preserve">https://sladen.com.au/news/2026/1/19/the-new-div-296-draft-legislation-part-2-the-transitional-rules</w:t>
      </w:r>
    </w:p>
    <w:p>
      <w:pPr>
        <w:spacing w:after="30" w:line="230"/>
      </w:pPr>
      <w:r>
        <w:rPr>
          <w:rFonts w:ascii="Arial" w:cs="Arial" w:eastAsia="Arial" w:hAnsi="Arial"/>
          <w:color w:val="52514E"/>
          <w:sz w:val="13"/>
          <w:szCs w:val="13"/>
        </w:rPr>
        <w:t xml:space="preserve">https://www.dbalawyers.com.au/announcements/revised-division-296-super-tax-from-1-july-2026/</w:t>
      </w:r>
    </w:p>
    <w:p>
      <w:pPr>
        <w:spacing w:after="30" w:line="230"/>
      </w:pPr>
      <w:r>
        <w:rPr>
          <w:rFonts w:ascii="Arial" w:cs="Arial" w:eastAsia="Arial" w:hAnsi="Arial"/>
          <w:color w:val="52514E"/>
          <w:sz w:val="13"/>
          <w:szCs w:val="13"/>
        </w:rPr>
        <w:t xml:space="preserve">https://www.superguide.com.au/super-booster/super-tax-accounts-3-million</w:t>
      </w:r>
    </w:p>
    <w:p>
      <w:pPr>
        <w:spacing w:after="30" w:line="230"/>
      </w:pPr>
      <w:r>
        <w:rPr>
          <w:rFonts w:ascii="Arial" w:cs="Arial" w:eastAsia="Arial" w:hAnsi="Arial"/>
          <w:color w:val="52514E"/>
          <w:sz w:val="13"/>
          <w:szCs w:val="13"/>
        </w:rPr>
        <w:t xml:space="preserve">https://smsmagazine.com.au/news/2026/05/14/risk-of-wasting-div-296-capital-losses/</w:t>
      </w:r>
    </w:p>
    <w:p>
      <w:pPr>
        <w:spacing w:after="30" w:line="230"/>
      </w:pPr>
      <w:r>
        <w:rPr>
          <w:rFonts w:ascii="Arial" w:cs="Arial" w:eastAsia="Arial" w:hAnsi="Arial"/>
          <w:color w:val="52514E"/>
          <w:sz w:val="13"/>
          <w:szCs w:val="13"/>
        </w:rPr>
        <w:t xml:space="preserve">https://www.accurium.com.au/blog/2026/03/div-296-is-now-law-what-you-need-to-know-before-it-starts-on-1-july-2026/</w:t>
      </w:r>
    </w:p>
    <w:p>
      <w:pPr>
        <w:spacing w:after="30" w:line="230"/>
      </w:pPr>
      <w:r>
        <w:rPr>
          <w:rFonts w:ascii="Arial" w:cs="Arial" w:eastAsia="Arial" w:hAnsi="Arial"/>
          <w:color w:val="52514E"/>
          <w:sz w:val="13"/>
          <w:szCs w:val="13"/>
        </w:rPr>
        <w:t xml:space="preserve">https://www.aph.gov.au/Parliamentary_Business/Bills_Legislation/bd/bd2526/26bd048</w:t>
      </w:r>
    </w:p>
    <w:p>
      <w:pPr>
        <w:spacing w:after="30" w:line="230"/>
      </w:pPr>
      <w:r>
        <w:rPr>
          <w:rFonts w:ascii="Arial" w:cs="Arial" w:eastAsia="Arial" w:hAnsi="Arial"/>
          <w:color w:val="52514E"/>
          <w:sz w:val="13"/>
          <w:szCs w:val="13"/>
        </w:rPr>
        <w:t xml:space="preserve">https://www5.austlii.edu.au/au/legis/cth/bill_em/tlaasafssb2026695/memo_0.html</w:t>
      </w:r>
    </w:p>
    <w:p>
      <w:pPr>
        <w:spacing w:after="30" w:line="230"/>
      </w:pPr>
      <w:r>
        <w:rPr>
          <w:rFonts w:ascii="Arial" w:cs="Arial" w:eastAsia="Arial" w:hAnsi="Arial"/>
          <w:color w:val="52514E"/>
          <w:sz w:val="13"/>
          <w:szCs w:val="13"/>
        </w:rPr>
        <w:t xml:space="preserve">https://www.legislation.gov.au/C2026A00009/asmade/text</w:t>
      </w:r>
    </w:p>
    <w:p>
      <w:pPr>
        <w:spacing w:after="30" w:line="230"/>
      </w:pPr>
      <w:r>
        <w:rPr>
          <w:rFonts w:ascii="Arial" w:cs="Arial" w:eastAsia="Arial" w:hAnsi="Arial"/>
          <w:color w:val="52514E"/>
          <w:sz w:val="13"/>
          <w:szCs w:val="13"/>
        </w:rPr>
        <w:t xml:space="preserve">https://www.legislation.gov.au/F2026L00726/asmade</w:t>
      </w:r>
    </w:p>
    <w:p>
      <w:pPr>
        <w:spacing w:after="30" w:line="230"/>
      </w:pPr>
      <w:r>
        <w:rPr>
          <w:rFonts w:ascii="Arial" w:cs="Arial" w:eastAsia="Arial" w:hAnsi="Arial"/>
          <w:color w:val="52514E"/>
          <w:sz w:val="13"/>
          <w:szCs w:val="13"/>
        </w:rPr>
        <w:t xml:space="preserve">https://www.aph.gov.au/Parliamentary_Business/Bills_Legislation/Bills_Search_Results/Result?bId=r7437</w:t>
      </w:r>
    </w:p>
    <w:p>
      <w:pPr>
        <w:spacing w:after="30" w:line="230"/>
      </w:pPr>
      <w:r>
        <w:rPr>
          <w:rFonts w:ascii="Arial" w:cs="Arial" w:eastAsia="Arial" w:hAnsi="Arial"/>
          <w:color w:val="52514E"/>
          <w:sz w:val="13"/>
          <w:szCs w:val="13"/>
        </w:rPr>
        <w:t xml:space="preserve">https://www.aph.gov.au/Parliamentary_Business/Bills_Legislation/Bills_Search_Results/Result?bId=r7133</w:t>
      </w:r>
    </w:p>
    <w:p>
      <w:pPr>
        <w:spacing w:after="30" w:line="230"/>
      </w:pPr>
      <w:r>
        <w:rPr>
          <w:rFonts w:ascii="Arial" w:cs="Arial" w:eastAsia="Arial" w:hAnsi="Arial"/>
          <w:color w:val="52514E"/>
          <w:sz w:val="13"/>
          <w:szCs w:val="13"/>
        </w:rPr>
        <w:t xml:space="preserve">https://www.aph.gov.au/Parliamentary_Business/Committees/Senate/Scrutiny_of_Bills/Work_of_the_committee/Scrutiny_Digest_List/2026/Scrutiny_Digest_3_of_2026</w:t>
      </w:r>
    </w:p>
    <w:p>
      <w:pPr>
        <w:spacing w:after="30" w:line="230"/>
      </w:pPr>
      <w:r>
        <w:rPr>
          <w:rFonts w:ascii="Arial" w:cs="Arial" w:eastAsia="Arial" w:hAnsi="Arial"/>
          <w:color w:val="52514E"/>
          <w:sz w:val="13"/>
          <w:szCs w:val="13"/>
        </w:rPr>
        <w:t xml:space="preserve">https://treasury.gov.au/publication/p2025-709385-btsc</w:t>
      </w:r>
    </w:p>
    <w:p>
      <w:pPr>
        <w:spacing w:after="30" w:line="230"/>
      </w:pPr>
      <w:r>
        <w:rPr>
          <w:rFonts w:ascii="Arial" w:cs="Arial" w:eastAsia="Arial" w:hAnsi="Arial"/>
          <w:color w:val="52514E"/>
          <w:sz w:val="13"/>
          <w:szCs w:val="13"/>
        </w:rPr>
        <w:t xml:space="preserve">https://treasury.gov.au/sites/default/files/2025-10/p2025-709385.docx</w:t>
      </w:r>
    </w:p>
    <w:p>
      <w:pPr>
        <w:spacing w:after="30" w:line="230"/>
      </w:pPr>
      <w:r>
        <w:rPr>
          <w:rFonts w:ascii="Arial" w:cs="Arial" w:eastAsia="Arial" w:hAnsi="Arial"/>
          <w:color w:val="52514E"/>
          <w:sz w:val="13"/>
          <w:szCs w:val="13"/>
        </w:rPr>
        <w:t xml:space="preserve">https://treasury.gov.au/consultation</w:t>
      </w:r>
    </w:p>
    <w:p>
      <w:pPr>
        <w:spacing w:after="30" w:line="230"/>
      </w:pPr>
      <w:r>
        <w:rPr>
          <w:rFonts w:ascii="Arial" w:cs="Arial" w:eastAsia="Arial" w:hAnsi="Arial"/>
          <w:color w:val="52514E"/>
          <w:sz w:val="13"/>
          <w:szCs w:val="13"/>
        </w:rPr>
        <w:t xml:space="preserve">https://treasury.gov.au/consultation/building-stronger-and-fairer-super-system-act-2026-draft-regulations</w:t>
      </w:r>
    </w:p>
    <w:p>
      <w:pPr>
        <w:spacing w:after="30" w:line="230"/>
      </w:pPr>
      <w:r>
        <w:rPr>
          <w:rFonts w:ascii="Arial" w:cs="Arial" w:eastAsia="Arial" w:hAnsi="Arial"/>
          <w:color w:val="52514E"/>
          <w:sz w:val="13"/>
          <w:szCs w:val="13"/>
        </w:rPr>
        <w:t xml:space="preserve">https://www.ato.gov.au/about-ato/ato-advice-and-guidance/advice-under-development-program/advice-under-development-superannuation-issues</w:t>
      </w:r>
    </w:p>
    <w:p>
      <w:pPr>
        <w:spacing w:after="30" w:line="230"/>
      </w:pPr>
      <w:r>
        <w:rPr>
          <w:rFonts w:ascii="Arial" w:cs="Arial" w:eastAsia="Arial" w:hAnsi="Arial"/>
          <w:color w:val="52514E"/>
          <w:sz w:val="13"/>
          <w:szCs w:val="13"/>
        </w:rPr>
        <w:t xml:space="preserve">https://www.ato.gov.au/about-ato/consultation/in-detail/stakeholder-relationship-groups-key-messages/superannuation-administration-group/superannuation-administration-group-key-messages-20-may-2026</w:t>
      </w:r>
    </w:p>
    <w:p>
      <w:pPr>
        <w:spacing w:after="30" w:line="230"/>
      </w:pPr>
      <w:r>
        <w:rPr>
          <w:rFonts w:ascii="Arial" w:cs="Arial" w:eastAsia="Arial" w:hAnsi="Arial"/>
          <w:color w:val="52514E"/>
          <w:sz w:val="13"/>
          <w:szCs w:val="13"/>
        </w:rPr>
        <w:t xml:space="preserve">https://www.ato.gov.au/about-ato/consultation/in-detail/stakeholder-relationship-groups-key-messages/superannuation-administration-group/superannuation-administration-group-key-messages-18-february-2026</w:t>
      </w:r>
    </w:p>
    <w:p>
      <w:pPr>
        <w:spacing w:after="30" w:line="230"/>
      </w:pPr>
      <w:r>
        <w:rPr>
          <w:rFonts w:ascii="Arial" w:cs="Arial" w:eastAsia="Arial" w:hAnsi="Arial"/>
          <w:color w:val="52514E"/>
          <w:sz w:val="13"/>
          <w:szCs w:val="13"/>
        </w:rPr>
        <w:t xml:space="preserve">https://www.regulationtomorrow.com/2026/03/treasury-issues-draft-regulations-for-the-governments-better-targeted-super-concessions-policy/</w:t>
      </w:r>
    </w:p>
    <w:p>
      <w:pPr>
        <w:spacing w:after="30" w:line="230"/>
      </w:pPr>
      <w:r>
        <w:rPr>
          <w:rFonts w:ascii="Arial" w:cs="Arial" w:eastAsia="Arial" w:hAnsi="Arial"/>
          <w:color w:val="52514E"/>
          <w:sz w:val="13"/>
          <w:szCs w:val="13"/>
        </w:rPr>
        <w:t xml:space="preserve">https://www.apra.gov.au/system/files/2023-07/Prudential%20Standard%20CPS%20230%20Operational%20Risk%20Management%20-%20clean.pdf</w:t>
      </w:r>
    </w:p>
    <w:p>
      <w:pPr>
        <w:spacing w:after="30" w:line="230"/>
      </w:pPr>
      <w:r>
        <w:rPr>
          <w:rFonts w:ascii="Arial" w:cs="Arial" w:eastAsia="Arial" w:hAnsi="Arial"/>
          <w:color w:val="52514E"/>
          <w:sz w:val="13"/>
          <w:szCs w:val="13"/>
        </w:rPr>
        <w:t xml:space="preserve">https://www.apra.gov.au/system/files/2023-07/Prudential%20Practice%20Guide%20SPG%20530%20Investment%20Governance%20Integrated%20version%20-%20clean.pdf</w:t>
      </w:r>
    </w:p>
    <w:p>
      <w:pPr>
        <w:spacing w:after="30" w:line="230"/>
      </w:pPr>
      <w:r>
        <w:rPr>
          <w:rFonts w:ascii="Arial" w:cs="Arial" w:eastAsia="Arial" w:hAnsi="Arial"/>
          <w:color w:val="52514E"/>
          <w:sz w:val="13"/>
          <w:szCs w:val="13"/>
        </w:rPr>
        <w:t xml:space="preserve">https://www.apra.gov.au/standards/sps-530</w:t>
      </w:r>
    </w:p>
    <w:p>
      <w:pPr>
        <w:spacing w:after="30" w:line="230"/>
      </w:pPr>
      <w:r>
        <w:rPr>
          <w:rFonts w:ascii="Arial" w:cs="Arial" w:eastAsia="Arial" w:hAnsi="Arial"/>
          <w:color w:val="52514E"/>
          <w:sz w:val="13"/>
          <w:szCs w:val="13"/>
        </w:rPr>
        <w:t xml:space="preserve">https://www.apra.gov.au/standards/sps-515</w:t>
      </w:r>
    </w:p>
    <w:p>
      <w:pPr>
        <w:spacing w:after="30" w:line="230"/>
      </w:pPr>
      <w:r>
        <w:rPr>
          <w:rFonts w:ascii="Arial" w:cs="Arial" w:eastAsia="Arial" w:hAnsi="Arial"/>
          <w:color w:val="52514E"/>
          <w:sz w:val="13"/>
          <w:szCs w:val="13"/>
        </w:rPr>
        <w:t xml:space="preserve">https://www.apra.gov.au/sites/default/files/2021-10/Reporting%20Standard%20SRS%20611.0%20Member%20Accounts%20-%20marked%20up.pdf</w:t>
      </w:r>
    </w:p>
    <w:p>
      <w:pPr>
        <w:spacing w:after="30" w:line="230"/>
      </w:pPr>
      <w:r>
        <w:rPr>
          <w:rFonts w:ascii="Arial" w:cs="Arial" w:eastAsia="Arial" w:hAnsi="Arial"/>
          <w:color w:val="52514E"/>
          <w:sz w:val="13"/>
          <w:szCs w:val="13"/>
        </w:rPr>
        <w:t xml:space="preserve">https://www.apra.gov.au/system/files/2024-12/Reporting%20Standard%20SRS%20551.0%20Liquidity_clean.pdf</w:t>
      </w:r>
    </w:p>
    <w:p>
      <w:pPr>
        <w:spacing w:after="30" w:line="230"/>
      </w:pPr>
      <w:r>
        <w:rPr>
          <w:rFonts w:ascii="Arial" w:cs="Arial" w:eastAsia="Arial" w:hAnsi="Arial"/>
          <w:color w:val="52514E"/>
          <w:sz w:val="13"/>
          <w:szCs w:val="13"/>
        </w:rPr>
        <w:t xml:space="preserve">https://www.apra.gov.au/system/files/2024-12/Reporting%20Standard%20SRS%20553.0%20Investment%20Exposure%20Concentrations%20and%20Valuations_clean.pdf</w:t>
      </w:r>
    </w:p>
    <w:p>
      <w:pPr>
        <w:spacing w:after="30" w:line="230"/>
      </w:pPr>
      <w:r>
        <w:rPr>
          <w:rFonts w:ascii="Arial" w:cs="Arial" w:eastAsia="Arial" w:hAnsi="Arial"/>
          <w:color w:val="52514E"/>
          <w:sz w:val="13"/>
          <w:szCs w:val="13"/>
        </w:rPr>
        <w:t xml:space="preserve">https://www.apra.gov.au/industries/33/standards</w:t>
      </w:r>
    </w:p>
    <w:p>
      <w:pPr>
        <w:spacing w:after="30" w:line="230"/>
      </w:pPr>
      <w:r>
        <w:rPr>
          <w:rFonts w:ascii="Arial" w:cs="Arial" w:eastAsia="Arial" w:hAnsi="Arial"/>
          <w:color w:val="52514E"/>
          <w:sz w:val="13"/>
          <w:szCs w:val="13"/>
        </w:rPr>
        <w:t xml:space="preserve">https://www.apra.gov.au/superannuation-data-transformation</w:t>
      </w:r>
    </w:p>
    <w:p>
      <w:pPr>
        <w:spacing w:after="30" w:line="230"/>
      </w:pPr>
      <w:r>
        <w:rPr>
          <w:rFonts w:ascii="Arial" w:cs="Arial" w:eastAsia="Arial" w:hAnsi="Arial"/>
          <w:color w:val="52514E"/>
          <w:sz w:val="13"/>
          <w:szCs w:val="13"/>
        </w:rPr>
        <w:t xml:space="preserve">https://www.apra.gov.au/phase-2-depth</w:t>
      </w:r>
    </w:p>
    <w:p>
      <w:pPr>
        <w:spacing w:after="30" w:line="230"/>
      </w:pPr>
      <w:r>
        <w:rPr>
          <w:rFonts w:ascii="Arial" w:cs="Arial" w:eastAsia="Arial" w:hAnsi="Arial"/>
          <w:color w:val="52514E"/>
          <w:sz w:val="13"/>
          <w:szCs w:val="13"/>
        </w:rPr>
        <w:t xml:space="preserve">https://www.apra.gov.au/standards/sps-114</w:t>
      </w:r>
    </w:p>
    <w:p>
      <w:pPr>
        <w:spacing w:after="30" w:line="230"/>
      </w:pPr>
      <w:r>
        <w:rPr>
          <w:rFonts w:ascii="Arial" w:cs="Arial" w:eastAsia="Arial" w:hAnsi="Arial"/>
          <w:color w:val="52514E"/>
          <w:sz w:val="13"/>
          <w:szCs w:val="13"/>
        </w:rPr>
        <w:t xml:space="preserve">https://www.apra.gov.au/standards/sps-220</w:t>
      </w:r>
    </w:p>
    <w:p>
      <w:pPr>
        <w:spacing w:after="30" w:line="230"/>
      </w:pPr>
      <w:r>
        <w:rPr>
          <w:rFonts w:ascii="Arial" w:cs="Arial" w:eastAsia="Arial" w:hAnsi="Arial"/>
          <w:color w:val="52514E"/>
          <w:sz w:val="13"/>
          <w:szCs w:val="13"/>
        </w:rPr>
        <w:t xml:space="preserve">https://www.apra.gov.au/standards/sps-310</w:t>
      </w:r>
    </w:p>
    <w:p>
      <w:pPr>
        <w:spacing w:after="30" w:line="230"/>
      </w:pPr>
      <w:r>
        <w:rPr>
          <w:rFonts w:ascii="Arial" w:cs="Arial" w:eastAsia="Arial" w:hAnsi="Arial"/>
          <w:color w:val="52514E"/>
          <w:sz w:val="13"/>
          <w:szCs w:val="13"/>
        </w:rPr>
        <w:t xml:space="preserve">https://www.apra.gov.au/standards/sps-160</w:t>
      </w:r>
    </w:p>
    <w:p>
      <w:pPr>
        <w:spacing w:after="30" w:line="230"/>
      </w:pPr>
      <w:r>
        <w:rPr>
          <w:rFonts w:ascii="Arial" w:cs="Arial" w:eastAsia="Arial" w:hAnsi="Arial"/>
          <w:color w:val="52514E"/>
          <w:sz w:val="13"/>
          <w:szCs w:val="13"/>
        </w:rPr>
        <w:t xml:space="preserve">https://www.apra.gov.au/standards/sps-250</w:t>
      </w:r>
    </w:p>
    <w:p>
      <w:pPr>
        <w:spacing w:after="30" w:line="230"/>
      </w:pPr>
      <w:r>
        <w:rPr>
          <w:rFonts w:ascii="Arial" w:cs="Arial" w:eastAsia="Arial" w:hAnsi="Arial"/>
          <w:color w:val="52514E"/>
          <w:sz w:val="13"/>
          <w:szCs w:val="13"/>
        </w:rPr>
        <w:t xml:space="preserve">https://www.apra.gov.au/standards/cps-234</w:t>
      </w:r>
    </w:p>
    <w:p>
      <w:pPr>
        <w:spacing w:after="30" w:line="230"/>
      </w:pPr>
      <w:r>
        <w:rPr>
          <w:rFonts w:ascii="Arial" w:cs="Arial" w:eastAsia="Arial" w:hAnsi="Arial"/>
          <w:color w:val="52514E"/>
          <w:sz w:val="13"/>
          <w:szCs w:val="13"/>
        </w:rPr>
        <w:t xml:space="preserve">https://www.apra.gov.au/standards/cps-190</w:t>
      </w:r>
    </w:p>
    <w:p>
      <w:pPr>
        <w:spacing w:after="30" w:line="230"/>
      </w:pPr>
      <w:r>
        <w:rPr>
          <w:rFonts w:ascii="Arial" w:cs="Arial" w:eastAsia="Arial" w:hAnsi="Arial"/>
          <w:color w:val="52514E"/>
          <w:sz w:val="13"/>
          <w:szCs w:val="13"/>
        </w:rPr>
        <w:t xml:space="preserve">https://www.apra.gov.au/sites/default/files/Prudential%20Practice%20Guide%20SPG%20516%20-%20Business%20Performance%20Review_0.pdf</w:t>
      </w:r>
    </w:p>
    <w:p>
      <w:pPr>
        <w:spacing w:after="30" w:line="230"/>
      </w:pPr>
      <w:r>
        <w:rPr>
          <w:rFonts w:ascii="Arial" w:cs="Arial" w:eastAsia="Arial" w:hAnsi="Arial"/>
          <w:color w:val="52514E"/>
          <w:sz w:val="13"/>
          <w:szCs w:val="13"/>
        </w:rPr>
        <w:t xml:space="preserve">https://www.apra.gov.au/news-and-publications/opening-statement-to-senate-economics-legislation-committee-%E2%80%93-june-2026</w:t>
      </w:r>
    </w:p>
    <w:p>
      <w:pPr>
        <w:spacing w:after="30" w:line="230"/>
      </w:pPr>
      <w:r>
        <w:rPr>
          <w:rFonts w:ascii="Arial" w:cs="Arial" w:eastAsia="Arial" w:hAnsi="Arial"/>
          <w:color w:val="52514E"/>
          <w:sz w:val="13"/>
          <w:szCs w:val="13"/>
        </w:rPr>
        <w:t xml:space="preserve">https://www.apra.gov.au/news-and-publications/apra-provides-update-implementation-new-operational-risk-standard</w:t>
      </w:r>
    </w:p>
    <w:p>
      <w:pPr>
        <w:spacing w:after="30" w:line="230"/>
      </w:pPr>
      <w:r>
        <w:rPr>
          <w:rFonts w:ascii="Arial" w:cs="Arial" w:eastAsia="Arial" w:hAnsi="Arial"/>
          <w:color w:val="52514E"/>
          <w:sz w:val="13"/>
          <w:szCs w:val="13"/>
        </w:rPr>
        <w:t xml:space="preserve">https://www.ato.gov.au/tax-and-super-professionals/for-superannuation-professionals/apra-regulated-funds/paying-benefits/releasing-benefits/release-authorities</w:t>
      </w:r>
    </w:p>
    <w:p>
      <w:pPr>
        <w:spacing w:after="30" w:line="230"/>
      </w:pPr>
      <w:r>
        <w:rPr>
          <w:rFonts w:ascii="Arial" w:cs="Arial" w:eastAsia="Arial" w:hAnsi="Arial"/>
          <w:color w:val="52514E"/>
          <w:sz w:val="13"/>
          <w:szCs w:val="13"/>
        </w:rPr>
        <w:t xml:space="preserve">https://www.ato.gov.au/about-ato/consultation/consultation-groups/superannuation-administration-group</w:t>
      </w:r>
    </w:p>
    <w:p>
      <w:pPr>
        <w:spacing w:after="30" w:line="230"/>
      </w:pPr>
      <w:r>
        <w:rPr>
          <w:rFonts w:ascii="Arial" w:cs="Arial" w:eastAsia="Arial" w:hAnsi="Arial"/>
          <w:color w:val="52514E"/>
          <w:sz w:val="13"/>
          <w:szCs w:val="13"/>
        </w:rPr>
        <w:t xml:space="preserve">https://www.apra.gov.au/sites/default/files/2023-09/Prudential%20Standard%20SPS%20515%20Strategic%20Planning%20and%20Member%20Outcomes.pdf</w:t>
      </w:r>
    </w:p>
    <w:p>
      <w:pPr>
        <w:spacing w:after="30" w:line="230"/>
      </w:pPr>
      <w:r>
        <w:rPr>
          <w:rFonts w:ascii="Arial" w:cs="Arial" w:eastAsia="Arial" w:hAnsi="Arial"/>
          <w:color w:val="52514E"/>
          <w:sz w:val="13"/>
          <w:szCs w:val="13"/>
        </w:rPr>
        <w:t xml:space="preserve">https://www.apra.gov.au/governance-of-unlisted-asset-valuation-and-liquidity-risk-management-superannuation-december-2024</w:t>
      </w:r>
    </w:p>
    <w:p>
      <w:pPr>
        <w:spacing w:after="30" w:line="230"/>
      </w:pPr>
      <w:r>
        <w:rPr>
          <w:rFonts w:ascii="Arial" w:cs="Arial" w:eastAsia="Arial" w:hAnsi="Arial"/>
          <w:color w:val="52514E"/>
          <w:sz w:val="13"/>
          <w:szCs w:val="13"/>
        </w:rPr>
        <w:t xml:space="preserve">https://www.apra.gov.au/news-and-publications/system-risk-stress-test</w:t>
      </w:r>
    </w:p>
    <w:p>
      <w:pPr>
        <w:spacing w:after="30" w:line="230"/>
      </w:pPr>
      <w:r>
        <w:rPr>
          <w:rFonts w:ascii="Arial" w:cs="Arial" w:eastAsia="Arial" w:hAnsi="Arial"/>
          <w:color w:val="52514E"/>
          <w:sz w:val="13"/>
          <w:szCs w:val="13"/>
        </w:rPr>
        <w:t xml:space="preserve">https://www.apra.gov.au/system-risk-outlook-may-2026</w:t>
      </w:r>
    </w:p>
    <w:p>
      <w:pPr>
        <w:spacing w:after="30" w:line="230"/>
      </w:pPr>
      <w:r>
        <w:rPr>
          <w:rFonts w:ascii="Arial" w:cs="Arial" w:eastAsia="Arial" w:hAnsi="Arial"/>
          <w:color w:val="52514E"/>
          <w:sz w:val="13"/>
          <w:szCs w:val="13"/>
        </w:rPr>
        <w:t xml:space="preserve">https://www.apra.gov.au/system-risk-outlook-november-2025</w:t>
      </w:r>
    </w:p>
    <w:p>
      <w:pPr>
        <w:spacing w:after="30" w:line="230"/>
      </w:pPr>
      <w:r>
        <w:rPr>
          <w:rFonts w:ascii="Arial" w:cs="Arial" w:eastAsia="Arial" w:hAnsi="Arial"/>
          <w:color w:val="52514E"/>
          <w:sz w:val="13"/>
          <w:szCs w:val="13"/>
        </w:rPr>
        <w:t xml:space="preserve">https://www.apra.gov.au/sites/default/files/2022-07/Prudential%20Standard%20SPS%20530%20Investment%20Governance.pdf</w:t>
      </w:r>
    </w:p>
    <w:p>
      <w:pPr>
        <w:spacing w:after="30" w:line="230"/>
      </w:pPr>
      <w:r>
        <w:rPr>
          <w:rFonts w:ascii="Arial" w:cs="Arial" w:eastAsia="Arial" w:hAnsi="Arial"/>
          <w:color w:val="52514E"/>
          <w:sz w:val="13"/>
          <w:szCs w:val="13"/>
        </w:rPr>
        <w:t xml:space="preserve">https://www.apra.gov.au/sites/default/files/2021-10/Findings%20from%20APRA%E2%80%99s%20superannuation%20thematic%20reviews_1.pdf</w:t>
      </w:r>
    </w:p>
    <w:p>
      <w:pPr>
        <w:spacing w:after="30" w:line="230"/>
      </w:pPr>
      <w:r>
        <w:rPr>
          <w:rFonts w:ascii="Arial" w:cs="Arial" w:eastAsia="Arial" w:hAnsi="Arial"/>
          <w:color w:val="52514E"/>
          <w:sz w:val="13"/>
          <w:szCs w:val="13"/>
        </w:rPr>
        <w:t xml:space="preserve">https://www.apra.gov.au/quarterly-superannuation-industry-publication</w:t>
      </w:r>
    </w:p>
    <w:p>
      <w:pPr>
        <w:spacing w:after="30" w:line="230"/>
      </w:pPr>
      <w:r>
        <w:rPr>
          <w:rFonts w:ascii="Arial" w:cs="Arial" w:eastAsia="Arial" w:hAnsi="Arial"/>
          <w:color w:val="52514E"/>
          <w:sz w:val="13"/>
          <w:szCs w:val="13"/>
        </w:rPr>
        <w:t xml:space="preserve">https://www.apra.gov.au/quarterly-superannuation-statistics</w:t>
      </w:r>
    </w:p>
    <w:p>
      <w:pPr>
        <w:spacing w:after="30" w:line="230"/>
      </w:pPr>
      <w:r>
        <w:rPr>
          <w:rFonts w:ascii="Arial" w:cs="Arial" w:eastAsia="Arial" w:hAnsi="Arial"/>
          <w:color w:val="52514E"/>
          <w:sz w:val="13"/>
          <w:szCs w:val="13"/>
        </w:rPr>
        <w:t xml:space="preserve">https://www.apra.gov.au/annual-fund-level-superannuation-statistics</w:t>
      </w:r>
    </w:p>
    <w:p>
      <w:pPr>
        <w:spacing w:after="30" w:line="230"/>
      </w:pPr>
      <w:r>
        <w:rPr>
          <w:rFonts w:ascii="Arial" w:cs="Arial" w:eastAsia="Arial" w:hAnsi="Arial"/>
          <w:color w:val="52514E"/>
          <w:sz w:val="13"/>
          <w:szCs w:val="13"/>
        </w:rPr>
        <w:t xml:space="preserve">https://www.apra.gov.au/news-and-publications/opening-statement-senate-economics-legislation-committee-june-2026</w:t>
      </w:r>
    </w:p>
    <w:p>
      <w:pPr>
        <w:spacing w:after="30" w:line="230"/>
      </w:pPr>
      <w:r>
        <w:rPr>
          <w:rFonts w:ascii="Arial" w:cs="Arial" w:eastAsia="Arial" w:hAnsi="Arial"/>
          <w:color w:val="52514E"/>
          <w:sz w:val="13"/>
          <w:szCs w:val="13"/>
        </w:rPr>
        <w:t xml:space="preserve">https://www.apra.gov.au/news-and-publications/apra-releases-letter-on-sps-530-valuation-governance-framework-self</w:t>
      </w:r>
    </w:p>
    <w:p>
      <w:pPr>
        <w:spacing w:after="30" w:line="230"/>
      </w:pPr>
      <w:r>
        <w:rPr>
          <w:rFonts w:ascii="Arial" w:cs="Arial" w:eastAsia="Arial" w:hAnsi="Arial"/>
          <w:color w:val="52514E"/>
          <w:sz w:val="13"/>
          <w:szCs w:val="13"/>
        </w:rPr>
        <w:t xml:space="preserve">https://www.apra.gov.au/apra-corporate-plan-2025-26</w:t>
      </w:r>
    </w:p>
    <w:p>
      <w:pPr>
        <w:spacing w:after="30" w:line="230"/>
      </w:pPr>
      <w:r>
        <w:rPr>
          <w:rFonts w:ascii="Arial" w:cs="Arial" w:eastAsia="Arial" w:hAnsi="Arial"/>
          <w:color w:val="52514E"/>
          <w:sz w:val="13"/>
          <w:szCs w:val="13"/>
        </w:rPr>
        <w:t xml:space="preserve">https://www.rba.gov.au/publications/fsr/2021/apr/box-c-what-did-2020-reveal-about-liquidity-challenges-facing-superannuation-funds.html</w:t>
      </w:r>
    </w:p>
    <w:p>
      <w:pPr>
        <w:spacing w:after="30" w:line="230"/>
      </w:pPr>
      <w:r>
        <w:rPr>
          <w:rFonts w:ascii="Arial" w:cs="Arial" w:eastAsia="Arial" w:hAnsi="Arial"/>
          <w:color w:val="52514E"/>
          <w:sz w:val="13"/>
          <w:szCs w:val="13"/>
        </w:rPr>
        <w:t xml:space="preserve">https://www.isda.org/a/RZtiE/Managing-Liquidity-Risk-Opportunities-and-Challenges-for-Australian-Superannuation-Funds.pdf</w:t>
      </w:r>
    </w:p>
    <w:p>
      <w:pPr>
        <w:spacing w:after="30" w:line="230"/>
      </w:pPr>
      <w:r>
        <w:rPr>
          <w:rFonts w:ascii="Arial" w:cs="Arial" w:eastAsia="Arial" w:hAnsi="Arial"/>
          <w:color w:val="52514E"/>
          <w:sz w:val="13"/>
          <w:szCs w:val="13"/>
        </w:rPr>
        <w:t xml:space="preserve">https://fsc.org.au/news/fsc-policy-updates/fsc-policy-update-issue-90-may-2026</w:t>
      </w:r>
    </w:p>
    <w:p>
      <w:pPr>
        <w:spacing w:after="30" w:line="230"/>
      </w:pPr>
      <w:r>
        <w:rPr>
          <w:rFonts w:ascii="Arial" w:cs="Arial" w:eastAsia="Arial" w:hAnsi="Arial"/>
          <w:color w:val="52514E"/>
          <w:sz w:val="13"/>
          <w:szCs w:val="13"/>
        </w:rPr>
        <w:t xml:space="preserve">https://treasury.gov.au/sites/default/files/2023-09/c2023-443986-em.pdf</w:t>
      </w:r>
    </w:p>
    <w:p>
      <w:pPr>
        <w:spacing w:after="30" w:line="230"/>
      </w:pPr>
      <w:r>
        <w:rPr>
          <w:rFonts w:ascii="Arial" w:cs="Arial" w:eastAsia="Arial" w:hAnsi="Arial"/>
          <w:color w:val="52514E"/>
          <w:sz w:val="13"/>
          <w:szCs w:val="13"/>
        </w:rPr>
        <w:t xml:space="preserve">https://oia.pmc.gov.au/sites/default/files/posts/2024/01/Impact%20Analysis%20-%20Better%20Targeted%20Superannuation%20Concessions.pdf</w:t>
      </w:r>
    </w:p>
    <w:p>
      <w:pPr>
        <w:spacing w:after="30" w:line="230"/>
      </w:pPr>
      <w:r>
        <w:rPr>
          <w:rFonts w:ascii="Arial" w:cs="Arial" w:eastAsia="Arial" w:hAnsi="Arial"/>
          <w:color w:val="52514E"/>
          <w:sz w:val="13"/>
          <w:szCs w:val="13"/>
        </w:rPr>
        <w:t xml:space="preserve">https://budget.gov.au/content/myefo/download/03_Part_3.pdf</w:t>
      </w:r>
    </w:p>
    <w:p>
      <w:pPr>
        <w:spacing w:after="30" w:line="230"/>
      </w:pPr>
      <w:r>
        <w:rPr>
          <w:rFonts w:ascii="Arial" w:cs="Arial" w:eastAsia="Arial" w:hAnsi="Arial"/>
          <w:color w:val="52514E"/>
          <w:sz w:val="13"/>
          <w:szCs w:val="13"/>
        </w:rPr>
        <w:t xml:space="preserve">https://storage.googleapis.com/files-au-treasury/treasury/p/prj39c475e7a7ab4c5f04c1b/page/c2025_726362_em.pdf</w:t>
      </w:r>
    </w:p>
    <w:p>
      <w:pPr>
        <w:spacing w:after="30" w:line="230"/>
      </w:pPr>
      <w:r>
        <w:rPr>
          <w:rFonts w:ascii="Arial" w:cs="Arial" w:eastAsia="Arial" w:hAnsi="Arial"/>
          <w:color w:val="52514E"/>
          <w:sz w:val="13"/>
          <w:szCs w:val="13"/>
        </w:rPr>
        <w:t xml:space="preserve">https://www.apra.gov.au/quarterly-fund-level-statistics</w:t>
      </w:r>
    </w:p>
    <w:p>
      <w:pPr>
        <w:spacing w:after="30" w:line="230"/>
      </w:pPr>
      <w:r>
        <w:rPr>
          <w:rFonts w:ascii="Arial" w:cs="Arial" w:eastAsia="Arial" w:hAnsi="Arial"/>
          <w:color w:val="52514E"/>
          <w:sz w:val="13"/>
          <w:szCs w:val="13"/>
        </w:rPr>
        <w:t xml:space="preserve">https://www.apra.gov.au/annual-superannuation-bulletin</w:t>
      </w:r>
    </w:p>
    <w:p>
      <w:pPr>
        <w:spacing w:after="30" w:line="230"/>
      </w:pPr>
      <w:r>
        <w:rPr>
          <w:rFonts w:ascii="Arial" w:cs="Arial" w:eastAsia="Arial" w:hAnsi="Arial"/>
          <w:color w:val="52514E"/>
          <w:sz w:val="13"/>
          <w:szCs w:val="13"/>
        </w:rPr>
        <w:t xml:space="preserve">https://www.apra.gov.au/quarterly-superannuation-performance-statistics-highlights-march-2026</w:t>
      </w:r>
    </w:p>
    <w:p>
      <w:pPr>
        <w:spacing w:after="30" w:line="230"/>
      </w:pPr>
      <w:r>
        <w:rPr>
          <w:rFonts w:ascii="Arial" w:cs="Arial" w:eastAsia="Arial" w:hAnsi="Arial"/>
          <w:color w:val="52514E"/>
          <w:sz w:val="13"/>
          <w:szCs w:val="13"/>
        </w:rPr>
        <w:t xml:space="preserve">https://www.apra.gov.au/annual-superannuation-bulletin-2024-25-highlights</w:t>
      </w:r>
    </w:p>
    <w:p>
      <w:pPr>
        <w:spacing w:after="30" w:line="230"/>
      </w:pPr>
      <w:r>
        <w:rPr>
          <w:rFonts w:ascii="Arial" w:cs="Arial" w:eastAsia="Arial" w:hAnsi="Arial"/>
          <w:color w:val="52514E"/>
          <w:sz w:val="13"/>
          <w:szCs w:val="13"/>
        </w:rPr>
        <w:t xml:space="preserve">https://data.gov.au/data/dataset/2fd970ec-984e-4593-bbad-2e69a5fa7a89/resource/7a50c5c8-5c0e-4a4b-a11e-feaad39f2bd0/download/smsf-annual-overview-2023-24.xlsx</w:t>
      </w:r>
    </w:p>
    <w:p>
      <w:pPr>
        <w:spacing w:after="30" w:line="230"/>
      </w:pPr>
      <w:r>
        <w:rPr>
          <w:rFonts w:ascii="Arial" w:cs="Arial" w:eastAsia="Arial" w:hAnsi="Arial"/>
          <w:color w:val="52514E"/>
          <w:sz w:val="13"/>
          <w:szCs w:val="13"/>
        </w:rPr>
        <w:t xml:space="preserve">https://www.superannuation.asn.au/wp-content/uploads/2024/09/ASFA-Research-Account-balances-August-2024.pdf</w:t>
      </w:r>
    </w:p>
    <w:p>
      <w:pPr>
        <w:spacing w:after="30" w:line="230"/>
      </w:pPr>
      <w:r>
        <w:rPr>
          <w:rFonts w:ascii="Arial" w:cs="Arial" w:eastAsia="Arial" w:hAnsi="Arial"/>
          <w:color w:val="52514E"/>
          <w:sz w:val="13"/>
          <w:szCs w:val="13"/>
        </w:rPr>
        <w:t xml:space="preserve">https://fsc.org.au/news/media-release/media-release-fsc-new-analysis-of-the-impact-of-proposed-superannuation-tax</w:t>
      </w:r>
    </w:p>
    <w:p>
      <w:pPr>
        <w:spacing w:after="30" w:line="230"/>
      </w:pPr>
      <w:r>
        <w:rPr>
          <w:rFonts w:ascii="Arial" w:cs="Arial" w:eastAsia="Arial" w:hAnsi="Arial"/>
          <w:color w:val="52514E"/>
          <w:sz w:val="13"/>
          <w:szCs w:val="13"/>
        </w:rPr>
        <w:t xml:space="preserve">https://ministers.treasury.gov.au/sites/ministers.treasury.gov.au/files/2023-03/better-targeted-superannuation-concessions-factsheet_0.pdf</w:t>
      </w:r>
    </w:p>
    <w:p>
      <w:pPr>
        <w:spacing w:after="30" w:line="230"/>
      </w:pPr>
      <w:r>
        <w:rPr>
          <w:rFonts w:ascii="Arial" w:cs="Arial" w:eastAsia="Arial" w:hAnsi="Arial"/>
          <w:color w:val="52514E"/>
          <w:sz w:val="13"/>
          <w:szCs w:val="13"/>
        </w:rPr>
        <w:t xml:space="preserve">https://www.smsfassociation.com/wp-content/uploads/2026/04/20260407-SMSF-Association-Submission_Building-a-stronger-fairer-super-system-Draft-regulations-WEB-COPY.pdf</w:t>
      </w:r>
    </w:p>
    <w:p>
      <w:pPr>
        <w:spacing w:after="30" w:line="230"/>
      </w:pPr>
      <w:r>
        <w:rPr>
          <w:rFonts w:ascii="Arial" w:cs="Arial" w:eastAsia="Arial" w:hAnsi="Arial"/>
          <w:color w:val="52514E"/>
          <w:sz w:val="13"/>
          <w:szCs w:val="13"/>
        </w:rPr>
        <w:t xml:space="preserve">https://www.taxinstitute.com.au/content/dam/thetaxinstitute/resources/submissions/2026/26%2004%2016%20TTI%20Submission%20-%20Building%20a%20stronger%20and%20fairer%20super%20system%20Act%202026%20-%20Draft%20regulations%20-%20For%20publication.pdf</w:t>
      </w:r>
    </w:p>
    <w:p>
      <w:pPr>
        <w:spacing w:after="30" w:line="230"/>
      </w:pPr>
      <w:r>
        <w:rPr>
          <w:rFonts w:ascii="Arial" w:cs="Arial" w:eastAsia="Arial" w:hAnsi="Arial"/>
          <w:color w:val="52514E"/>
          <w:sz w:val="13"/>
          <w:szCs w:val="13"/>
        </w:rPr>
        <w:t xml:space="preserve">https://content.actuaries.asn.au/resources/resource-ce6yyqn64sx3-2093352434-60788</w:t>
      </w:r>
    </w:p>
    <w:p>
      <w:pPr>
        <w:spacing w:after="30" w:line="230"/>
      </w:pPr>
      <w:r>
        <w:rPr>
          <w:rFonts w:ascii="Arial" w:cs="Arial" w:eastAsia="Arial" w:hAnsi="Arial"/>
          <w:color w:val="52514E"/>
          <w:sz w:val="13"/>
          <w:szCs w:val="13"/>
        </w:rPr>
        <w:t xml:space="preserve">https://ifpa.com.au/wp-content/uploads/2026/01/IFPA-better-targeted-super-concessions-Jan-2026.pdf</w:t>
      </w:r>
    </w:p>
    <w:p>
      <w:pPr>
        <w:spacing w:after="30" w:line="230"/>
      </w:pPr>
      <w:r>
        <w:rPr>
          <w:rFonts w:ascii="Arial" w:cs="Arial" w:eastAsia="Arial" w:hAnsi="Arial"/>
          <w:color w:val="52514E"/>
          <w:sz w:val="13"/>
          <w:szCs w:val="13"/>
        </w:rPr>
        <w:t xml:space="preserve">https://www.smsfassociation.com/media-release/smsf-association-presses-treasury-on-division-296-tax-concerns</w:t>
      </w:r>
    </w:p>
    <w:p>
      <w:pPr>
        <w:spacing w:after="30" w:line="230"/>
      </w:pPr>
      <w:r>
        <w:rPr>
          <w:rFonts w:ascii="Arial" w:cs="Arial" w:eastAsia="Arial" w:hAnsi="Arial"/>
          <w:color w:val="52514E"/>
          <w:sz w:val="13"/>
          <w:szCs w:val="13"/>
        </w:rPr>
        <w:t xml:space="preserve">https://www.smsfassociation.com/media-release/draft-division-296-bills-raise-serious-practical-concerns</w:t>
      </w:r>
    </w:p>
    <w:p>
      <w:pPr>
        <w:spacing w:after="30" w:line="230"/>
      </w:pPr>
      <w:r>
        <w:rPr>
          <w:rFonts w:ascii="Arial" w:cs="Arial" w:eastAsia="Arial" w:hAnsi="Arial"/>
          <w:color w:val="52514E"/>
          <w:sz w:val="13"/>
          <w:szCs w:val="13"/>
        </w:rPr>
        <w:t xml:space="preserve">https://beta.treasury.gov.au/key-activities/consultations/c2026-750935</w:t>
      </w:r>
    </w:p>
    <w:p>
      <w:pPr>
        <w:spacing w:after="30" w:line="230"/>
      </w:pPr>
      <w:r>
        <w:rPr>
          <w:rFonts w:ascii="Arial" w:cs="Arial" w:eastAsia="Arial" w:hAnsi="Arial"/>
          <w:color w:val="52514E"/>
          <w:sz w:val="13"/>
          <w:szCs w:val="13"/>
        </w:rPr>
        <w:t xml:space="preserve">https://fsc.org.au/news/fsc-policy-updates/fsc-policy-update-issue-89-3-march</w:t>
      </w:r>
    </w:p>
    <w:p>
      <w:pPr>
        <w:spacing w:after="30" w:line="230"/>
      </w:pPr>
      <w:r>
        <w:rPr>
          <w:rFonts w:ascii="Arial" w:cs="Arial" w:eastAsia="Arial" w:hAnsi="Arial"/>
          <w:color w:val="52514E"/>
          <w:sz w:val="13"/>
          <w:szCs w:val="13"/>
        </w:rPr>
        <w:t xml:space="preserve">https://www.accurium.com.au/blog/2026/03/division-296-draft-regulations-what-they-mean-for-smsf-trustees-and-actuaries/</w:t>
      </w:r>
    </w:p>
    <w:p>
      <w:pPr>
        <w:spacing w:after="30" w:line="230"/>
      </w:pPr>
      <w:r>
        <w:rPr>
          <w:rFonts w:ascii="Arial" w:cs="Arial" w:eastAsia="Arial" w:hAnsi="Arial"/>
          <w:color w:val="52514E"/>
          <w:sz w:val="13"/>
          <w:szCs w:val="13"/>
        </w:rPr>
        <w:t xml:space="preserve">https://www.smsfalliance.com.au/draft-div-296-regulations-have-been-released/</w:t>
      </w:r>
    </w:p>
    <w:p>
      <w:pPr>
        <w:spacing w:after="30" w:line="230"/>
      </w:pPr>
      <w:r>
        <w:rPr>
          <w:rFonts w:ascii="Arial" w:cs="Arial" w:eastAsia="Arial" w:hAnsi="Arial"/>
          <w:color w:val="52514E"/>
          <w:sz w:val="13"/>
          <w:szCs w:val="13"/>
        </w:rPr>
        <w:t xml:space="preserve">https://wealthdata.com.au/blog-1/smsf-data-statistics-analysis-march-2026</w:t>
      </w:r>
    </w:p>
    <w:p>
      <w:pPr>
        <w:spacing w:after="30" w:line="230"/>
      </w:pPr>
      <w:r>
        <w:rPr>
          <w:rFonts w:ascii="Arial" w:cs="Arial" w:eastAsia="Arial" w:hAnsi="Arial"/>
          <w:color w:val="52514E"/>
          <w:sz w:val="13"/>
          <w:szCs w:val="13"/>
        </w:rPr>
        <w:t xml:space="preserve">https://www.taxinstitute.com.au/insights/articles/2025/div-296-poor-design</w:t>
      </w:r>
    </w:p>
    <w:p>
      <w:pPr>
        <w:spacing w:after="30" w:line="230"/>
      </w:pPr>
      <w:r>
        <w:rPr>
          <w:rFonts w:ascii="Arial" w:cs="Arial" w:eastAsia="Arial" w:hAnsi="Arial"/>
          <w:color w:val="52514E"/>
          <w:sz w:val="13"/>
          <w:szCs w:val="13"/>
        </w:rPr>
        <w:t xml:space="preserve">https://hearsay.org.au/better-targeted-superannuation-concessions-or-targeting-judicial-independence/</w:t>
      </w:r>
    </w:p>
    <w:p>
      <w:pPr>
        <w:spacing w:after="30" w:line="230"/>
      </w:pPr>
      <w:r>
        <w:rPr>
          <w:rFonts w:ascii="Arial" w:cs="Arial" w:eastAsia="Arial" w:hAnsi="Arial"/>
          <w:color w:val="52514E"/>
          <w:sz w:val="13"/>
          <w:szCs w:val="13"/>
        </w:rPr>
        <w:t xml:space="preserve">https://blog.stockspot.com.au/why-your-super-fund-might-be-hiding-a-capital-gains-time-bomb/</w:t>
      </w:r>
    </w:p>
    <w:sectPr>
      <w:footerReference w:type="default" r:id="rId7"/>
      <w:pgSz w:w="11906" w:h="16838" w:orient="portrait"/>
      <w:pgMar w:top="1080" w:right="1000" w:bottom="1080" w:left="1000" w:header="708" w:footer="560"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9D8D2" w:sz="4" w:space="6"/>
      </w:pBdr>
      <w:tabs>
        <w:tab w:val="right" w:pos="9906"/>
      </w:tabs>
      <w:spacing w:before="0"/>
    </w:pPr>
    <w:r>
      <w:rPr>
        <w:rFonts w:ascii="Arial" w:cs="Arial" w:eastAsia="Arial" w:hAnsi="Arial"/>
        <w:color w:val="898781"/>
        <w:sz w:val="13"/>
        <w:szCs w:val="13"/>
      </w:rPr>
      <w:t xml:space="preserve">Prudential research note  ·  Division 296 — prudential implications</w:t>
    </w:r>
    <w:r>
      <w:rPr>
        <w:rFonts w:ascii="Arial" w:cs="Arial" w:eastAsia="Arial" w:hAnsi="Arial"/>
      </w:rPr>
      <w:t xml:space="preserve">	</w:t>
    </w:r>
    <w:r>
      <w:rPr>
        <w:rFonts w:ascii="Arial" w:cs="Arial" w:eastAsia="Arial" w:hAnsi="Arial"/>
        <w:color w:val="898781"/>
        <w:sz w:val="13"/>
        <w:szCs w:val="13"/>
      </w:rPr>
      <w:t xml:space="preserve">Page </w:t>
      <w:fldChar w:fldCharType="begin"/>
      <w:instrText xml:space="preserve">PAGE</w:instrText>
      <w:fldChar w:fldCharType="separate"/>
      <w:fldChar w:fldCharType="end"/>
      <w:t xml:space="preserve"> of </w:t>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250" w:hanging="170"/>
      </w:pPr>
      <w:rPr>
        <w:color w:val="0072CE"/>
        <w:sz w:val="19"/>
        <w:szCs w:val="19"/>
      </w:rPr>
    </w:lvl>
    <w:lvl w:ilvl="1" w15:tentative="1">
      <w:start w:val="1"/>
      <w:numFmt w:val="bullet"/>
      <w:lvlText w:val="–"/>
      <w:lvlJc w:val="left"/>
      <w:pPr>
        <w:ind w:left="520" w:hanging="170"/>
      </w:pPr>
      <w:rPr>
        <w:color w:val="00B398"/>
        <w:sz w:val="18"/>
        <w:szCs w:val="18"/>
      </w:r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1A1A1A"/>
        <w:sz w:val="19"/>
        <w:szCs w:val="19"/>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image" Target="media/d79633d6d7a6910806bda30337917cf3bf85b072.png"/><Relationship Id="rId9" Type="http://schemas.openxmlformats.org/officeDocument/2006/relationships/image" Target="media/73b4f58bc06e97a4470b8a2769c911b59224cf65.png"/><Relationship Id="rId10" Type="http://schemas.openxmlformats.org/officeDocument/2006/relationships/image" Target="media/b87306d3aa905b8cecb84a2a55e4adf100dc278b.png"/><Relationship Id="rId11" Type="http://schemas.openxmlformats.org/officeDocument/2006/relationships/image" Target="media/82947335692bf93a35ce0ad06e5b5be6ddc946dc.png"/><Relationship Id="rId12" Type="http://schemas.openxmlformats.org/officeDocument/2006/relationships/image" Target="media/05b7f1d6538868d5f82bee5b6d4dc1becdee201c.png"/><Relationship Id="rId13" Type="http://schemas.openxmlformats.org/officeDocument/2006/relationships/image" Target="media/9532008da9070f324cabd2d3b43e10258baf39e8.png"/><Relationship Id="rId14"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Division 296 and the prudential framework</dc:title>
  <dc:creator>APRA</dc:creator>
  <dc:description>What Australia's new tax on large superannuation balances asks of prudential regulation — and what it does not</dc:description>
  <cp:lastModifiedBy>Un-named</cp:lastModifiedBy>
  <cp:revision>1</cp:revision>
  <dcterms:created xsi:type="dcterms:W3CDTF">2026-07-26T06:29:10.336Z</dcterms:created>
  <dcterms:modified xsi:type="dcterms:W3CDTF">2026-07-26T06:29:10.337Z</dcterms:modified>
</cp:coreProperties>
</file>

<file path=docProps/custom.xml><?xml version="1.0" encoding="utf-8"?>
<Properties xmlns="http://schemas.openxmlformats.org/officeDocument/2006/custom-properties" xmlns:vt="http://schemas.openxmlformats.org/officeDocument/2006/docPropsVTypes"/>
</file>