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F3D85D" w14:textId="77777777" w:rsidR="00DE2B20" w:rsidRPr="000D402F" w:rsidRDefault="00DE2B20" w:rsidP="00DE2B20">
      <w:pPr>
        <w:ind w:firstLine="0"/>
      </w:pPr>
    </w:p>
    <w:p w14:paraId="45C03077" w14:textId="7B9E7A89" w:rsidR="00DE2B20" w:rsidRPr="000D402F" w:rsidRDefault="00C41BB6" w:rsidP="00DE2B20">
      <w:pPr>
        <w:ind w:firstLine="0"/>
        <w:jc w:val="center"/>
      </w:pPr>
      <w:r>
        <w:pict w14:anchorId="39E8543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5.5pt;height:91.5pt">
            <v:imagedata r:id="rId7" o:title=""/>
          </v:shape>
        </w:pict>
      </w:r>
    </w:p>
    <w:p w14:paraId="244D05E8" w14:textId="77777777" w:rsidR="00DE2B20" w:rsidRDefault="00DE2B20" w:rsidP="00DE2B20">
      <w:pPr>
        <w:ind w:firstLine="0"/>
        <w:jc w:val="center"/>
      </w:pPr>
    </w:p>
    <w:p w14:paraId="022D55B4" w14:textId="27708FE5" w:rsidR="00A600F2" w:rsidRPr="000D402F" w:rsidRDefault="00A600F2" w:rsidP="00DE2B20">
      <w:pPr>
        <w:ind w:firstLine="0"/>
        <w:jc w:val="center"/>
      </w:pPr>
      <w:r w:rsidRPr="00DE2B20">
        <w:rPr>
          <w:b/>
          <w:bCs/>
          <w:sz w:val="26"/>
          <w:szCs w:val="26"/>
        </w:rPr>
        <w:t>PONTIFÍCIA UNIVERSIDADE CATÓLICA DE MINAS GERAIS</w:t>
      </w:r>
      <w:r w:rsidRPr="00DE2B20">
        <w:rPr>
          <w:b/>
          <w:bCs/>
          <w:sz w:val="26"/>
          <w:szCs w:val="26"/>
        </w:rPr>
        <w:br/>
      </w:r>
      <w:r w:rsidRPr="00DE2B20">
        <w:rPr>
          <w:sz w:val="20"/>
          <w:szCs w:val="20"/>
        </w:rPr>
        <w:t>NÚCLEO DE EDUCAÇÃO A DISTÂNCIA</w:t>
      </w:r>
    </w:p>
    <w:p w14:paraId="203D9882" w14:textId="0A8021A9" w:rsidR="00A600F2" w:rsidRPr="000D402F" w:rsidRDefault="00A600F2" w:rsidP="00DE2B20">
      <w:pPr>
        <w:ind w:firstLine="0"/>
        <w:jc w:val="center"/>
      </w:pPr>
      <w:r w:rsidRPr="000D402F">
        <w:t xml:space="preserve">Pós-graduação </w:t>
      </w:r>
      <w:r w:rsidRPr="000D402F">
        <w:rPr>
          <w:i/>
        </w:rPr>
        <w:t>Lato Sensu</w:t>
      </w:r>
      <w:r w:rsidRPr="000D402F">
        <w:t xml:space="preserve"> em </w:t>
      </w:r>
      <w:proofErr w:type="spellStart"/>
      <w:r w:rsidR="00430F9A">
        <w:t>Analytics</w:t>
      </w:r>
      <w:proofErr w:type="spellEnd"/>
      <w:r w:rsidR="00430F9A">
        <w:t xml:space="preserve"> e </w:t>
      </w:r>
      <w:r w:rsidR="00463BBB">
        <w:t xml:space="preserve">Business </w:t>
      </w:r>
      <w:proofErr w:type="spellStart"/>
      <w:r w:rsidR="00463BBB">
        <w:t>Intelligence</w:t>
      </w:r>
      <w:proofErr w:type="spellEnd"/>
      <w:r w:rsidR="00430F9A" w:rsidRPr="000D402F">
        <w:t xml:space="preserve"> </w:t>
      </w:r>
      <w:r w:rsidRPr="000D402F">
        <w:br/>
      </w:r>
    </w:p>
    <w:p w14:paraId="76107CF5" w14:textId="77777777" w:rsidR="00830285" w:rsidRPr="000D402F" w:rsidRDefault="00830285" w:rsidP="00DE2B20">
      <w:pPr>
        <w:ind w:firstLine="0"/>
      </w:pPr>
    </w:p>
    <w:p w14:paraId="1D17A597" w14:textId="77777777" w:rsidR="00830285" w:rsidRPr="000D402F" w:rsidRDefault="00830285" w:rsidP="00DE2B20">
      <w:pPr>
        <w:ind w:firstLine="0"/>
        <w:rPr>
          <w:shd w:val="clear" w:color="auto" w:fill="FFFFFF"/>
        </w:rPr>
      </w:pPr>
    </w:p>
    <w:p w14:paraId="2F385225" w14:textId="77777777" w:rsidR="00830285" w:rsidRPr="000D402F" w:rsidRDefault="00830285" w:rsidP="00DE2B20">
      <w:pPr>
        <w:ind w:firstLine="0"/>
      </w:pPr>
    </w:p>
    <w:p w14:paraId="0BB9F832" w14:textId="77777777" w:rsidR="00830285" w:rsidRPr="000D402F" w:rsidRDefault="00830285" w:rsidP="00DE2B20">
      <w:pPr>
        <w:ind w:firstLine="0"/>
      </w:pPr>
    </w:p>
    <w:p w14:paraId="78734D32" w14:textId="77777777" w:rsidR="00830285" w:rsidRPr="000D402F" w:rsidRDefault="00830285" w:rsidP="00DE2B20">
      <w:pPr>
        <w:ind w:firstLine="0"/>
        <w:rPr>
          <w:shd w:val="clear" w:color="auto" w:fill="FFFFFF"/>
        </w:rPr>
      </w:pPr>
    </w:p>
    <w:p w14:paraId="7A65741B" w14:textId="77777777" w:rsidR="00830285" w:rsidRPr="000D402F" w:rsidRDefault="00830285" w:rsidP="00DE2B20">
      <w:pPr>
        <w:ind w:firstLine="0"/>
        <w:rPr>
          <w:shd w:val="clear" w:color="auto" w:fill="FFFFFF"/>
        </w:rPr>
      </w:pPr>
    </w:p>
    <w:p w14:paraId="2124187C" w14:textId="77777777" w:rsidR="00830285" w:rsidRPr="000D402F" w:rsidRDefault="00830285" w:rsidP="00DE2B20">
      <w:pPr>
        <w:ind w:firstLine="0"/>
        <w:jc w:val="center"/>
        <w:rPr>
          <w:shd w:val="clear" w:color="auto" w:fill="FFFFFF"/>
        </w:rPr>
      </w:pPr>
    </w:p>
    <w:p w14:paraId="00CC1D73" w14:textId="30028A5F" w:rsidR="00830285" w:rsidRPr="00DE2B20" w:rsidRDefault="00152C6C" w:rsidP="00DE2B20">
      <w:pPr>
        <w:ind w:firstLine="0"/>
        <w:jc w:val="center"/>
        <w:rPr>
          <w:b/>
          <w:bCs/>
          <w:sz w:val="34"/>
          <w:szCs w:val="34"/>
          <w:shd w:val="clear" w:color="auto" w:fill="FFFFFF"/>
        </w:rPr>
      </w:pPr>
      <w:r w:rsidRPr="00DE2B20">
        <w:rPr>
          <w:b/>
          <w:bCs/>
          <w:sz w:val="34"/>
          <w:szCs w:val="34"/>
          <w:shd w:val="clear" w:color="auto" w:fill="FFFFFF"/>
        </w:rPr>
        <w:t>RELATÓRIO TÉCNICO</w:t>
      </w:r>
    </w:p>
    <w:p w14:paraId="3192746F" w14:textId="3F850E02" w:rsidR="00830285" w:rsidRPr="000D402F" w:rsidRDefault="00830285" w:rsidP="00DE2B20">
      <w:pPr>
        <w:ind w:firstLine="0"/>
        <w:jc w:val="center"/>
        <w:rPr>
          <w:shd w:val="clear" w:color="auto" w:fill="FFFFFF"/>
        </w:rPr>
      </w:pPr>
      <w:r w:rsidRPr="000D402F">
        <w:rPr>
          <w:shd w:val="clear" w:color="auto" w:fill="FFFFFF"/>
        </w:rPr>
        <w:t>PARCEIROS COMERCIAIS DOS ESTADOS BRASILEIROS: UMA SOLUÇÃO DE BUSINESS INTELLIGENCE E ANALYTICS COM DADOS PÚBLICOS DO COMEX STAT (2022–2026)</w:t>
      </w:r>
    </w:p>
    <w:p w14:paraId="26329322" w14:textId="77777777" w:rsidR="00830285" w:rsidRPr="000D402F" w:rsidRDefault="00830285" w:rsidP="00DE2B20">
      <w:pPr>
        <w:ind w:firstLine="0"/>
        <w:rPr>
          <w:shd w:val="clear" w:color="auto" w:fill="FFFFFF"/>
        </w:rPr>
      </w:pPr>
    </w:p>
    <w:p w14:paraId="7D4349C0" w14:textId="77777777" w:rsidR="00830285" w:rsidRPr="000D402F" w:rsidRDefault="00830285" w:rsidP="00DE2B20">
      <w:pPr>
        <w:ind w:firstLine="0"/>
        <w:rPr>
          <w:shd w:val="clear" w:color="auto" w:fill="FFFFFF"/>
        </w:rPr>
      </w:pPr>
    </w:p>
    <w:p w14:paraId="1971591E" w14:textId="77777777" w:rsidR="00830285" w:rsidRPr="000D402F" w:rsidRDefault="00830285" w:rsidP="00DE2B20">
      <w:pPr>
        <w:ind w:firstLine="0"/>
        <w:rPr>
          <w:shd w:val="clear" w:color="auto" w:fill="FFFFFF"/>
        </w:rPr>
      </w:pPr>
    </w:p>
    <w:p w14:paraId="7E6588AF" w14:textId="77777777" w:rsidR="00830285" w:rsidRPr="000D402F" w:rsidRDefault="00830285" w:rsidP="00DE2B20">
      <w:pPr>
        <w:ind w:firstLine="0"/>
        <w:jc w:val="center"/>
        <w:rPr>
          <w:shd w:val="clear" w:color="auto" w:fill="FFFFFF"/>
        </w:rPr>
      </w:pPr>
    </w:p>
    <w:p w14:paraId="21B070FD" w14:textId="77777777" w:rsidR="00152C6C" w:rsidRPr="000D402F" w:rsidRDefault="00152C6C" w:rsidP="00DE2B20">
      <w:pPr>
        <w:ind w:firstLine="0"/>
        <w:jc w:val="center"/>
      </w:pPr>
      <w:r w:rsidRPr="000D402F">
        <w:t>Robson Douglas de Almeida</w:t>
      </w:r>
    </w:p>
    <w:p w14:paraId="77A0EE36" w14:textId="08EB54E2" w:rsidR="00830285" w:rsidRDefault="00830285" w:rsidP="00DE2B20">
      <w:pPr>
        <w:ind w:firstLine="0"/>
        <w:jc w:val="center"/>
        <w:rPr>
          <w:shd w:val="clear" w:color="auto" w:fill="FFFFFF"/>
        </w:rPr>
      </w:pPr>
    </w:p>
    <w:p w14:paraId="472413B4" w14:textId="4E14C3AC" w:rsidR="00152C6C" w:rsidRDefault="00152C6C" w:rsidP="00DE2B20">
      <w:pPr>
        <w:ind w:firstLine="0"/>
        <w:jc w:val="center"/>
        <w:rPr>
          <w:shd w:val="clear" w:color="auto" w:fill="FFFFFF"/>
        </w:rPr>
      </w:pPr>
    </w:p>
    <w:p w14:paraId="0DA36AD0" w14:textId="77777777" w:rsidR="00152C6C" w:rsidRPr="000D402F" w:rsidRDefault="00152C6C" w:rsidP="00DE2B20">
      <w:pPr>
        <w:ind w:firstLine="0"/>
        <w:jc w:val="center"/>
        <w:rPr>
          <w:shd w:val="clear" w:color="auto" w:fill="FFFFFF"/>
        </w:rPr>
      </w:pPr>
    </w:p>
    <w:p w14:paraId="73DF7743" w14:textId="77777777" w:rsidR="00830285" w:rsidRPr="000D402F" w:rsidRDefault="00830285" w:rsidP="00DE2B20">
      <w:pPr>
        <w:ind w:firstLine="0"/>
        <w:jc w:val="center"/>
        <w:rPr>
          <w:shd w:val="clear" w:color="auto" w:fill="FFFFFF"/>
        </w:rPr>
      </w:pPr>
      <w:r w:rsidRPr="000D402F">
        <w:rPr>
          <w:shd w:val="clear" w:color="auto" w:fill="FFFFFF"/>
        </w:rPr>
        <w:t>Belo Horizonte</w:t>
      </w:r>
    </w:p>
    <w:p w14:paraId="1CF82F7C" w14:textId="5D7729A2" w:rsidR="00430F9A" w:rsidRPr="000D402F" w:rsidRDefault="00830285" w:rsidP="00DE2B20">
      <w:pPr>
        <w:ind w:firstLine="0"/>
        <w:jc w:val="center"/>
        <w:rPr>
          <w:shd w:val="clear" w:color="auto" w:fill="FFFFFF"/>
        </w:rPr>
      </w:pPr>
      <w:r w:rsidRPr="000D402F">
        <w:rPr>
          <w:shd w:val="clear" w:color="auto" w:fill="FFFFFF"/>
        </w:rPr>
        <w:t>2026</w:t>
      </w:r>
    </w:p>
    <w:p w14:paraId="04C946DD" w14:textId="0815C956" w:rsidR="00830285" w:rsidRPr="00DE2B20" w:rsidRDefault="00830285" w:rsidP="00BA0E35">
      <w:pPr>
        <w:rPr>
          <w:b/>
          <w:bCs/>
          <w:lang w:eastAsia="pt-BR"/>
        </w:rPr>
      </w:pPr>
      <w:r w:rsidRPr="000D402F">
        <w:rPr>
          <w:color w:val="222222"/>
          <w:shd w:val="clear" w:color="auto" w:fill="FFFFFF"/>
        </w:rPr>
        <w:t xml:space="preserve"> </w:t>
      </w:r>
      <w:r w:rsidRPr="000D402F">
        <w:br w:type="page"/>
      </w:r>
      <w:r w:rsidRPr="00DE2B20">
        <w:rPr>
          <w:b/>
          <w:bCs/>
          <w:sz w:val="34"/>
          <w:szCs w:val="34"/>
          <w:lang w:eastAsia="pt-BR"/>
        </w:rPr>
        <w:lastRenderedPageBreak/>
        <w:t>SUMÁRIO</w:t>
      </w:r>
    </w:p>
    <w:p w14:paraId="38B0363F" w14:textId="77777777" w:rsidR="00830285" w:rsidRPr="000D402F" w:rsidRDefault="00830285" w:rsidP="00BA0E35">
      <w:pPr>
        <w:rPr>
          <w:lang w:eastAsia="pt-BR"/>
        </w:rPr>
      </w:pPr>
    </w:p>
    <w:p w14:paraId="5B1DDDEF" w14:textId="77777777" w:rsidR="00830285" w:rsidRPr="000D402F" w:rsidRDefault="00830285" w:rsidP="00BA0E35">
      <w:pPr>
        <w:rPr>
          <w:lang w:eastAsia="pt-BR"/>
        </w:rPr>
      </w:pPr>
    </w:p>
    <w:p w14:paraId="207D16A0" w14:textId="5DE56C43" w:rsidR="00C41BB6" w:rsidRPr="00001F71" w:rsidRDefault="00830285">
      <w:pPr>
        <w:pStyle w:val="Sumrio1"/>
        <w:rPr>
          <w:rFonts w:ascii="Calibri" w:eastAsia="Times New Roman" w:hAnsi="Calibri" w:cs="Times New Roman"/>
          <w:b w:val="0"/>
          <w:sz w:val="22"/>
          <w:szCs w:val="22"/>
        </w:rPr>
      </w:pPr>
      <w:r w:rsidRPr="000D402F">
        <w:rPr>
          <w:rFonts w:eastAsia="Times New Roman"/>
        </w:rPr>
        <w:fldChar w:fldCharType="begin"/>
      </w:r>
      <w:r w:rsidRPr="000D402F">
        <w:rPr>
          <w:rFonts w:eastAsia="Times New Roman"/>
        </w:rPr>
        <w:instrText xml:space="preserve"> TOC \o "1-2" \h \z \u </w:instrText>
      </w:r>
      <w:r w:rsidRPr="000D402F">
        <w:rPr>
          <w:rFonts w:eastAsia="Times New Roman"/>
        </w:rPr>
        <w:fldChar w:fldCharType="separate"/>
      </w:r>
      <w:hyperlink w:anchor="_Toc74691365" w:history="1">
        <w:r w:rsidR="00C41BB6" w:rsidRPr="00425413">
          <w:rPr>
            <w:rStyle w:val="Hyperlink"/>
          </w:rPr>
          <w:t>1. Introdução</w:t>
        </w:r>
        <w:r w:rsidR="00C41BB6">
          <w:rPr>
            <w:webHidden/>
          </w:rPr>
          <w:tab/>
        </w:r>
        <w:r w:rsidR="00C41BB6">
          <w:rPr>
            <w:webHidden/>
          </w:rPr>
          <w:fldChar w:fldCharType="begin"/>
        </w:r>
        <w:r w:rsidR="00C41BB6">
          <w:rPr>
            <w:webHidden/>
          </w:rPr>
          <w:instrText xml:space="preserve"> PAGEREF _Toc74691365 \h </w:instrText>
        </w:r>
        <w:r w:rsidR="00C41BB6">
          <w:rPr>
            <w:webHidden/>
          </w:rPr>
        </w:r>
        <w:r w:rsidR="00C41BB6">
          <w:rPr>
            <w:webHidden/>
          </w:rPr>
          <w:fldChar w:fldCharType="separate"/>
        </w:r>
        <w:r w:rsidR="00C41BB6">
          <w:rPr>
            <w:webHidden/>
          </w:rPr>
          <w:t>3</w:t>
        </w:r>
        <w:r w:rsidR="00C41BB6">
          <w:rPr>
            <w:webHidden/>
          </w:rPr>
          <w:fldChar w:fldCharType="end"/>
        </w:r>
      </w:hyperlink>
    </w:p>
    <w:p w14:paraId="79D9BFE7" w14:textId="78454857" w:rsidR="00C41BB6" w:rsidRPr="00001F71" w:rsidRDefault="00C41BB6">
      <w:pPr>
        <w:pStyle w:val="Sumrio2"/>
        <w:tabs>
          <w:tab w:val="right" w:leader="dot" w:pos="9061"/>
        </w:tabs>
        <w:rPr>
          <w:rFonts w:ascii="Calibri" w:eastAsia="Times New Roman" w:hAnsi="Calibri" w:cs="Times New Roman"/>
          <w:noProof/>
          <w:sz w:val="22"/>
          <w:szCs w:val="22"/>
          <w:lang w:eastAsia="pt-BR"/>
        </w:rPr>
      </w:pPr>
      <w:hyperlink w:anchor="_Toc74691366" w:history="1">
        <w:r w:rsidRPr="00425413">
          <w:rPr>
            <w:rStyle w:val="Hyperlink"/>
            <w:noProof/>
            <w:lang w:eastAsia="pt-BR"/>
          </w:rPr>
          <w:t>1.1. Contexto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_Toc74691366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1A40192" w14:textId="163A7082" w:rsidR="00C41BB6" w:rsidRPr="00001F71" w:rsidRDefault="00C41BB6">
      <w:pPr>
        <w:pStyle w:val="Sumrio2"/>
        <w:tabs>
          <w:tab w:val="right" w:leader="dot" w:pos="9061"/>
        </w:tabs>
        <w:rPr>
          <w:rFonts w:ascii="Calibri" w:eastAsia="Times New Roman" w:hAnsi="Calibri" w:cs="Times New Roman"/>
          <w:noProof/>
          <w:sz w:val="22"/>
          <w:szCs w:val="22"/>
          <w:lang w:eastAsia="pt-BR"/>
        </w:rPr>
      </w:pPr>
      <w:hyperlink w:anchor="_Toc74691367" w:history="1">
        <w:r w:rsidRPr="00425413">
          <w:rPr>
            <w:rStyle w:val="Hyperlink"/>
            <w:noProof/>
            <w:lang w:eastAsia="pt-BR"/>
          </w:rPr>
          <w:t>1.2. Objetivos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_Toc74691367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BDD133B" w14:textId="05E1F11C" w:rsidR="00C41BB6" w:rsidRPr="00001F71" w:rsidRDefault="00C41BB6">
      <w:pPr>
        <w:pStyle w:val="Sumrio2"/>
        <w:tabs>
          <w:tab w:val="right" w:leader="dot" w:pos="9061"/>
        </w:tabs>
        <w:rPr>
          <w:rFonts w:ascii="Calibri" w:eastAsia="Times New Roman" w:hAnsi="Calibri" w:cs="Times New Roman"/>
          <w:noProof/>
          <w:sz w:val="22"/>
          <w:szCs w:val="22"/>
          <w:lang w:eastAsia="pt-BR"/>
        </w:rPr>
      </w:pPr>
      <w:hyperlink w:anchor="_Toc74691368" w:history="1">
        <w:r w:rsidRPr="00425413">
          <w:rPr>
            <w:rStyle w:val="Hyperlink"/>
            <w:noProof/>
            <w:lang w:eastAsia="pt-BR"/>
          </w:rPr>
          <w:t>1.3. Público alvo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_Toc74691368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B37AC6D" w14:textId="6B4510AF" w:rsidR="00C41BB6" w:rsidRPr="00001F71" w:rsidRDefault="00C41BB6">
      <w:pPr>
        <w:pStyle w:val="Sumrio1"/>
        <w:rPr>
          <w:rFonts w:ascii="Calibri" w:eastAsia="Times New Roman" w:hAnsi="Calibri" w:cs="Times New Roman"/>
          <w:b w:val="0"/>
          <w:sz w:val="22"/>
          <w:szCs w:val="22"/>
        </w:rPr>
      </w:pPr>
      <w:hyperlink w:anchor="_Toc74691369" w:history="1">
        <w:r w:rsidRPr="00425413">
          <w:rPr>
            <w:rStyle w:val="Hyperlink"/>
          </w:rPr>
          <w:t>2. Modelo de Dados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_Toc74691369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51DEC450" w14:textId="5A34B995" w:rsidR="00C41BB6" w:rsidRPr="00001F71" w:rsidRDefault="00C41BB6">
      <w:pPr>
        <w:pStyle w:val="Sumrio2"/>
        <w:tabs>
          <w:tab w:val="right" w:leader="dot" w:pos="9061"/>
        </w:tabs>
        <w:rPr>
          <w:rFonts w:ascii="Calibri" w:eastAsia="Times New Roman" w:hAnsi="Calibri" w:cs="Times New Roman"/>
          <w:noProof/>
          <w:sz w:val="22"/>
          <w:szCs w:val="22"/>
          <w:lang w:eastAsia="pt-BR"/>
        </w:rPr>
      </w:pPr>
      <w:hyperlink w:anchor="_Toc74691370" w:history="1">
        <w:r w:rsidRPr="00425413">
          <w:rPr>
            <w:rStyle w:val="Hyperlink"/>
            <w:noProof/>
            <w:lang w:eastAsia="pt-BR"/>
          </w:rPr>
          <w:t>2.1. Modelo Dimensional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_Toc74691370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A1E0E7F" w14:textId="41C04031" w:rsidR="00C41BB6" w:rsidRPr="00001F71" w:rsidRDefault="00C41BB6">
      <w:pPr>
        <w:pStyle w:val="Sumrio2"/>
        <w:tabs>
          <w:tab w:val="right" w:leader="dot" w:pos="9061"/>
        </w:tabs>
        <w:rPr>
          <w:rFonts w:ascii="Calibri" w:eastAsia="Times New Roman" w:hAnsi="Calibri" w:cs="Times New Roman"/>
          <w:noProof/>
          <w:sz w:val="22"/>
          <w:szCs w:val="22"/>
          <w:lang w:eastAsia="pt-BR"/>
        </w:rPr>
      </w:pPr>
      <w:hyperlink w:anchor="_Toc74691371" w:history="1">
        <w:r w:rsidRPr="00425413">
          <w:rPr>
            <w:rStyle w:val="Hyperlink"/>
            <w:noProof/>
            <w:lang w:eastAsia="pt-BR"/>
          </w:rPr>
          <w:t>2.2. Fatos e Dimensões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_Toc74691371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E1F0B62" w14:textId="4F637AC9" w:rsidR="00C41BB6" w:rsidRPr="00001F71" w:rsidRDefault="00C41BB6">
      <w:pPr>
        <w:pStyle w:val="Sumrio1"/>
        <w:rPr>
          <w:rFonts w:ascii="Calibri" w:eastAsia="Times New Roman" w:hAnsi="Calibri" w:cs="Times New Roman"/>
          <w:b w:val="0"/>
          <w:sz w:val="22"/>
          <w:szCs w:val="22"/>
        </w:rPr>
      </w:pPr>
      <w:hyperlink w:anchor="_Toc74691372" w:history="1">
        <w:r w:rsidRPr="00425413">
          <w:rPr>
            <w:rStyle w:val="Hyperlink"/>
          </w:rPr>
          <w:t>3. Integração, Tratamento e Carga de Dados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_Toc74691372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28048200" w14:textId="70A2420F" w:rsidR="00C41BB6" w:rsidRPr="00001F71" w:rsidRDefault="00C41BB6">
      <w:pPr>
        <w:pStyle w:val="Sumrio2"/>
        <w:tabs>
          <w:tab w:val="right" w:leader="dot" w:pos="9061"/>
        </w:tabs>
        <w:rPr>
          <w:rFonts w:ascii="Calibri" w:eastAsia="Times New Roman" w:hAnsi="Calibri" w:cs="Times New Roman"/>
          <w:noProof/>
          <w:sz w:val="22"/>
          <w:szCs w:val="22"/>
          <w:lang w:eastAsia="pt-BR"/>
        </w:rPr>
      </w:pPr>
      <w:hyperlink w:anchor="_Toc74691373" w:history="1">
        <w:r w:rsidRPr="00425413">
          <w:rPr>
            <w:rStyle w:val="Hyperlink"/>
            <w:noProof/>
            <w:lang w:eastAsia="pt-BR"/>
          </w:rPr>
          <w:t>3.1. Fontes de Dados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_Toc74691373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FFBF3D8" w14:textId="19FB2D75" w:rsidR="00C41BB6" w:rsidRPr="00001F71" w:rsidRDefault="00C41BB6">
      <w:pPr>
        <w:pStyle w:val="Sumrio2"/>
        <w:tabs>
          <w:tab w:val="right" w:leader="dot" w:pos="9061"/>
        </w:tabs>
        <w:rPr>
          <w:rFonts w:ascii="Calibri" w:eastAsia="Times New Roman" w:hAnsi="Calibri" w:cs="Times New Roman"/>
          <w:noProof/>
          <w:sz w:val="22"/>
          <w:szCs w:val="22"/>
          <w:lang w:eastAsia="pt-BR"/>
        </w:rPr>
      </w:pPr>
      <w:hyperlink w:anchor="_Toc74691374" w:history="1">
        <w:r w:rsidRPr="00425413">
          <w:rPr>
            <w:rStyle w:val="Hyperlink"/>
            <w:noProof/>
            <w:lang w:eastAsia="pt-BR"/>
          </w:rPr>
          <w:t>3.2. Processos de Integração e Carga (ETL)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_Toc74691374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FC68801" w14:textId="5C059BD9" w:rsidR="00C41BB6" w:rsidRPr="00001F71" w:rsidRDefault="00C41BB6">
      <w:pPr>
        <w:pStyle w:val="Sumrio1"/>
        <w:rPr>
          <w:rFonts w:ascii="Calibri" w:eastAsia="Times New Roman" w:hAnsi="Calibri" w:cs="Times New Roman"/>
          <w:b w:val="0"/>
          <w:sz w:val="22"/>
          <w:szCs w:val="22"/>
        </w:rPr>
      </w:pPr>
      <w:hyperlink w:anchor="_Toc74691375" w:history="1">
        <w:r w:rsidRPr="00425413">
          <w:rPr>
            <w:rStyle w:val="Hyperlink"/>
          </w:rPr>
          <w:t>4. Camada de Apresentação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_Toc74691375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4E5C3C5E" w14:textId="0C2A5817" w:rsidR="00C41BB6" w:rsidRPr="00001F71" w:rsidRDefault="00C41BB6">
      <w:pPr>
        <w:pStyle w:val="Sumrio2"/>
        <w:tabs>
          <w:tab w:val="right" w:leader="dot" w:pos="9061"/>
        </w:tabs>
        <w:rPr>
          <w:rFonts w:ascii="Calibri" w:eastAsia="Times New Roman" w:hAnsi="Calibri" w:cs="Times New Roman"/>
          <w:noProof/>
          <w:sz w:val="22"/>
          <w:szCs w:val="22"/>
          <w:lang w:eastAsia="pt-BR"/>
        </w:rPr>
      </w:pPr>
      <w:hyperlink w:anchor="_Toc74691376" w:history="1">
        <w:r w:rsidRPr="00425413">
          <w:rPr>
            <w:rStyle w:val="Hyperlink"/>
            <w:noProof/>
          </w:rPr>
          <w:t>4.1 Dashboard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_Toc74691376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384D038" w14:textId="6B9E694C" w:rsidR="00C41BB6" w:rsidRPr="00001F71" w:rsidRDefault="00C41BB6">
      <w:pPr>
        <w:pStyle w:val="Sumrio2"/>
        <w:tabs>
          <w:tab w:val="right" w:leader="dot" w:pos="9061"/>
        </w:tabs>
        <w:rPr>
          <w:rFonts w:ascii="Calibri" w:eastAsia="Times New Roman" w:hAnsi="Calibri" w:cs="Times New Roman"/>
          <w:noProof/>
          <w:sz w:val="22"/>
          <w:szCs w:val="22"/>
          <w:lang w:eastAsia="pt-BR"/>
        </w:rPr>
      </w:pPr>
      <w:hyperlink w:anchor="_Toc74691377" w:history="1">
        <w:r w:rsidRPr="00425413">
          <w:rPr>
            <w:rStyle w:val="Hyperlink"/>
            <w:noProof/>
          </w:rPr>
          <w:t>4.2 Análises avançadas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_Toc74691377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934C7AA" w14:textId="5B326CD7" w:rsidR="00C41BB6" w:rsidRPr="00001F71" w:rsidRDefault="00C41BB6">
      <w:pPr>
        <w:pStyle w:val="Sumrio1"/>
        <w:rPr>
          <w:rFonts w:ascii="Calibri" w:eastAsia="Times New Roman" w:hAnsi="Calibri" w:cs="Times New Roman"/>
          <w:b w:val="0"/>
          <w:sz w:val="22"/>
          <w:szCs w:val="22"/>
        </w:rPr>
      </w:pPr>
      <w:hyperlink w:anchor="_Toc74691378" w:history="1">
        <w:r w:rsidRPr="00425413">
          <w:rPr>
            <w:rStyle w:val="Hyperlink"/>
          </w:rPr>
          <w:t>5. Registros de Homologação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_Toc74691378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58DC9DFF" w14:textId="4367329B" w:rsidR="00C41BB6" w:rsidRPr="00001F71" w:rsidRDefault="00C41BB6">
      <w:pPr>
        <w:pStyle w:val="Sumrio1"/>
        <w:rPr>
          <w:rFonts w:ascii="Calibri" w:eastAsia="Times New Roman" w:hAnsi="Calibri" w:cs="Times New Roman"/>
          <w:b w:val="0"/>
          <w:sz w:val="22"/>
          <w:szCs w:val="22"/>
        </w:rPr>
      </w:pPr>
      <w:hyperlink w:anchor="_Toc74691379" w:history="1">
        <w:r w:rsidRPr="00425413">
          <w:rPr>
            <w:rStyle w:val="Hyperlink"/>
          </w:rPr>
          <w:t>5. Conclusões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_Toc74691379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22A6264A" w14:textId="5ECB5937" w:rsidR="00C41BB6" w:rsidRPr="00001F71" w:rsidRDefault="00C41BB6">
      <w:pPr>
        <w:pStyle w:val="Sumrio1"/>
        <w:rPr>
          <w:rFonts w:ascii="Calibri" w:eastAsia="Times New Roman" w:hAnsi="Calibri" w:cs="Times New Roman"/>
          <w:b w:val="0"/>
          <w:sz w:val="22"/>
          <w:szCs w:val="22"/>
        </w:rPr>
      </w:pPr>
      <w:hyperlink w:anchor="_Toc74691380" w:history="1">
        <w:r w:rsidRPr="00425413">
          <w:rPr>
            <w:rStyle w:val="Hyperlink"/>
          </w:rPr>
          <w:t>6. Links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_Toc74691380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5B17B8E0" w14:textId="451F6C4C" w:rsidR="00C41BB6" w:rsidRPr="00001F71" w:rsidRDefault="00C41BB6">
      <w:pPr>
        <w:pStyle w:val="Sumrio1"/>
        <w:rPr>
          <w:rFonts w:ascii="Calibri" w:eastAsia="Times New Roman" w:hAnsi="Calibri" w:cs="Times New Roman"/>
          <w:b w:val="0"/>
          <w:sz w:val="22"/>
          <w:szCs w:val="22"/>
        </w:rPr>
      </w:pPr>
      <w:hyperlink w:anchor="_Toc74691381" w:history="1">
        <w:r w:rsidRPr="00425413">
          <w:rPr>
            <w:rStyle w:val="Hyperlink"/>
          </w:rPr>
          <w:t>REFERÊNCIAS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_Toc74691381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4D4B0846" w14:textId="381C5AF8" w:rsidR="00830285" w:rsidRPr="000D402F" w:rsidRDefault="00830285" w:rsidP="00BA0E35">
      <w:pPr>
        <w:pStyle w:val="Sumrio2"/>
        <w:rPr>
          <w:rFonts w:ascii="Calibri" w:hAnsi="Calibri"/>
          <w:noProof/>
          <w:sz w:val="22"/>
          <w:lang w:eastAsia="pt-BR"/>
        </w:rPr>
      </w:pPr>
      <w:r w:rsidRPr="000D402F">
        <w:rPr>
          <w:lang w:eastAsia="pt-BR"/>
        </w:rPr>
        <w:fldChar w:fldCharType="end"/>
      </w:r>
    </w:p>
    <w:p w14:paraId="52894304" w14:textId="77777777" w:rsidR="00830285" w:rsidRPr="000D402F" w:rsidRDefault="00830285" w:rsidP="00BA0E35">
      <w:pPr>
        <w:rPr>
          <w:lang w:eastAsia="pt-BR"/>
        </w:rPr>
      </w:pPr>
    </w:p>
    <w:p w14:paraId="76DCC545" w14:textId="77777777" w:rsidR="00830285" w:rsidRPr="000D402F" w:rsidRDefault="00830285" w:rsidP="00BA0E35">
      <w:pPr>
        <w:rPr>
          <w:lang w:eastAsia="pt-BR"/>
        </w:rPr>
      </w:pPr>
    </w:p>
    <w:p w14:paraId="0E88D996" w14:textId="77777777" w:rsidR="00830285" w:rsidRPr="000D402F" w:rsidRDefault="00830285" w:rsidP="00BA0E35">
      <w:pPr>
        <w:rPr>
          <w:lang w:eastAsia="pt-BR"/>
        </w:rPr>
        <w:sectPr w:rsidR="00830285" w:rsidRPr="000D402F" w:rsidSect="00D3159F">
          <w:pgSz w:w="11906" w:h="16838"/>
          <w:pgMar w:top="1701" w:right="1134" w:bottom="1134" w:left="1701" w:header="709" w:footer="709" w:gutter="0"/>
          <w:cols w:space="708"/>
          <w:docGrid w:linePitch="360"/>
        </w:sectPr>
      </w:pPr>
    </w:p>
    <w:p w14:paraId="33100A2A" w14:textId="446695D4" w:rsidR="00830285" w:rsidRPr="000D402F" w:rsidRDefault="00830285" w:rsidP="00BA0E35">
      <w:pPr>
        <w:pStyle w:val="Ttulo1"/>
        <w:rPr>
          <w:lang w:eastAsia="pt-BR"/>
        </w:rPr>
      </w:pPr>
      <w:bookmarkStart w:id="0" w:name="_Toc74691365"/>
      <w:r w:rsidRPr="000D402F">
        <w:rPr>
          <w:lang w:eastAsia="pt-BR"/>
        </w:rPr>
        <w:lastRenderedPageBreak/>
        <w:t xml:space="preserve">1. </w:t>
      </w:r>
      <w:r w:rsidR="00463BBB">
        <w:rPr>
          <w:lang w:eastAsia="pt-BR"/>
        </w:rPr>
        <w:t>Introdução</w:t>
      </w:r>
      <w:bookmarkEnd w:id="0"/>
    </w:p>
    <w:p w14:paraId="0962A95B" w14:textId="77777777" w:rsidR="00830285" w:rsidRPr="000D402F" w:rsidRDefault="00830285" w:rsidP="00BA0E35">
      <w:pPr>
        <w:rPr>
          <w:lang w:eastAsia="pt-BR"/>
        </w:rPr>
      </w:pPr>
    </w:p>
    <w:p w14:paraId="2907AF19" w14:textId="77777777" w:rsidR="00A600F2" w:rsidRPr="000D402F" w:rsidRDefault="00A600F2" w:rsidP="00BA0E35">
      <w:pPr>
        <w:pStyle w:val="Ttulo2"/>
        <w:rPr>
          <w:lang w:eastAsia="pt-BR"/>
        </w:rPr>
      </w:pPr>
      <w:bookmarkStart w:id="1" w:name="_Toc297133343"/>
      <w:bookmarkStart w:id="2" w:name="_Toc74691366"/>
      <w:r w:rsidRPr="000D402F">
        <w:rPr>
          <w:lang w:eastAsia="pt-BR"/>
        </w:rPr>
        <w:t>1.1. Contexto</w:t>
      </w:r>
      <w:bookmarkEnd w:id="1"/>
      <w:bookmarkEnd w:id="2"/>
    </w:p>
    <w:p>
      <w:pPr>
        <w:spacing w:after="120"/>
        <w:jc w:val="both"/>
      </w:pPr>
      <w:r>
        <w:rPr>
          <w:i w:val="0"/>
        </w:rPr>
        <w:t>O comércio exterior é um dos principais motores da economia brasileira. Entre janeiro de 2022 e setembro de 2026, o país exportou US$ 1,64 trilhão e importou US$ 1,28 trilhão em mercadorias, segundo as estatísticas oficiais do Ministério do Desenvolvimento, Indústria, Comércio e Serviços (MDIC), divulgadas pela plataforma Comex Stat.</w:t>
      </w:r>
    </w:p>
    <w:p>
      <w:pPr>
        <w:spacing w:after="120"/>
        <w:jc w:val="both"/>
      </w:pPr>
      <w:r>
        <w:rPr>
          <w:i w:val="0"/>
        </w:rPr>
        <w:t>Esse volume, porém, não se distribui de forma homogênea pelo território. Cada unidade da federação (UF) tem uma pauta e um conjunto de parceiros próprios: estados do Centro-Oeste e do Norte dependem de commodities agrícolas e minerais vendidas sobretudo à China, enquanto estados do Sul e do Sudeste exportam produtos mais diversificados a um número maior de países. Essa concentração expõe economias estaduais a choques de demanda, de preço ou de política comercial de um único parceiro.</w:t>
      </w:r>
    </w:p>
    <w:p>
      <w:pPr>
        <w:spacing w:after="120"/>
        <w:jc w:val="both"/>
      </w:pPr>
      <w:r>
        <w:rPr>
          <w:i w:val="0"/>
        </w:rPr>
        <w:t>Os dados para acompanhar esse quadro são públicos, mas chegam em arquivos CSV volumosos (mais de 13 milhões de linhas no período), codificados (NCM/SH, códigos de país e de município) e separados por ano e por fluxo. Não existe, para o gestor público ou para a entidade empresarial de um estado, uma visão consolidada e navegável que responda rapidamente: quem são os principais parceiros de cada UF, quanto cada estado depende de um só destino e como essa relação evolui no tempo.</w:t>
      </w:r>
    </w:p>
    <w:p>
      <w:pPr>
        <w:spacing w:after="120"/>
        <w:jc w:val="both"/>
      </w:pPr>
      <w:r>
        <w:rPr>
          <w:i w:val="0"/>
        </w:rPr>
        <w:t>O projeto foi desenvolvido de forma individual, com dados públicos e ferramentas de uso livre ou amplamente disponíveis: Python (pandas e scikit-learn) para integração e análises avançadas e Microsoft Power BI Desktop para o modelo dimensional e os painéis. Por se tratar de dados públicos e agregados, não há informações pessoais nem necessidade de autorização de uso.</w:t>
      </w:r>
    </w:p>
    <w:p w14:paraId="2C736589" w14:textId="399FB0E9" w:rsidR="00DE2B20" w:rsidRPr="00C41BB6" w:rsidRDefault="00DE2B20" w:rsidP="00BA0E35">
      <w:pPr>
        <w:pStyle w:val="Ttulo2"/>
        <w:rPr>
          <w:lang w:val="pt-BR" w:eastAsia="pt-BR"/>
        </w:rPr>
      </w:pPr>
      <w:bookmarkStart w:id="3" w:name="_Toc74691367"/>
      <w:r w:rsidRPr="000D402F">
        <w:rPr>
          <w:lang w:eastAsia="pt-BR"/>
        </w:rPr>
        <w:t>1.</w:t>
      </w:r>
      <w:r>
        <w:rPr>
          <w:lang w:eastAsia="pt-BR"/>
        </w:rPr>
        <w:t>2</w:t>
      </w:r>
      <w:r w:rsidRPr="000D402F">
        <w:rPr>
          <w:lang w:eastAsia="pt-BR"/>
        </w:rPr>
        <w:t xml:space="preserve">. </w:t>
      </w:r>
      <w:r>
        <w:rPr>
          <w:lang w:val="pt-BR" w:eastAsia="pt-BR"/>
        </w:rPr>
        <w:t>Objetivos</w:t>
      </w:r>
      <w:bookmarkEnd w:id="3"/>
    </w:p>
    <w:p>
      <w:pPr>
        <w:spacing w:after="120"/>
        <w:jc w:val="both"/>
      </w:pPr>
      <w:r>
        <w:rPr>
          <w:i w:val="0"/>
        </w:rPr>
        <w:t>O objetivo geral é oferecer uma visão integrada dos fluxos de comércio exterior das 27 UFs brasileiras, que permita identificar os principais parceiros comerciais de cada estado, medir o grau de dependência em relação a poucos destinos e produtos e apoiar ações de diversificação.</w:t>
      </w:r>
    </w:p>
    <w:p>
      <w:pPr>
        <w:spacing w:after="120"/>
        <w:jc w:val="both"/>
      </w:pPr>
      <w:r>
        <w:rPr>
          <w:i w:val="0"/>
        </w:rPr>
        <w:t>Os objetivos específicos são:</w:t>
      </w:r>
    </w:p>
    <w:p>
      <w:pPr>
        <w:spacing w:after="60"/>
        <w:ind w:left="567" w:hanging="283"/>
        <w:jc w:val="both"/>
      </w:pPr>
      <w:r>
        <w:t xml:space="preserve">–  </w:t>
      </w:r>
      <w:r>
        <w:t>consolidar as bases do Comex Stat de 2022 a 2026 em um modelo dimensional único e validado;</w:t>
      </w:r>
    </w:p>
    <w:p>
      <w:pPr>
        <w:spacing w:after="60"/>
        <w:ind w:left="567" w:hanging="283"/>
        <w:jc w:val="both"/>
      </w:pPr>
      <w:r>
        <w:t xml:space="preserve">–  </w:t>
      </w:r>
      <w:r>
        <w:t>acompanhar exportação, importação, saldo e corrente de comércio por UF, região, país e produto;</w:t>
      </w:r>
    </w:p>
    <w:p>
      <w:pPr>
        <w:spacing w:after="60"/>
        <w:ind w:left="567" w:hanging="283"/>
        <w:jc w:val="both"/>
      </w:pPr>
      <w:r>
        <w:t xml:space="preserve">–  </w:t>
      </w:r>
      <w:r>
        <w:t>medir a concentração de destinos de cada UF e destacar os estados mais dependentes de um parceiro;</w:t>
      </w:r>
    </w:p>
    <w:p>
      <w:pPr>
        <w:spacing w:after="60"/>
        <w:ind w:left="567" w:hanging="283"/>
        <w:jc w:val="both"/>
      </w:pPr>
      <w:r>
        <w:t xml:space="preserve">–  </w:t>
      </w:r>
      <w:r>
        <w:t>projetar o comportamento das exportações e importações e agrupar as UFs por perfil comercial com técnicas de aprendizado de máquina;</w:t>
      </w:r>
    </w:p>
    <w:p>
      <w:pPr>
        <w:spacing w:after="60"/>
        <w:ind w:left="567" w:hanging="283"/>
        <w:jc w:val="both"/>
      </w:pPr>
      <w:r>
        <w:t xml:space="preserve">–  </w:t>
      </w:r>
      <w:r>
        <w:t>propor ações de diversificação de mercados e de produtos a partir dos achados.</w:t>
      </w:r>
    </w:p>
    <w:p>
      <w:pPr>
        <w:spacing w:after="120"/>
        <w:jc w:val="both"/>
      </w:pPr>
      <w:r>
        <w:rPr>
          <w:i w:val="0"/>
        </w:rPr>
        <w:t>Os objetivos estratégicos são acompanhados pelos indicadores do Quadro 1, calculados no painel.</w:t>
      </w:r>
    </w:p>
    <w:p>
      <w:pPr>
        <w:keepNext/>
        <w:spacing w:after="40"/>
        <w:ind w:firstLine="0"/>
        <w:jc w:val="center"/>
      </w:pPr>
      <w:r>
        <w:rPr>
          <w:i w:val="0"/>
          <w:sz w:val="20"/>
        </w:rPr>
        <w:t>Quadro 1 – Indicadores estratégicos do projeto</w:t>
      </w:r>
    </w:p>
    <w:tbl>
      <w:tblPr>
        <w:tblW w:type="dxa" w:w="9072"/>
        <w:jc w:val="center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  <w:tblLook w:firstColumn="1" w:firstRow="1" w:lastColumn="0" w:lastRow="0" w:noHBand="0" w:noVBand="1" w:val="04A0"/>
      </w:tblPr>
      <w:tblGrid>
        <w:gridCol w:w="2381"/>
        <w:gridCol w:w="3175"/>
        <w:gridCol w:w="3515"/>
      </w:tblGrid>
      <w:tr>
        <w:trPr>
          <w:tblHeader w:val="true"/>
        </w:trPr>
        <w:tc>
          <w:tcPr>
            <w:tcW w:type="dxa" w:w="2381"/>
            <w:shd w:val="clear" w:color="auto" w:fill="DCE6F2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/>
                <w:sz w:val="18"/>
              </w:rPr>
              <w:t>Indicador</w:t>
            </w:r>
          </w:p>
        </w:tc>
        <w:tc>
          <w:tcPr>
            <w:tcW w:type="dxa" w:w="3175"/>
            <w:shd w:val="clear" w:color="auto" w:fill="DCE6F2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/>
                <w:sz w:val="18"/>
              </w:rPr>
              <w:t>Pergunta que responde</w:t>
            </w:r>
          </w:p>
        </w:tc>
        <w:tc>
          <w:tcPr>
            <w:tcW w:type="dxa" w:w="3515"/>
            <w:shd w:val="clear" w:color="auto" w:fill="DCE6F2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/>
                <w:sz w:val="18"/>
              </w:rPr>
              <w:t>Forma de cálculo</w:t>
            </w:r>
          </w:p>
        </w:tc>
      </w:tr>
      <w:tr>
        <w:tc>
          <w:tcPr>
            <w:tcW w:type="dxa" w:w="2381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8"/>
              </w:rPr>
              <w:t>Exportação / Importação (US$ FOB)</w:t>
            </w:r>
          </w:p>
        </w:tc>
        <w:tc>
          <w:tcPr>
            <w:tcW w:type="dxa" w:w="3175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8"/>
              </w:rPr>
              <w:t>Quanto cada UF vende e compra do exterior?</w:t>
            </w:r>
          </w:p>
        </w:tc>
        <w:tc>
          <w:tcPr>
            <w:tcW w:type="dxa" w:w="3515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8"/>
              </w:rPr>
              <w:t>Soma de VL_FOB por fluxo (EXP / IMP)</w:t>
            </w:r>
          </w:p>
        </w:tc>
      </w:tr>
      <w:tr>
        <w:tc>
          <w:tcPr>
            <w:tcW w:type="dxa" w:w="2381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8"/>
              </w:rPr>
              <w:t>Saldo comercial</w:t>
            </w:r>
          </w:p>
        </w:tc>
        <w:tc>
          <w:tcPr>
            <w:tcW w:type="dxa" w:w="3175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8"/>
              </w:rPr>
              <w:t>A UF é superavitária ou deficitária?</w:t>
            </w:r>
          </w:p>
        </w:tc>
        <w:tc>
          <w:tcPr>
            <w:tcW w:type="dxa" w:w="3515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8"/>
              </w:rPr>
              <w:t>Exportação − Importação</w:t>
            </w:r>
          </w:p>
        </w:tc>
      </w:tr>
      <w:tr>
        <w:tc>
          <w:tcPr>
            <w:tcW w:type="dxa" w:w="2381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8"/>
              </w:rPr>
              <w:t>Corrente de comércio</w:t>
            </w:r>
          </w:p>
        </w:tc>
        <w:tc>
          <w:tcPr>
            <w:tcW w:type="dxa" w:w="3175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8"/>
              </w:rPr>
              <w:t>Qual o tamanho do comércio exterior da UF?</w:t>
            </w:r>
          </w:p>
        </w:tc>
        <w:tc>
          <w:tcPr>
            <w:tcW w:type="dxa" w:w="3515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8"/>
              </w:rPr>
              <w:t>Exportação + Importação</w:t>
            </w:r>
          </w:p>
        </w:tc>
      </w:tr>
      <w:tr>
        <w:tc>
          <w:tcPr>
            <w:tcW w:type="dxa" w:w="2381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8"/>
              </w:rPr>
              <w:t>Var. % da exportação</w:t>
            </w:r>
          </w:p>
        </w:tc>
        <w:tc>
          <w:tcPr>
            <w:tcW w:type="dxa" w:w="3175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8"/>
              </w:rPr>
              <w:t>A UF está crescendo em relação ao ano anterior?</w:t>
            </w:r>
          </w:p>
        </w:tc>
        <w:tc>
          <w:tcPr>
            <w:tcW w:type="dxa" w:w="3515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8"/>
              </w:rPr>
              <w:t>(Exp. ano − Exp. mesmos meses do ano anterior) ÷ Exp. ano anterior</w:t>
            </w:r>
          </w:p>
        </w:tc>
      </w:tr>
      <w:tr>
        <w:tc>
          <w:tcPr>
            <w:tcW w:type="dxa" w:w="2381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8"/>
              </w:rPr>
              <w:t>% Principal destino (dependência)</w:t>
            </w:r>
          </w:p>
        </w:tc>
        <w:tc>
          <w:tcPr>
            <w:tcW w:type="dxa" w:w="3175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8"/>
              </w:rPr>
              <w:t>Quanto da exportação vai para um só país?</w:t>
            </w:r>
          </w:p>
        </w:tc>
        <w:tc>
          <w:tcPr>
            <w:tcW w:type="dxa" w:w="3515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8"/>
              </w:rPr>
              <w:t>Exportação ao 1º país ÷ Exportação total da UF</w:t>
            </w:r>
          </w:p>
        </w:tc>
      </w:tr>
      <w:tr>
        <w:tc>
          <w:tcPr>
            <w:tcW w:type="dxa" w:w="2381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8"/>
              </w:rPr>
              <w:t>Nº de parceiros</w:t>
            </w:r>
          </w:p>
        </w:tc>
        <w:tc>
          <w:tcPr>
            <w:tcW w:type="dxa" w:w="3175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8"/>
              </w:rPr>
              <w:t>Com quantos países a UF comercializa?</w:t>
            </w:r>
          </w:p>
        </w:tc>
        <w:tc>
          <w:tcPr>
            <w:tcW w:type="dxa" w:w="3515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8"/>
              </w:rPr>
              <w:t>Contagem distinta de países com exportação</w:t>
            </w:r>
          </w:p>
        </w:tc>
      </w:tr>
      <w:tr>
        <w:tc>
          <w:tcPr>
            <w:tcW w:type="dxa" w:w="2381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8"/>
              </w:rPr>
              <w:t>Preço médio (US$/kg)</w:t>
            </w:r>
          </w:p>
        </w:tc>
        <w:tc>
          <w:tcPr>
            <w:tcW w:type="dxa" w:w="3175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8"/>
              </w:rPr>
              <w:t>O valor vem de volume ou de valor agregado?</w:t>
            </w:r>
          </w:p>
        </w:tc>
        <w:tc>
          <w:tcPr>
            <w:tcW w:type="dxa" w:w="3515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8"/>
              </w:rPr>
              <w:t>Exportação (US$) ÷ peso líquido exportado (kg)</w:t>
            </w:r>
          </w:p>
        </w:tc>
      </w:tr>
    </w:tbl>
    <w:p>
      <w:pPr>
        <w:spacing w:after="200"/>
        <w:ind w:firstLine="0"/>
        <w:jc w:val="center"/>
      </w:pPr>
      <w:r>
        <w:rPr>
          <w:i w:val="0"/>
          <w:sz w:val="18"/>
        </w:rPr>
        <w:t>Fonte: elaborado pelo autor.</w:t>
      </w:r>
    </w:p>
    <w:p w14:paraId="550BCC5E" w14:textId="512F11B1" w:rsidR="006F6708" w:rsidRPr="000D402F" w:rsidRDefault="006F6708" w:rsidP="00BA0E35">
      <w:pPr>
        <w:pStyle w:val="Ttulo2"/>
        <w:rPr>
          <w:lang w:eastAsia="pt-BR"/>
        </w:rPr>
      </w:pPr>
      <w:bookmarkStart w:id="4" w:name="_Toc74691368"/>
      <w:r w:rsidRPr="000D402F">
        <w:rPr>
          <w:lang w:eastAsia="pt-BR"/>
        </w:rPr>
        <w:t>1.</w:t>
      </w:r>
      <w:r w:rsidR="00DE2B20">
        <w:rPr>
          <w:lang w:val="pt-BR" w:eastAsia="pt-BR"/>
        </w:rPr>
        <w:t>3</w:t>
      </w:r>
      <w:r w:rsidRPr="000D402F">
        <w:rPr>
          <w:lang w:eastAsia="pt-BR"/>
        </w:rPr>
        <w:t>. Público alvo</w:t>
      </w:r>
      <w:bookmarkEnd w:id="4"/>
    </w:p>
    <w:p>
      <w:pPr>
        <w:spacing w:after="120"/>
        <w:jc w:val="both"/>
      </w:pPr>
      <w:r>
        <w:rPr>
          <w:i w:val="0"/>
        </w:rPr>
        <w:t>A solução se destina a três perfis de usuários, que correspondem aos três níveis do painel:</w:t>
      </w:r>
    </w:p>
    <w:p>
      <w:pPr>
        <w:spacing w:after="60"/>
        <w:ind w:left="567" w:hanging="283"/>
        <w:jc w:val="both"/>
      </w:pPr>
      <w:r>
        <w:t xml:space="preserve">–  </w:t>
      </w:r>
      <w:r>
        <w:rPr>
          <w:b/>
        </w:rPr>
        <w:t xml:space="preserve">Gestores e formuladores de política: </w:t>
      </w:r>
      <w:r>
        <w:t>secretarias estaduais de desenvolvimento econômico, agências de promoção comercial (como a ApexBrasil) e o MDIC/SECEX, que precisam de uma leitura rápida da posição de cada estado e da dependência de parceiros;</w:t>
      </w:r>
    </w:p>
    <w:p>
      <w:pPr>
        <w:spacing w:after="60"/>
        <w:ind w:left="567" w:hanging="283"/>
        <w:jc w:val="both"/>
      </w:pPr>
      <w:r>
        <w:t xml:space="preserve">–  </w:t>
      </w:r>
      <w:r>
        <w:rPr>
          <w:b/>
        </w:rPr>
        <w:t xml:space="preserve">Analistas: </w:t>
      </w:r>
      <w:r>
        <w:t>analistas de federações de indústria e de agricultura, câmaras de comércio e consultorias de comércio exterior, que acompanham a evolução por região, setor e ano;</w:t>
      </w:r>
    </w:p>
    <w:p>
      <w:pPr>
        <w:spacing w:after="60"/>
        <w:ind w:left="567" w:hanging="283"/>
        <w:jc w:val="both"/>
      </w:pPr>
      <w:r>
        <w:t xml:space="preserve">–  </w:t>
      </w:r>
      <w:r>
        <w:rPr>
          <w:b/>
        </w:rPr>
        <w:t xml:space="preserve">Executores: </w:t>
      </w:r>
      <w:r>
        <w:t>profissionais de despacho aduaneiro, logística internacional e áreas de exportação das empresas, que consultam produtos, destinos e preços médios em nível detalhado.</w:t>
      </w:r>
    </w:p>
    <w:p>
      <w:pPr>
        <w:spacing w:after="120"/>
        <w:jc w:val="both"/>
      </w:pPr>
      <w:r>
        <w:rPr>
          <w:i w:val="0"/>
        </w:rPr>
        <w:t>São usuários familiarizados com conceitos de comércio exterior (FOB, NCM/SH, balança comercial), mas não necessariamente com ferramentas de BI. Por isso o painel usa siglas de UF, nomes de países por extenso, segmentações simples e valores em bilhões ou milhões de dólares.</w:t>
      </w:r>
    </w:p>
    <w:p>
      <w:pPr>
        <w:spacing w:after="120"/>
        <w:jc w:val="both"/>
      </w:pPr>
      <w:r>
        <w:rPr>
          <w:i w:val="0"/>
        </w:rPr>
        <w:t>O planejamento do projeto foi organizado no Data Driven Canvas, resumido no Quadro 2.</w:t>
      </w:r>
    </w:p>
    <w:p>
      <w:pPr>
        <w:keepNext/>
        <w:spacing w:after="40"/>
        <w:ind w:firstLine="0"/>
        <w:jc w:val="center"/>
      </w:pPr>
      <w:r>
        <w:rPr>
          <w:i w:val="0"/>
          <w:sz w:val="20"/>
        </w:rPr>
        <w:t>Quadro 2 – Data Driven Canvas do projeto</w:t>
      </w:r>
    </w:p>
    <w:tbl>
      <w:tblPr>
        <w:tblW w:type="dxa" w:w="9072"/>
        <w:jc w:val="center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  <w:tblLook w:firstColumn="1" w:firstRow="1" w:lastColumn="0" w:lastRow="0" w:noHBand="0" w:noVBand="1" w:val="04A0"/>
      </w:tblPr>
      <w:tblGrid>
        <w:gridCol w:w="2268"/>
        <w:gridCol w:w="6804"/>
      </w:tblGrid>
      <w:tr>
        <w:trPr>
          <w:tblHeader w:val="true"/>
        </w:trPr>
        <w:tc>
          <w:tcPr>
            <w:tcW w:type="dxa" w:w="2268"/>
            <w:shd w:val="clear" w:color="auto" w:fill="DCE6F2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/>
                <w:sz w:val="18"/>
              </w:rPr>
              <w:t>Bloco do canvas</w:t>
            </w:r>
          </w:p>
        </w:tc>
        <w:tc>
          <w:tcPr>
            <w:tcW w:type="dxa" w:w="6803"/>
            <w:shd w:val="clear" w:color="auto" w:fill="DCE6F2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/>
                <w:sz w:val="18"/>
              </w:rPr>
              <w:t>Conteúdo</w:t>
            </w:r>
          </w:p>
        </w:tc>
      </w:tr>
      <w:tr>
        <w:tc>
          <w:tcPr>
            <w:tcW w:type="dxa" w:w="2268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/>
                <w:sz w:val="18"/>
              </w:rPr>
              <w:t>Objetivos</w:t>
            </w:r>
          </w:p>
        </w:tc>
        <w:tc>
          <w:tcPr>
            <w:tcW w:type="dxa" w:w="6803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8"/>
              </w:rPr>
              <w:t>Identificar os principais parceiros de cada UF; medir a dependência de destinos e produtos; apoiar a diversificação.</w:t>
            </w:r>
          </w:p>
        </w:tc>
      </w:tr>
      <w:tr>
        <w:tc>
          <w:tcPr>
            <w:tcW w:type="dxa" w:w="2268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/>
                <w:sz w:val="18"/>
              </w:rPr>
              <w:t>Indicadores e metas</w:t>
            </w:r>
          </w:p>
        </w:tc>
        <w:tc>
          <w:tcPr>
            <w:tcW w:type="dxa" w:w="6803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8"/>
              </w:rPr>
              <w:t>% Principal destino ≤ 35% nas UFs mais concentradas em 3 anos; aumento do preço médio (US$/kg); crescimento da exportação.</w:t>
            </w:r>
          </w:p>
        </w:tc>
      </w:tr>
      <w:tr>
        <w:tc>
          <w:tcPr>
            <w:tcW w:type="dxa" w:w="2268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/>
                <w:sz w:val="18"/>
              </w:rPr>
              <w:t>Forma de cálculo</w:t>
            </w:r>
          </w:p>
        </w:tc>
        <w:tc>
          <w:tcPr>
            <w:tcW w:type="dxa" w:w="6803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8"/>
              </w:rPr>
              <w:t>Medidas DAX sobre a fato (Quadro 1 e Quadro 6).</w:t>
            </w:r>
          </w:p>
        </w:tc>
      </w:tr>
      <w:tr>
        <w:tc>
          <w:tcPr>
            <w:tcW w:type="dxa" w:w="2268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/>
                <w:sz w:val="18"/>
              </w:rPr>
              <w:t>Responsáveis e engajados</w:t>
            </w:r>
          </w:p>
        </w:tc>
        <w:tc>
          <w:tcPr>
            <w:tcW w:type="dxa" w:w="6803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8"/>
              </w:rPr>
              <w:t>Secretarias estaduais de desenvolvimento, ApexBrasil, MDIC/SECEX, federações de indústria e agricultura.</w:t>
            </w:r>
          </w:p>
        </w:tc>
      </w:tr>
      <w:tr>
        <w:tc>
          <w:tcPr>
            <w:tcW w:type="dxa" w:w="2268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/>
                <w:sz w:val="18"/>
              </w:rPr>
              <w:t>Plano de ação</w:t>
            </w:r>
          </w:p>
        </w:tc>
        <w:tc>
          <w:tcPr>
            <w:tcW w:type="dxa" w:w="6803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8"/>
              </w:rPr>
              <w:t>Diversificar mercados no grupo de UFs dependentes da China; agregar valor à pauta primária; monitorar mensalmente com o painel e a previsão.</w:t>
            </w:r>
          </w:p>
        </w:tc>
      </w:tr>
      <w:tr>
        <w:tc>
          <w:tcPr>
            <w:tcW w:type="dxa" w:w="2268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/>
                <w:sz w:val="18"/>
              </w:rPr>
              <w:t>Métricas</w:t>
            </w:r>
          </w:p>
        </w:tc>
        <w:tc>
          <w:tcPr>
            <w:tcW w:type="dxa" w:w="6803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8"/>
              </w:rPr>
              <w:t>VL_FOB (US$), KG_LIQUIDO, contagem de países e de produtos — Sistema: Comex Stat (MDIC).</w:t>
            </w:r>
          </w:p>
        </w:tc>
      </w:tr>
      <w:tr>
        <w:tc>
          <w:tcPr>
            <w:tcW w:type="dxa" w:w="2268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/>
                <w:sz w:val="18"/>
              </w:rPr>
              <w:t>Dashboard (gestores)</w:t>
            </w:r>
          </w:p>
        </w:tc>
        <w:tc>
          <w:tcPr>
            <w:tcW w:type="dxa" w:w="6803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8"/>
              </w:rPr>
              <w:t>Painel Estratégico: KPIs, exportação por UF, top 10 parceiros e dependência por UF.</w:t>
            </w:r>
          </w:p>
        </w:tc>
      </w:tr>
      <w:tr>
        <w:tc>
          <w:tcPr>
            <w:tcW w:type="dxa" w:w="2268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/>
                <w:sz w:val="18"/>
              </w:rPr>
              <w:t>Self-service analytics (analistas)</w:t>
            </w:r>
          </w:p>
        </w:tc>
        <w:tc>
          <w:tcPr>
            <w:tcW w:type="dxa" w:w="6803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8"/>
              </w:rPr>
              <w:t>Painel Tático e página Análises Avançadas: evolução mensal, regiões, capítulos SH, previsão e grupos de UFs.</w:t>
            </w:r>
          </w:p>
        </w:tc>
      </w:tr>
      <w:tr>
        <w:tc>
          <w:tcPr>
            <w:tcW w:type="dxa" w:w="2268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/>
                <w:sz w:val="18"/>
              </w:rPr>
              <w:t>Reports (executores)</w:t>
            </w:r>
          </w:p>
        </w:tc>
        <w:tc>
          <w:tcPr>
            <w:tcW w:type="dxa" w:w="6803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8"/>
              </w:rPr>
              <w:t>Painel Operacional: UF × país × produto, com valor, peso e preço médio.</w:t>
            </w:r>
          </w:p>
        </w:tc>
      </w:tr>
    </w:tbl>
    <w:p>
      <w:pPr>
        <w:spacing w:after="200"/>
        <w:ind w:firstLine="0"/>
        <w:jc w:val="center"/>
      </w:pPr>
      <w:r>
        <w:rPr>
          <w:i w:val="0"/>
          <w:sz w:val="18"/>
        </w:rPr>
        <w:t>Fonte: elaborado pelo autor.</w:t>
      </w:r>
    </w:p>
    <w:p w14:paraId="7DB34115" w14:textId="7BE66BF2" w:rsidR="000D402F" w:rsidRPr="000D402F" w:rsidRDefault="000D402F" w:rsidP="00BA0E35">
      <w:pPr>
        <w:pStyle w:val="Ttulo1"/>
        <w:pageBreakBefore/>
        <w:rPr>
          <w:lang w:eastAsia="pt-BR"/>
        </w:rPr>
      </w:pPr>
      <w:bookmarkStart w:id="5" w:name="_Toc74691369"/>
      <w:r w:rsidRPr="000D402F">
        <w:rPr>
          <w:lang w:eastAsia="pt-BR"/>
        </w:rPr>
        <w:t>2. Model</w:t>
      </w:r>
      <w:r w:rsidR="00C407C4">
        <w:rPr>
          <w:lang w:eastAsia="pt-BR"/>
        </w:rPr>
        <w:t>o de Dados</w:t>
      </w:r>
      <w:bookmarkEnd w:id="5"/>
    </w:p>
    <w:p w14:paraId="60D4AE73" w14:textId="77777777" w:rsidR="000D402F" w:rsidRPr="000D402F" w:rsidRDefault="000D402F" w:rsidP="00BA0E35">
      <w:pPr>
        <w:rPr>
          <w:lang w:eastAsia="pt-BR"/>
        </w:rPr>
      </w:pPr>
    </w:p>
    <w:p w14:paraId="5A355A4D" w14:textId="15E4C005" w:rsidR="00830285" w:rsidRPr="000D402F" w:rsidRDefault="000D402F" w:rsidP="00BA0E35">
      <w:pPr>
        <w:pStyle w:val="Ttulo2"/>
        <w:rPr>
          <w:lang w:eastAsia="pt-BR"/>
        </w:rPr>
      </w:pPr>
      <w:bookmarkStart w:id="6" w:name="_Toc74691370"/>
      <w:r w:rsidRPr="000D402F">
        <w:rPr>
          <w:lang w:eastAsia="pt-BR"/>
        </w:rPr>
        <w:t>2.1</w:t>
      </w:r>
      <w:r w:rsidR="00830285" w:rsidRPr="000D402F">
        <w:rPr>
          <w:lang w:eastAsia="pt-BR"/>
        </w:rPr>
        <w:t xml:space="preserve">. </w:t>
      </w:r>
      <w:r w:rsidR="00C407C4">
        <w:rPr>
          <w:lang w:eastAsia="pt-BR"/>
        </w:rPr>
        <w:t>Modelo Dimensional</w:t>
      </w:r>
      <w:bookmarkEnd w:id="6"/>
    </w:p>
    <w:p>
      <w:pPr>
        <w:spacing w:after="120"/>
        <w:jc w:val="both"/>
      </w:pPr>
      <w:r>
        <w:rPr>
          <w:i w:val="0"/>
        </w:rPr>
        <w:t>O modelo adotado é um esquema estrela (KIMBALL; ROSS, 2013), com uma tabela fato de comércio exterior e cinco dimensões. A granularidade da fato é o valor mensal por fluxo (exportação ou importação), UF, país parceiro e produto (posição SH4). Todas as relações são do tipo um-para-muitos (1:*), da dimensão para a fato, com filtragem em sentido único.</w:t>
      </w:r>
    </w:p>
    <w:p>
      <w:pPr>
        <w:keepNext/>
        <w:spacing w:after="40"/>
        <w:ind w:firstLine="0"/>
        <w:jc w:val="center"/>
      </w:pPr>
      <w:r>
        <w:rPr>
          <w:i w:val="0"/>
          <w:sz w:val="20"/>
        </w:rPr>
        <w:t>Figura 1 – Modelo dimensional (esquema estrela)</w:t>
      </w:r>
    </w:p>
    <w:p>
      <w:pPr>
        <w:keepNext/>
        <w:spacing w:after="4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7701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modelo_estrel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70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i w:val="0"/>
          <w:sz w:val="18"/>
        </w:rPr>
        <w:t>Fonte: elaborado pelo autor.</w:t>
      </w:r>
    </w:p>
    <w:p>
      <w:pPr>
        <w:spacing w:after="120"/>
        <w:jc w:val="both"/>
      </w:pPr>
      <w:r>
        <w:rPr>
          <w:i w:val="0"/>
        </w:rPr>
        <w:t>A Figura 2 mostra o mesmo modelo implementado no Power BI Desktop, com as cinco relações ativas e as tabelas auxiliares da análise avançada, que não se relacionam com o modelo para não sofrer os filtros das demais páginas.</w:t>
      </w:r>
    </w:p>
    <w:p>
      <w:pPr>
        <w:keepNext/>
        <w:spacing w:after="40"/>
        <w:ind w:firstLine="0"/>
        <w:jc w:val="center"/>
      </w:pPr>
      <w:r>
        <w:rPr>
          <w:i w:val="0"/>
          <w:sz w:val="20"/>
        </w:rPr>
        <w:t>Figura 2 – Relações do modelo no Power BI Desktop</w:t>
      </w:r>
    </w:p>
    <w:p>
      <w:pPr>
        <w:keepNext/>
        <w:spacing w:after="4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680000" cy="326444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relaco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2644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i w:val="0"/>
          <w:sz w:val="18"/>
        </w:rPr>
        <w:t>Fonte: elaborado pelo autor.</w:t>
      </w:r>
    </w:p>
    <w:p w14:paraId="1B8AEB66" w14:textId="2DCFA864" w:rsidR="00C407C4" w:rsidRPr="001A29F1" w:rsidRDefault="00C407C4" w:rsidP="00BA0E35">
      <w:pPr>
        <w:pStyle w:val="Ttulo2"/>
        <w:rPr>
          <w:lang w:eastAsia="pt-BR"/>
        </w:rPr>
      </w:pPr>
      <w:bookmarkStart w:id="7" w:name="_Toc74691371"/>
      <w:r w:rsidRPr="000D402F">
        <w:rPr>
          <w:lang w:eastAsia="pt-BR"/>
        </w:rPr>
        <w:t>2.2.</w:t>
      </w:r>
      <w:r w:rsidR="00BB58C7">
        <w:rPr>
          <w:lang w:eastAsia="pt-BR"/>
        </w:rPr>
        <w:t xml:space="preserve"> </w:t>
      </w:r>
      <w:r>
        <w:rPr>
          <w:lang w:eastAsia="pt-BR"/>
        </w:rPr>
        <w:t>Fatos e Dimensões</w:t>
      </w:r>
      <w:bookmarkEnd w:id="7"/>
    </w:p>
    <w:p>
      <w:pPr>
        <w:spacing w:after="120"/>
        <w:jc w:val="both"/>
      </w:pPr>
      <w:r>
        <w:rPr>
          <w:i w:val="0"/>
        </w:rPr>
        <w:t>O Quadro 3 descreve as tabelas do modelo. Os campos de código (UF, país, SH4) são armazenados como texto para preservar zeros à esquerda (por exemplo, a posição SH4 0201) e garantir a correspondência das chaves.</w:t>
      </w:r>
    </w:p>
    <w:p>
      <w:pPr>
        <w:keepNext/>
        <w:spacing w:after="40"/>
        <w:ind w:firstLine="0"/>
        <w:jc w:val="center"/>
      </w:pPr>
      <w:r>
        <w:rPr>
          <w:i w:val="0"/>
          <w:sz w:val="20"/>
        </w:rPr>
        <w:t>Quadro 3 – Tabelas fato e dimensões</w:t>
      </w:r>
    </w:p>
    <w:tbl>
      <w:tblPr>
        <w:tblW w:type="dxa" w:w="9072"/>
        <w:jc w:val="center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  <w:tblLook w:firstColumn="1" w:firstRow="1" w:lastColumn="0" w:lastRow="0" w:noHBand="0" w:noVBand="1" w:val="04A0"/>
      </w:tblPr>
      <w:tblGrid>
        <w:gridCol w:w="1360"/>
        <w:gridCol w:w="1077"/>
        <w:gridCol w:w="1020"/>
        <w:gridCol w:w="2664"/>
        <w:gridCol w:w="2948"/>
      </w:tblGrid>
      <w:tr>
        <w:trPr>
          <w:tblHeader w:val="true"/>
        </w:trPr>
        <w:tc>
          <w:tcPr>
            <w:tcW w:type="dxa" w:w="1361"/>
            <w:shd w:val="clear" w:color="auto" w:fill="DCE6F2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/>
                <w:sz w:val="17"/>
              </w:rPr>
              <w:t>Tabela</w:t>
            </w:r>
          </w:p>
        </w:tc>
        <w:tc>
          <w:tcPr>
            <w:tcW w:type="dxa" w:w="1077"/>
            <w:shd w:val="clear" w:color="auto" w:fill="DCE6F2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/>
                <w:sz w:val="17"/>
              </w:rPr>
              <w:t>Tipo</w:t>
            </w:r>
          </w:p>
        </w:tc>
        <w:tc>
          <w:tcPr>
            <w:tcW w:type="dxa" w:w="1020"/>
            <w:shd w:val="clear" w:color="auto" w:fill="DCE6F2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/>
                <w:sz w:val="17"/>
              </w:rPr>
              <w:t>Linhas</w:t>
            </w:r>
          </w:p>
        </w:tc>
        <w:tc>
          <w:tcPr>
            <w:tcW w:type="dxa" w:w="2665"/>
            <w:shd w:val="clear" w:color="auto" w:fill="DCE6F2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/>
                <w:sz w:val="17"/>
              </w:rPr>
              <w:t>Campos principais</w:t>
            </w:r>
          </w:p>
        </w:tc>
        <w:tc>
          <w:tcPr>
            <w:tcW w:type="dxa" w:w="2948"/>
            <w:shd w:val="clear" w:color="auto" w:fill="DCE6F2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/>
                <w:sz w:val="17"/>
              </w:rPr>
              <w:t>Descrição</w:t>
            </w:r>
          </w:p>
        </w:tc>
      </w:tr>
      <w:tr>
        <w:tc>
          <w:tcPr>
            <w:tcW w:type="dxa" w:w="1361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/>
                <w:sz w:val="17"/>
              </w:rPr>
              <w:t>fato_comercio</w:t>
            </w:r>
          </w:p>
        </w:tc>
        <w:tc>
          <w:tcPr>
            <w:tcW w:type="dxa" w:w="1077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7"/>
              </w:rPr>
              <w:t>Fato</w:t>
            </w:r>
          </w:p>
        </w:tc>
        <w:tc>
          <w:tcPr>
            <w:tcW w:type="dxa" w:w="1020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7"/>
              </w:rPr>
              <w:t>6.189.035</w:t>
            </w:r>
          </w:p>
        </w:tc>
        <w:tc>
          <w:tcPr>
            <w:tcW w:type="dxa" w:w="2665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7"/>
              </w:rPr>
              <w:t>DATA, FLUXO, SG_UF, CO_PAIS, CO_SH4, KG_LIQUIDO, VL_FOB</w:t>
            </w:r>
          </w:p>
        </w:tc>
        <w:tc>
          <w:tcPr>
            <w:tcW w:type="dxa" w:w="2948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7"/>
              </w:rPr>
              <w:t>Valor FOB (US$) e peso líquido (kg) por mês, fluxo, UF, país e SH4. Medidas aditivas.</w:t>
            </w:r>
          </w:p>
        </w:tc>
      </w:tr>
      <w:tr>
        <w:tc>
          <w:tcPr>
            <w:tcW w:type="dxa" w:w="1361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/>
                <w:sz w:val="17"/>
              </w:rPr>
              <w:t>dim_tempo</w:t>
            </w:r>
          </w:p>
        </w:tc>
        <w:tc>
          <w:tcPr>
            <w:tcW w:type="dxa" w:w="1077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7"/>
              </w:rPr>
              <w:t>Dimensão</w:t>
            </w:r>
          </w:p>
        </w:tc>
        <w:tc>
          <w:tcPr>
            <w:tcW w:type="dxa" w:w="1020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7"/>
              </w:rPr>
              <w:t>57</w:t>
            </w:r>
          </w:p>
        </w:tc>
        <w:tc>
          <w:tcPr>
            <w:tcW w:type="dxa" w:w="2665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7"/>
              </w:rPr>
              <w:t>DATA, ANO, MES, NOME_MES, TRIMESTRE, SEMESTRE</w:t>
            </w:r>
          </w:p>
        </w:tc>
        <w:tc>
          <w:tcPr>
            <w:tcW w:type="dxa" w:w="2948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7"/>
              </w:rPr>
              <w:t>Calendário mensal de jan/2022 a set/2026.</w:t>
            </w:r>
          </w:p>
        </w:tc>
      </w:tr>
      <w:tr>
        <w:tc>
          <w:tcPr>
            <w:tcW w:type="dxa" w:w="1361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/>
                <w:sz w:val="17"/>
              </w:rPr>
              <w:t>dim_uf</w:t>
            </w:r>
          </w:p>
        </w:tc>
        <w:tc>
          <w:tcPr>
            <w:tcW w:type="dxa" w:w="1077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7"/>
              </w:rPr>
              <w:t>Dimensão</w:t>
            </w:r>
          </w:p>
        </w:tc>
        <w:tc>
          <w:tcPr>
            <w:tcW w:type="dxa" w:w="1020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7"/>
              </w:rPr>
              <w:t>29</w:t>
            </w:r>
          </w:p>
        </w:tc>
        <w:tc>
          <w:tcPr>
            <w:tcW w:type="dxa" w:w="2665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7"/>
              </w:rPr>
              <w:t>SG_UF (UF), NO_UF (Estado), REGIAO, CO_UF_IBGE</w:t>
            </w:r>
          </w:p>
        </w:tc>
        <w:tc>
          <w:tcPr>
            <w:tcW w:type="dxa" w:w="2948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7"/>
              </w:rPr>
              <w:t>27 UFs + EX (exterior) e ND (não declarada), agrupadas na região "Outros".</w:t>
            </w:r>
          </w:p>
        </w:tc>
      </w:tr>
      <w:tr>
        <w:tc>
          <w:tcPr>
            <w:tcW w:type="dxa" w:w="1361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/>
                <w:sz w:val="17"/>
              </w:rPr>
              <w:t>dim_pais</w:t>
            </w:r>
          </w:p>
        </w:tc>
        <w:tc>
          <w:tcPr>
            <w:tcW w:type="dxa" w:w="1077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7"/>
              </w:rPr>
              <w:t>Dimensão</w:t>
            </w:r>
          </w:p>
        </w:tc>
        <w:tc>
          <w:tcPr>
            <w:tcW w:type="dxa" w:w="1020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7"/>
              </w:rPr>
              <w:t>252</w:t>
            </w:r>
          </w:p>
        </w:tc>
        <w:tc>
          <w:tcPr>
            <w:tcW w:type="dxa" w:w="2665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7"/>
              </w:rPr>
              <w:t>CO_PAIS, NO_PAIS (País), CO_PAIS_ISOA3, UNIAO_EUROPEIA</w:t>
            </w:r>
          </w:p>
        </w:tc>
        <w:tc>
          <w:tcPr>
            <w:tcW w:type="dxa" w:w="2948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7"/>
              </w:rPr>
              <w:t>Países parceiros, com indicador de pertencer à União Europeia.</w:t>
            </w:r>
          </w:p>
        </w:tc>
      </w:tr>
      <w:tr>
        <w:tc>
          <w:tcPr>
            <w:tcW w:type="dxa" w:w="1361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/>
                <w:sz w:val="17"/>
              </w:rPr>
              <w:t>dim_produto</w:t>
            </w:r>
          </w:p>
        </w:tc>
        <w:tc>
          <w:tcPr>
            <w:tcW w:type="dxa" w:w="1077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7"/>
              </w:rPr>
              <w:t>Dimensão</w:t>
            </w:r>
          </w:p>
        </w:tc>
        <w:tc>
          <w:tcPr>
            <w:tcW w:type="dxa" w:w="1020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7"/>
              </w:rPr>
              <w:t>1.226</w:t>
            </w:r>
          </w:p>
        </w:tc>
        <w:tc>
          <w:tcPr>
            <w:tcW w:type="dxa" w:w="2665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7"/>
              </w:rPr>
              <w:t>CO_SH4, NO_SH4_POR, CO_SH2, Capítulo SH, Seção</w:t>
            </w:r>
          </w:p>
        </w:tc>
        <w:tc>
          <w:tcPr>
            <w:tcW w:type="dxa" w:w="2948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7"/>
              </w:rPr>
              <w:t>Hierarquia do Sistema Harmonizado: posição (SH4) → capítulo (SH2) → seção.</w:t>
            </w:r>
          </w:p>
        </w:tc>
      </w:tr>
      <w:tr>
        <w:tc>
          <w:tcPr>
            <w:tcW w:type="dxa" w:w="1361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/>
                <w:sz w:val="17"/>
              </w:rPr>
              <w:t>dim_fluxo</w:t>
            </w:r>
          </w:p>
        </w:tc>
        <w:tc>
          <w:tcPr>
            <w:tcW w:type="dxa" w:w="1077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7"/>
              </w:rPr>
              <w:t>Dimensão</w:t>
            </w:r>
          </w:p>
        </w:tc>
        <w:tc>
          <w:tcPr>
            <w:tcW w:type="dxa" w:w="1020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2665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7"/>
              </w:rPr>
              <w:t>FLUXO, NO_FLUXO, ORDEM</w:t>
            </w:r>
          </w:p>
        </w:tc>
        <w:tc>
          <w:tcPr>
            <w:tcW w:type="dxa" w:w="2948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7"/>
              </w:rPr>
              <w:t>Exportação (EXP) e Importação (IMP).</w:t>
            </w:r>
          </w:p>
        </w:tc>
      </w:tr>
    </w:tbl>
    <w:p>
      <w:pPr>
        <w:spacing w:after="200"/>
        <w:ind w:firstLine="0"/>
        <w:jc w:val="center"/>
      </w:pPr>
      <w:r>
        <w:rPr>
          <w:i w:val="0"/>
          <w:sz w:val="18"/>
        </w:rPr>
        <w:t>Fonte: elaborado pelo autor.</w:t>
      </w:r>
    </w:p>
    <w:p w14:paraId="49872D62" w14:textId="5ED1C17B" w:rsidR="00C97B8F" w:rsidRPr="00152C6C" w:rsidRDefault="000D402F" w:rsidP="00BA0E35">
      <w:pPr>
        <w:pStyle w:val="Ttulo1"/>
        <w:pageBreakBefore/>
        <w:rPr>
          <w:rFonts w:cs="Times New Roman"/>
          <w:lang w:eastAsia="pt-BR"/>
        </w:rPr>
      </w:pPr>
      <w:bookmarkStart w:id="8" w:name="_Toc74691372"/>
      <w:r>
        <w:rPr>
          <w:lang w:eastAsia="pt-BR"/>
        </w:rPr>
        <w:lastRenderedPageBreak/>
        <w:t>3</w:t>
      </w:r>
      <w:r w:rsidRPr="000D402F">
        <w:rPr>
          <w:lang w:eastAsia="pt-BR"/>
        </w:rPr>
        <w:t xml:space="preserve">. </w:t>
      </w:r>
      <w:r w:rsidR="00152C6C">
        <w:rPr>
          <w:lang w:eastAsia="pt-BR"/>
        </w:rPr>
        <w:t>Integração, Tratamento e Carga de Dados</w:t>
      </w:r>
      <w:bookmarkEnd w:id="8"/>
    </w:p>
    <w:p w14:paraId="5745057A" w14:textId="77777777" w:rsidR="00C41BB6" w:rsidRPr="00DE0E16" w:rsidRDefault="00C41BB6" w:rsidP="00C41BB6">
      <w:pPr>
        <w:rPr>
          <w:lang w:val="x-none" w:eastAsia="pt-BR"/>
        </w:rPr>
      </w:pPr>
    </w:p>
    <w:p w14:paraId="0DEFFF14" w14:textId="77777777" w:rsidR="00C41BB6" w:rsidRPr="001A29F1" w:rsidRDefault="00C41BB6" w:rsidP="00C41BB6">
      <w:pPr>
        <w:pStyle w:val="Ttulo2"/>
        <w:rPr>
          <w:lang w:eastAsia="pt-BR"/>
        </w:rPr>
      </w:pPr>
      <w:bookmarkStart w:id="9" w:name="_Toc74691249"/>
      <w:bookmarkStart w:id="10" w:name="_Toc74691373"/>
      <w:r>
        <w:rPr>
          <w:lang w:val="pt-BR" w:eastAsia="pt-BR"/>
        </w:rPr>
        <w:t>3</w:t>
      </w:r>
      <w:r w:rsidRPr="000D402F">
        <w:rPr>
          <w:lang w:eastAsia="pt-BR"/>
        </w:rPr>
        <w:t>.</w:t>
      </w:r>
      <w:r>
        <w:rPr>
          <w:lang w:val="pt-BR" w:eastAsia="pt-BR"/>
        </w:rPr>
        <w:t>1</w:t>
      </w:r>
      <w:r w:rsidRPr="000D402F">
        <w:rPr>
          <w:lang w:eastAsia="pt-BR"/>
        </w:rPr>
        <w:t>.</w:t>
      </w:r>
      <w:r>
        <w:rPr>
          <w:lang w:eastAsia="pt-BR"/>
        </w:rPr>
        <w:t xml:space="preserve"> F</w:t>
      </w:r>
      <w:r>
        <w:rPr>
          <w:lang w:val="pt-BR" w:eastAsia="pt-BR"/>
        </w:rPr>
        <w:t>ontes de Dados</w:t>
      </w:r>
      <w:bookmarkEnd w:id="9"/>
      <w:bookmarkEnd w:id="10"/>
    </w:p>
    <w:p>
      <w:pPr>
        <w:spacing w:after="120"/>
        <w:jc w:val="both"/>
      </w:pPr>
      <w:r>
        <w:rPr>
          <w:i w:val="0"/>
        </w:rPr>
        <w:t>A fonte é a base de dados bruta do Comex Stat, publicada pelo MDIC no portal "Estatísticas de Comércio Exterior em Dados Abertos". Foram usados os arquivos detalhados por município da empresa exportadora/importadora e posição SH4, além de três tabelas auxiliares de correspondência de códigos (Quadro 4).</w:t>
      </w:r>
    </w:p>
    <w:p>
      <w:pPr>
        <w:keepNext/>
        <w:spacing w:after="40"/>
        <w:ind w:firstLine="0"/>
        <w:jc w:val="center"/>
      </w:pPr>
      <w:r>
        <w:rPr>
          <w:i w:val="0"/>
          <w:sz w:val="20"/>
        </w:rPr>
        <w:t>Quadro 4 – Fontes de dados utilizadas</w:t>
      </w:r>
    </w:p>
    <w:tbl>
      <w:tblPr>
        <w:tblW w:type="dxa" w:w="9072"/>
        <w:jc w:val="center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  <w:tblLook w:firstColumn="1" w:firstRow="1" w:lastColumn="0" w:lastRow="0" w:noHBand="0" w:noVBand="1" w:val="04A0"/>
      </w:tblPr>
      <w:tblGrid>
        <w:gridCol w:w="2438"/>
        <w:gridCol w:w="4649"/>
        <w:gridCol w:w="1984"/>
      </w:tblGrid>
      <w:tr>
        <w:trPr>
          <w:tblHeader w:val="true"/>
        </w:trPr>
        <w:tc>
          <w:tcPr>
            <w:tcW w:type="dxa" w:w="2438"/>
            <w:shd w:val="clear" w:color="auto" w:fill="DCE6F2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/>
                <w:sz w:val="18"/>
              </w:rPr>
              <w:t>Arquivo</w:t>
            </w:r>
          </w:p>
        </w:tc>
        <w:tc>
          <w:tcPr>
            <w:tcW w:type="dxa" w:w="4649"/>
            <w:shd w:val="clear" w:color="auto" w:fill="DCE6F2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/>
                <w:sz w:val="18"/>
              </w:rPr>
              <w:t>Conteúdo / layout</w:t>
            </w:r>
          </w:p>
        </w:tc>
        <w:tc>
          <w:tcPr>
            <w:tcW w:type="dxa" w:w="1984"/>
            <w:shd w:val="clear" w:color="auto" w:fill="DCE6F2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/>
                <w:sz w:val="18"/>
              </w:rPr>
              <w:t>Volume</w:t>
            </w:r>
          </w:p>
        </w:tc>
      </w:tr>
      <w:tr>
        <w:tc>
          <w:tcPr>
            <w:tcW w:type="dxa" w:w="2438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8"/>
              </w:rPr>
              <w:t>EXP_aaaa_MUN.csv (2022–2026)</w:t>
            </w:r>
          </w:p>
        </w:tc>
        <w:tc>
          <w:tcPr>
            <w:tcW w:type="dxa" w:w="4649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8"/>
              </w:rPr>
              <w:t>CO_ANO; CO_MES; SH4; CO_PAIS; SG_UF_MUN; CO_MUN; KG_LIQUIDO; VL_FOB</w:t>
            </w:r>
          </w:p>
        </w:tc>
        <w:tc>
          <w:tcPr>
            <w:tcW w:type="dxa" w:w="1984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8"/>
              </w:rPr>
              <w:t>5,46 milhões de linhas</w:t>
            </w:r>
          </w:p>
        </w:tc>
      </w:tr>
      <w:tr>
        <w:tc>
          <w:tcPr>
            <w:tcW w:type="dxa" w:w="2438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8"/>
              </w:rPr>
              <w:t>IMP_aaaa_MUN.csv (2022–2026)</w:t>
            </w:r>
          </w:p>
        </w:tc>
        <w:tc>
          <w:tcPr>
            <w:tcW w:type="dxa" w:w="4649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8"/>
              </w:rPr>
              <w:t>Mesmo layout da exportação</w:t>
            </w:r>
          </w:p>
        </w:tc>
        <w:tc>
          <w:tcPr>
            <w:tcW w:type="dxa" w:w="1984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8"/>
              </w:rPr>
              <w:t>8,12 milhões de linhas</w:t>
            </w:r>
          </w:p>
        </w:tc>
      </w:tr>
      <w:tr>
        <w:tc>
          <w:tcPr>
            <w:tcW w:type="dxa" w:w="2438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8"/>
              </w:rPr>
              <w:t>NCM_SH.csv</w:t>
            </w:r>
          </w:p>
        </w:tc>
        <w:tc>
          <w:tcPr>
            <w:tcW w:type="dxa" w:w="4649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8"/>
              </w:rPr>
              <w:t>Descrições de SH6, SH4, SH2 e seção do Sistema Harmonizado</w:t>
            </w:r>
          </w:p>
        </w:tc>
        <w:tc>
          <w:tcPr>
            <w:tcW w:type="dxa" w:w="1984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8"/>
              </w:rPr>
              <w:t>Tabela auxiliar</w:t>
            </w:r>
          </w:p>
        </w:tc>
      </w:tr>
      <w:tr>
        <w:tc>
          <w:tcPr>
            <w:tcW w:type="dxa" w:w="2438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8"/>
              </w:rPr>
              <w:t>PAIS.csv</w:t>
            </w:r>
          </w:p>
        </w:tc>
        <w:tc>
          <w:tcPr>
            <w:tcW w:type="dxa" w:w="4649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8"/>
              </w:rPr>
              <w:t>Código, nome (PT/EN/ES) e ISO3 dos países</w:t>
            </w:r>
          </w:p>
        </w:tc>
        <w:tc>
          <w:tcPr>
            <w:tcW w:type="dxa" w:w="1984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8"/>
              </w:rPr>
              <w:t>281 registros</w:t>
            </w:r>
          </w:p>
        </w:tc>
      </w:tr>
      <w:tr>
        <w:tc>
          <w:tcPr>
            <w:tcW w:type="dxa" w:w="2438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8"/>
              </w:rPr>
              <w:t>UF_MUN.csv</w:t>
            </w:r>
          </w:p>
        </w:tc>
        <w:tc>
          <w:tcPr>
            <w:tcW w:type="dxa" w:w="4649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8"/>
              </w:rPr>
              <w:t>Código e nome dos municípios e UF</w:t>
            </w:r>
          </w:p>
        </w:tc>
        <w:tc>
          <w:tcPr>
            <w:tcW w:type="dxa" w:w="1984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8"/>
              </w:rPr>
              <w:t>Tabela auxiliar</w:t>
            </w:r>
          </w:p>
        </w:tc>
      </w:tr>
    </w:tbl>
    <w:p>
      <w:pPr>
        <w:spacing w:after="200"/>
        <w:ind w:firstLine="0"/>
        <w:jc w:val="center"/>
      </w:pPr>
      <w:r>
        <w:rPr>
          <w:i w:val="0"/>
          <w:sz w:val="18"/>
        </w:rPr>
        <w:t>Fonte: MDIC – Comex Stat, base de dados bruta (dados até set/2026).</w:t>
      </w:r>
    </w:p>
    <w:p>
      <w:pPr>
        <w:spacing w:after="120"/>
        <w:jc w:val="both"/>
      </w:pPr>
      <w:r>
        <w:rPr>
          <w:i w:val="0"/>
        </w:rPr>
        <w:t>Os arquivos são CSV com separador ponto e vírgula. As tabelas auxiliares estão em codificação Latin-1. Dados de 2026 cobrem janeiro a setembro, último mês divulgado na data da extração (outubro de 2026). Duas características da base influenciam a análise: a UF refere-se ao domicílio fiscal da empresa declarante, e não à origem física da mercadoria; e existem códigos administrativos que não representam parceiros reais (país 105 – Brasil, país 100 – Zona Franca de Manaus, UFs EX e ND), excluídos por filtro nos painéis.</w:t>
      </w:r>
    </w:p>
    <w:p w14:paraId="7505D3A3" w14:textId="77777777" w:rsidR="00C41BB6" w:rsidRPr="001A29F1" w:rsidRDefault="00C41BB6" w:rsidP="00C41BB6">
      <w:pPr>
        <w:pStyle w:val="Ttulo2"/>
        <w:rPr>
          <w:lang w:eastAsia="pt-BR"/>
        </w:rPr>
      </w:pPr>
      <w:bookmarkStart w:id="11" w:name="_Toc74691250"/>
      <w:bookmarkStart w:id="12" w:name="_Toc74691374"/>
      <w:r>
        <w:rPr>
          <w:lang w:val="pt-BR" w:eastAsia="pt-BR"/>
        </w:rPr>
        <w:t>3</w:t>
      </w:r>
      <w:r w:rsidRPr="000D402F">
        <w:rPr>
          <w:lang w:eastAsia="pt-BR"/>
        </w:rPr>
        <w:t>.</w:t>
      </w:r>
      <w:r>
        <w:rPr>
          <w:lang w:val="pt-BR" w:eastAsia="pt-BR"/>
        </w:rPr>
        <w:t>2</w:t>
      </w:r>
      <w:r w:rsidRPr="000D402F">
        <w:rPr>
          <w:lang w:eastAsia="pt-BR"/>
        </w:rPr>
        <w:t>.</w:t>
      </w:r>
      <w:r>
        <w:rPr>
          <w:lang w:eastAsia="pt-BR"/>
        </w:rPr>
        <w:t xml:space="preserve"> </w:t>
      </w:r>
      <w:r>
        <w:rPr>
          <w:lang w:val="pt-BR" w:eastAsia="pt-BR"/>
        </w:rPr>
        <w:t>Processos de Integração e Carga (ETL)</w:t>
      </w:r>
      <w:bookmarkEnd w:id="11"/>
      <w:bookmarkEnd w:id="12"/>
    </w:p>
    <w:p>
      <w:pPr>
        <w:spacing w:after="120"/>
        <w:jc w:val="both"/>
      </w:pPr>
      <w:r>
        <w:rPr>
          <w:i w:val="0"/>
        </w:rPr>
        <w:t>O ETL foi implementado no script etl_comex.py, em Python com a biblioteca pandas, e executado no Anaconda. A Figura 3 resume as etapas.</w:t>
      </w:r>
    </w:p>
    <w:p>
      <w:pPr>
        <w:keepNext/>
        <w:spacing w:after="40"/>
        <w:ind w:firstLine="0"/>
        <w:jc w:val="center"/>
      </w:pPr>
      <w:r>
        <w:rPr>
          <w:i w:val="0"/>
          <w:sz w:val="20"/>
        </w:rPr>
        <w:t>Figura 3 – Fluxo do processo de ETL</w:t>
      </w:r>
    </w:p>
    <w:p>
      <w:pPr>
        <w:keepNext/>
        <w:spacing w:after="4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188509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et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885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i w:val="0"/>
          <w:sz w:val="18"/>
        </w:rPr>
        <w:t>Fonte: elaborado pelo autor.</w:t>
      </w:r>
    </w:p>
    <w:p>
      <w:pPr>
        <w:spacing w:after="60"/>
        <w:ind w:left="567" w:hanging="283"/>
        <w:jc w:val="both"/>
      </w:pPr>
      <w:r>
        <w:t xml:space="preserve">–  </w:t>
      </w:r>
      <w:r>
        <w:rPr>
          <w:b/>
        </w:rPr>
        <w:t xml:space="preserve">Extração: </w:t>
      </w:r>
      <w:r>
        <w:t>leitura dos 10 arquivos de exportação e importação com tipos definidos (códigos como texto, valores como inteiros) e marcação do fluxo (EXP/IMP);</w:t>
      </w:r>
    </w:p>
    <w:p>
      <w:pPr>
        <w:spacing w:after="60"/>
        <w:ind w:left="567" w:hanging="283"/>
        <w:jc w:val="both"/>
      </w:pPr>
      <w:r>
        <w:t xml:space="preserve">–  </w:t>
      </w:r>
      <w:r>
        <w:rPr>
          <w:b/>
        </w:rPr>
        <w:t xml:space="preserve">Transformação: </w:t>
      </w:r>
      <w:r>
        <w:t>agregação do nível município para UF, criação da data (primeiro dia do mês) e padronização dos nomes de colunas, reduzindo 13,6 milhões de linhas brutas para 6,19 milhões na fato;</w:t>
      </w:r>
    </w:p>
    <w:p>
      <w:pPr>
        <w:spacing w:after="60"/>
        <w:ind w:left="567" w:hanging="283"/>
        <w:jc w:val="both"/>
      </w:pPr>
      <w:r>
        <w:t xml:space="preserve">–  </w:t>
      </w:r>
      <w:r>
        <w:rPr>
          <w:b/>
        </w:rPr>
        <w:t xml:space="preserve">Dimensões: </w:t>
      </w:r>
      <w:r>
        <w:t>geração das dimensões de tempo, UF (com região e código IBGE), país (com indicador de União Europeia), produto (SH4 → SH2 → seção) e fluxo;</w:t>
      </w:r>
    </w:p>
    <w:p>
      <w:pPr>
        <w:spacing w:after="60"/>
        <w:ind w:left="567" w:hanging="283"/>
        <w:jc w:val="both"/>
      </w:pPr>
      <w:r>
        <w:t xml:space="preserve">–  </w:t>
      </w:r>
      <w:r>
        <w:rPr>
          <w:b/>
        </w:rPr>
        <w:t xml:space="preserve">Validação: </w:t>
      </w:r>
      <w:r>
        <w:t>comparação automática dos totais de valor FOB e peso líquido entre os arquivos brutos e a fato, por ano e fluxo — o script interrompe a execução se houver divergência;</w:t>
      </w:r>
    </w:p>
    <w:p>
      <w:pPr>
        <w:spacing w:after="60"/>
        <w:ind w:left="567" w:hanging="283"/>
        <w:jc w:val="both"/>
      </w:pPr>
      <w:r>
        <w:t xml:space="preserve">–  </w:t>
      </w:r>
      <w:r>
        <w:rPr>
          <w:b/>
        </w:rPr>
        <w:t xml:space="preserve">Carga: </w:t>
      </w:r>
      <w:r>
        <w:t>gravação de sete arquivos CSV (UTF-8, separador ponto e vírgula) importados no Power BI Desktop.</w:t>
      </w:r>
    </w:p>
    <w:p>
      <w:pPr>
        <w:spacing w:after="120"/>
        <w:jc w:val="both"/>
      </w:pPr>
      <w:r>
        <w:rPr>
          <w:i w:val="0"/>
        </w:rPr>
        <w:t>A Figura 4 mostra a execução do script, com a contagem de linhas lidas e gravadas e a tabela de validação. No Power BI, o Power Query foi usado para promover cabeçalhos, definir os tipos de dados (códigos SH4 e SH2 como texto) e ler as quatro colunas da dim_uf.</w:t>
      </w:r>
    </w:p>
    <w:p>
      <w:pPr>
        <w:keepNext/>
        <w:spacing w:after="40"/>
        <w:ind w:firstLine="0"/>
        <w:jc w:val="center"/>
      </w:pPr>
      <w:r>
        <w:rPr>
          <w:i w:val="0"/>
          <w:sz w:val="20"/>
        </w:rPr>
        <w:t>Figura 4 – Execução do ETL e validação dos totais</w:t>
      </w:r>
    </w:p>
    <w:p>
      <w:pPr>
        <w:keepNext/>
        <w:spacing w:after="4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680000" cy="35442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etl_validacao_anacond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544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i w:val="0"/>
          <w:sz w:val="18"/>
        </w:rPr>
        <w:t>Fonte: elaborado pelo autor.</w:t>
      </w:r>
    </w:p>
    <w:p w14:paraId="6F175920" w14:textId="5E883886" w:rsidR="003A1AD4" w:rsidRDefault="00136D11" w:rsidP="00DE2B20">
      <w:pPr>
        <w:pStyle w:val="Ttulo1"/>
        <w:pageBreakBefore/>
        <w:rPr>
          <w:lang w:eastAsia="pt-BR"/>
        </w:rPr>
      </w:pPr>
      <w:bookmarkStart w:id="13" w:name="_Toc74691375"/>
      <w:r>
        <w:rPr>
          <w:lang w:eastAsia="pt-BR"/>
        </w:rPr>
        <w:t>4</w:t>
      </w:r>
      <w:r w:rsidR="0041637A">
        <w:rPr>
          <w:lang w:eastAsia="pt-BR"/>
        </w:rPr>
        <w:t>.</w:t>
      </w:r>
      <w:r w:rsidR="00830285" w:rsidRPr="000D402F">
        <w:rPr>
          <w:lang w:eastAsia="pt-BR"/>
        </w:rPr>
        <w:t xml:space="preserve"> </w:t>
      </w:r>
      <w:r w:rsidR="00BB58C7">
        <w:rPr>
          <w:lang w:eastAsia="pt-BR"/>
        </w:rPr>
        <w:t>Camada de Apresentação</w:t>
      </w:r>
      <w:bookmarkEnd w:id="13"/>
    </w:p>
    <w:p w14:paraId="6D88081C" w14:textId="77777777" w:rsidR="003A1AD4" w:rsidRDefault="003A1AD4" w:rsidP="00BA0E35"/>
    <w:p w14:paraId="5F4E6879" w14:textId="0332EF8E" w:rsidR="003A1AD4" w:rsidRDefault="003A1AD4" w:rsidP="00BA0E35">
      <w:pPr>
        <w:pStyle w:val="Ttulo2"/>
      </w:pPr>
      <w:bookmarkStart w:id="14" w:name="_Toc74691376"/>
      <w:r>
        <w:t>4.1 Dashboard</w:t>
      </w:r>
      <w:bookmarkEnd w:id="14"/>
    </w:p>
    <w:p>
      <w:pPr>
        <w:spacing w:after="120"/>
        <w:jc w:val="both"/>
      </w:pPr>
      <w:r>
        <w:rPr>
          <w:i w:val="0"/>
        </w:rPr>
        <w:t>O painel foi construído no Power BI Desktop em quatro páginas interligadas pelo mesmo modelo: Estratégico, Tático, Operacional e Análises Avançadas. Todas aplicam dois filtros de página: exclusão da região "Outros" (UFs EX e ND) e dos códigos de país 100 e 105. As segmentações permitem seleção múltipla, com opção "Selecionar tudo".</w:t>
      </w:r>
    </w:p>
    <w:p>
      <w:pPr>
        <w:keepNext/>
        <w:spacing w:after="80"/>
        <w:ind w:firstLine="0"/>
        <w:jc w:val="both"/>
      </w:pPr>
      <w:r>
        <w:rPr>
          <w:b/>
          <w:sz w:val="24"/>
        </w:rPr>
        <w:t>Painel Estratégico</w:t>
      </w:r>
    </w:p>
    <w:p>
      <w:pPr>
        <w:spacing w:after="120"/>
        <w:jc w:val="both"/>
      </w:pPr>
      <w:r>
        <w:rPr>
          <w:i w:val="0"/>
        </w:rPr>
        <w:t>Destinado aos gestores, apresenta em uma única tela os cinco KPIs (exportação, importação, saldo, corrente de comércio e variação anual), a exportação por UF, os dez principais países de destino e uma tabela de dependência por UF com o principal destino, sua participação (barras de dados) e o número de parceiros. Segmentações: ano e região.</w:t>
      </w:r>
    </w:p>
    <w:p>
      <w:pPr>
        <w:keepNext/>
        <w:spacing w:after="40"/>
        <w:ind w:firstLine="0"/>
        <w:jc w:val="center"/>
      </w:pPr>
      <w:r>
        <w:rPr>
          <w:i w:val="0"/>
          <w:sz w:val="20"/>
        </w:rPr>
        <w:t>Figura 5 – Painel Estratégico (ano 2025, todas as regiões)</w:t>
      </w:r>
    </w:p>
    <w:p>
      <w:pPr>
        <w:keepNext/>
        <w:spacing w:after="4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22318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painel_estrategico_202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231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i w:val="0"/>
          <w:sz w:val="18"/>
        </w:rPr>
        <w:t>Fonte: elaborado pelo autor.</w:t>
      </w:r>
    </w:p>
    <w:p>
      <w:pPr>
        <w:keepNext/>
        <w:spacing w:after="80"/>
        <w:ind w:firstLine="0"/>
        <w:jc w:val="both"/>
      </w:pPr>
      <w:r>
        <w:rPr>
          <w:b/>
          <w:sz w:val="24"/>
        </w:rPr>
        <w:t>Painel Tático</w:t>
      </w:r>
    </w:p>
    <w:p>
      <w:pPr>
        <w:spacing w:after="120"/>
        <w:jc w:val="both"/>
      </w:pPr>
      <w:r>
        <w:rPr>
          <w:i w:val="0"/>
        </w:rPr>
        <w:t>Destinado aos analistas, mostra a evolução mensal de exportação e importação de 2022 a 2026, a exportação por ano e região (colunas empilhadas), os dez capítulos SH mais exportados e uma matriz UF × ano com escala de cores. Segmentações: região e UF.</w:t>
      </w:r>
    </w:p>
    <w:p>
      <w:pPr>
        <w:keepNext/>
        <w:spacing w:after="40"/>
        <w:ind w:firstLine="0"/>
        <w:jc w:val="center"/>
      </w:pPr>
      <w:r>
        <w:rPr>
          <w:i w:val="0"/>
          <w:sz w:val="20"/>
        </w:rPr>
        <w:t>Figura 6 – Painel Tático</w:t>
      </w:r>
    </w:p>
    <w:p>
      <w:pPr>
        <w:keepNext/>
        <w:spacing w:after="4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22318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painel_tatic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231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i w:val="0"/>
          <w:sz w:val="18"/>
        </w:rPr>
        <w:t>Fonte: elaborado pelo autor.</w:t>
      </w:r>
    </w:p>
    <w:p>
      <w:pPr>
        <w:keepNext/>
        <w:spacing w:after="80"/>
        <w:ind w:firstLine="0"/>
        <w:jc w:val="both"/>
      </w:pPr>
      <w:r>
        <w:rPr>
          <w:b/>
          <w:sz w:val="24"/>
        </w:rPr>
        <w:t>Painel Operacional</w:t>
      </w:r>
    </w:p>
    <w:p>
      <w:pPr>
        <w:spacing w:after="120"/>
        <w:jc w:val="both"/>
      </w:pPr>
      <w:r>
        <w:rPr>
          <w:i w:val="0"/>
        </w:rPr>
        <w:t>Destinado aos executores, detalha cada combinação UF × país × capítulo × produto (SH4), com exportação e importação em US$ milhões, peso exportado em toneladas e preço médio em US$/kg. Segmentações: ano, mês, UF e país.</w:t>
      </w:r>
    </w:p>
    <w:p>
      <w:pPr>
        <w:keepNext/>
        <w:spacing w:after="40"/>
        <w:ind w:firstLine="0"/>
        <w:jc w:val="center"/>
      </w:pPr>
      <w:r>
        <w:rPr>
          <w:i w:val="0"/>
          <w:sz w:val="20"/>
        </w:rPr>
        <w:t>Figura 7 – Painel Operacional (MT, 2025)</w:t>
      </w:r>
    </w:p>
    <w:p>
      <w:pPr>
        <w:keepNext/>
        <w:spacing w:after="4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22318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painel_operaciona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231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i w:val="0"/>
          <w:sz w:val="18"/>
        </w:rPr>
        <w:t>Fonte: elaborado pelo autor.</w:t>
      </w:r>
    </w:p>
    <w:p>
      <w:pPr>
        <w:spacing w:after="120"/>
        <w:jc w:val="both"/>
      </w:pPr>
      <w:r>
        <w:rPr>
          <w:i w:val="0"/>
        </w:rPr>
        <w:t>As medidas DAX utilizadas estão descritas no Quadro 5. Elas ficam em uma tabela própria (_Medidas), separada das tabelas de dados.</w:t>
      </w:r>
    </w:p>
    <w:p>
      <w:pPr>
        <w:keepNext/>
        <w:spacing w:after="40"/>
        <w:ind w:firstLine="0"/>
        <w:jc w:val="center"/>
      </w:pPr>
      <w:r>
        <w:rPr>
          <w:i w:val="0"/>
          <w:sz w:val="20"/>
        </w:rPr>
        <w:t>Quadro 5 – Medidas DAX do painel</w:t>
      </w:r>
    </w:p>
    <w:tbl>
      <w:tblPr>
        <w:tblW w:type="dxa" w:w="9072"/>
        <w:jc w:val="center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  <w:tblLook w:firstColumn="1" w:firstRow="1" w:lastColumn="0" w:lastRow="0" w:noHBand="0" w:noVBand="1" w:val="04A0"/>
      </w:tblPr>
      <w:tblGrid>
        <w:gridCol w:w="2438"/>
        <w:gridCol w:w="6633"/>
      </w:tblGrid>
      <w:tr>
        <w:trPr>
          <w:tblHeader w:val="true"/>
        </w:trPr>
        <w:tc>
          <w:tcPr>
            <w:tcW w:type="dxa" w:w="2438"/>
            <w:shd w:val="clear" w:color="auto" w:fill="DCE6F2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/>
                <w:sz w:val="17"/>
              </w:rPr>
              <w:t>Medida</w:t>
            </w:r>
          </w:p>
        </w:tc>
        <w:tc>
          <w:tcPr>
            <w:tcW w:type="dxa" w:w="6633"/>
            <w:shd w:val="clear" w:color="auto" w:fill="DCE6F2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/>
                <w:sz w:val="17"/>
              </w:rPr>
              <w:t>Fórmula DAX (resumida)</w:t>
            </w:r>
          </w:p>
        </w:tc>
      </w:tr>
      <w:tr>
        <w:tc>
          <w:tcPr>
            <w:tcW w:type="dxa" w:w="2438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/>
                <w:sz w:val="17"/>
              </w:rPr>
              <w:t>Exportação</w:t>
            </w:r>
          </w:p>
        </w:tc>
        <w:tc>
          <w:tcPr>
            <w:tcW w:type="dxa" w:w="6633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7"/>
              </w:rPr>
              <w:t>CALCULATE(SUM(fato_comercio[VL_FOB]), fato_comercio[FLUXO] = "EXP")</w:t>
            </w:r>
          </w:p>
        </w:tc>
      </w:tr>
      <w:tr>
        <w:tc>
          <w:tcPr>
            <w:tcW w:type="dxa" w:w="2438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/>
                <w:sz w:val="17"/>
              </w:rPr>
              <w:t>Importação</w:t>
            </w:r>
          </w:p>
        </w:tc>
        <w:tc>
          <w:tcPr>
            <w:tcW w:type="dxa" w:w="6633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7"/>
              </w:rPr>
              <w:t>CALCULATE(SUM(fato_comercio[VL_FOB]), fato_comercio[FLUXO] = "IMP")</w:t>
            </w:r>
          </w:p>
        </w:tc>
      </w:tr>
      <w:tr>
        <w:tc>
          <w:tcPr>
            <w:tcW w:type="dxa" w:w="2438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/>
                <w:sz w:val="17"/>
              </w:rPr>
              <w:t>Saldo Comercial</w:t>
            </w:r>
          </w:p>
        </w:tc>
        <w:tc>
          <w:tcPr>
            <w:tcW w:type="dxa" w:w="6633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7"/>
              </w:rPr>
              <w:t>[Exportação] − [Importação]</w:t>
            </w:r>
          </w:p>
        </w:tc>
      </w:tr>
      <w:tr>
        <w:tc>
          <w:tcPr>
            <w:tcW w:type="dxa" w:w="2438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/>
                <w:sz w:val="17"/>
              </w:rPr>
              <w:t>Corrente de Comércio</w:t>
            </w:r>
          </w:p>
        </w:tc>
        <w:tc>
          <w:tcPr>
            <w:tcW w:type="dxa" w:w="6633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7"/>
              </w:rPr>
              <w:t>[Exportação] + [Importação]</w:t>
            </w:r>
          </w:p>
        </w:tc>
      </w:tr>
      <w:tr>
        <w:tc>
          <w:tcPr>
            <w:tcW w:type="dxa" w:w="2438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/>
                <w:sz w:val="17"/>
              </w:rPr>
              <w:t>Exportação Ano Anterior</w:t>
            </w:r>
          </w:p>
        </w:tc>
        <w:tc>
          <w:tcPr>
            <w:tcW w:type="dxa" w:w="6633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7"/>
              </w:rPr>
              <w:t>CALCULATE([Exportação], REMOVEFILTERS(dim_tempo), dim_tempo[ANO] = ano selecionado − 1, TREATAS(meses selecionados, dim_tempo[MES]))</w:t>
            </w:r>
          </w:p>
        </w:tc>
      </w:tr>
      <w:tr>
        <w:tc>
          <w:tcPr>
            <w:tcW w:type="dxa" w:w="2438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/>
                <w:sz w:val="17"/>
              </w:rPr>
              <w:t>Var % Exportação</w:t>
            </w:r>
          </w:p>
        </w:tc>
        <w:tc>
          <w:tcPr>
            <w:tcW w:type="dxa" w:w="6633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7"/>
              </w:rPr>
              <w:t>IF(HASONEVALUE(dim_tempo[ANO]), DIVIDE([Exportação] − [Exportação Ano Anterior], [Exportação Ano Anterior]))</w:t>
            </w:r>
          </w:p>
        </w:tc>
      </w:tr>
      <w:tr>
        <w:tc>
          <w:tcPr>
            <w:tcW w:type="dxa" w:w="2438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/>
                <w:sz w:val="17"/>
              </w:rPr>
              <w:t>% Part. País na UF</w:t>
            </w:r>
          </w:p>
        </w:tc>
        <w:tc>
          <w:tcPr>
            <w:tcW w:type="dxa" w:w="6633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7"/>
              </w:rPr>
              <w:t>DIVIDE([Exportação], CALCULATE([Exportação], REMOVEFILTERS(dim_pais)))</w:t>
            </w:r>
          </w:p>
        </w:tc>
      </w:tr>
      <w:tr>
        <w:tc>
          <w:tcPr>
            <w:tcW w:type="dxa" w:w="2438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/>
                <w:sz w:val="17"/>
              </w:rPr>
              <w:t>Principal Destino</w:t>
            </w:r>
          </w:p>
        </w:tc>
        <w:tc>
          <w:tcPr>
            <w:tcW w:type="dxa" w:w="6633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7"/>
              </w:rPr>
              <w:t>CONCATENATEX(TOPN(1, VALUES(dim_pais[NO_PAIS]), [Exportação]), dim_pais[NO_PAIS])</w:t>
            </w:r>
          </w:p>
        </w:tc>
      </w:tr>
      <w:tr>
        <w:tc>
          <w:tcPr>
            <w:tcW w:type="dxa" w:w="2438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/>
                <w:sz w:val="17"/>
              </w:rPr>
              <w:t>% Principal Destino</w:t>
            </w:r>
          </w:p>
        </w:tc>
        <w:tc>
          <w:tcPr>
            <w:tcW w:type="dxa" w:w="6633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7"/>
              </w:rPr>
              <w:t>DIVIDE(MAXX(VALUES(dim_pais[NO_PAIS]), [Exportação]), CALCULATE([Exportação], REMOVEFILTERS(dim_pais)))</w:t>
            </w:r>
          </w:p>
        </w:tc>
      </w:tr>
      <w:tr>
        <w:tc>
          <w:tcPr>
            <w:tcW w:type="dxa" w:w="2438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/>
                <w:sz w:val="17"/>
              </w:rPr>
              <w:t>Nº Parceiros</w:t>
            </w:r>
          </w:p>
        </w:tc>
        <w:tc>
          <w:tcPr>
            <w:tcW w:type="dxa" w:w="6633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7"/>
              </w:rPr>
              <w:t>CALCULATE(DISTINCTCOUNT(fato_comercio[CO_PAIS]), fato_comercio[FLUXO] = "EXP")</w:t>
            </w:r>
          </w:p>
        </w:tc>
      </w:tr>
      <w:tr>
        <w:tc>
          <w:tcPr>
            <w:tcW w:type="dxa" w:w="2438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/>
                <w:sz w:val="17"/>
              </w:rPr>
              <w:t>Preço Médio (US$/kg)</w:t>
            </w:r>
          </w:p>
        </w:tc>
        <w:tc>
          <w:tcPr>
            <w:tcW w:type="dxa" w:w="6633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7"/>
              </w:rPr>
              <w:t>DIVIDE([Exportação], CALCULATE(SUM(fato_comercio[KG_LIQUIDO]), fato_comercio[FLUXO] = "EXP"))</w:t>
            </w:r>
          </w:p>
        </w:tc>
      </w:tr>
      <w:tr>
        <w:tc>
          <w:tcPr>
            <w:tcW w:type="dxa" w:w="2438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/>
                <w:sz w:val="17"/>
              </w:rPr>
              <w:t>Exportação (US$ bi)</w:t>
            </w:r>
          </w:p>
        </w:tc>
        <w:tc>
          <w:tcPr>
            <w:tcW w:type="dxa" w:w="6633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7"/>
              </w:rPr>
              <w:t>DIVIDE([Exportação], 1000000000)</w:t>
            </w:r>
          </w:p>
        </w:tc>
      </w:tr>
    </w:tbl>
    <w:p>
      <w:pPr>
        <w:spacing w:after="200"/>
        <w:ind w:firstLine="0"/>
        <w:jc w:val="center"/>
      </w:pPr>
      <w:r>
        <w:rPr>
          <w:i w:val="0"/>
          <w:sz w:val="18"/>
        </w:rPr>
        <w:t>Fonte: elaborado pelo autor.</w:t>
      </w:r>
    </w:p>
    <w:p>
      <w:pPr>
        <w:spacing w:after="120"/>
        <w:jc w:val="both"/>
      </w:pPr>
      <w:r>
        <w:rPr>
          <w:i w:val="0"/>
        </w:rPr>
        <w:t>A variação anual compara sempre os mesmos meses: 2026 (janeiro a setembro) é comparado a janeiro a setembro de 2025. Ela só é exibida quando um único ano está selecionado.</w:t>
      </w:r>
    </w:p>
    <w:p w14:paraId="124E7FC6" w14:textId="11F9AAC5" w:rsidR="003A1AD4" w:rsidRPr="00BA0E35" w:rsidRDefault="003A1AD4" w:rsidP="00BA0E35">
      <w:pPr>
        <w:pStyle w:val="Ttulo2"/>
        <w:rPr>
          <w:lang w:eastAsia="pt-BR"/>
        </w:rPr>
      </w:pPr>
      <w:bookmarkStart w:id="15" w:name="_Toc74691377"/>
      <w:r>
        <w:t>4.2</w:t>
      </w:r>
      <w:r w:rsidR="00BA0E35">
        <w:t xml:space="preserve"> Análises avançadas</w:t>
      </w:r>
      <w:bookmarkEnd w:id="15"/>
    </w:p>
    <w:p>
      <w:pPr>
        <w:spacing w:after="120"/>
        <w:jc w:val="both"/>
      </w:pPr>
      <w:r>
        <w:rPr>
          <w:i w:val="0"/>
        </w:rPr>
        <w:t>Duas técnicas de aprendizado de máquina foram aplicadas à base estruturada, no script modulo_c.py (Python, scikit-learn), e seus resultados foram incorporados ao painel na página Análises Avançadas (Figura 9).</w:t>
      </w:r>
    </w:p>
    <w:p>
      <w:pPr>
        <w:keepNext/>
        <w:spacing w:after="80"/>
        <w:ind w:firstLine="0"/>
        <w:jc w:val="both"/>
      </w:pPr>
      <w:r>
        <w:rPr>
          <w:b/>
          <w:sz w:val="24"/>
        </w:rPr>
        <w:t>Previsão das exportações e importações</w:t>
      </w:r>
    </w:p>
    <w:p>
      <w:pPr>
        <w:spacing w:after="120"/>
        <w:jc w:val="both"/>
      </w:pPr>
      <w:r>
        <w:rPr>
          <w:i w:val="0"/>
        </w:rPr>
        <w:t>A série mensal de valor FOB foi dividida em treino (jan/2022 a dez/2025, 48 meses) e teste (jan a set/2026, 9 meses). Foram comparados três modelos pelo erro percentual absoluto médio (MAPE): um modelo sazonal ingênuo, que repete o mesmo mês do ano anterior e serve de referência; uma regressão linear com tendência e variáveis indicadoras de mês; e o método de Holt-Winters aditivo (HYNDMAN; ATHANASOPOULOS, 2021), com parâmetros escolhidos por busca em grade.</w:t>
      </w:r>
    </w:p>
    <w:p>
      <w:pPr>
        <w:keepNext/>
        <w:spacing w:after="40"/>
        <w:ind w:firstLine="0"/>
        <w:jc w:val="center"/>
      </w:pPr>
      <w:r>
        <w:rPr>
          <w:i w:val="0"/>
          <w:sz w:val="20"/>
        </w:rPr>
        <w:t>Quadro 6 – Desempenho dos modelos no período de teste (jan–set/2026)</w:t>
      </w:r>
    </w:p>
    <w:tbl>
      <w:tblPr>
        <w:tblW w:type="dxa" w:w="9072"/>
        <w:jc w:val="center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  <w:tblLook w:firstColumn="1" w:firstRow="1" w:lastColumn="0" w:lastRow="0" w:noHBand="0" w:noVBand="1" w:val="04A0"/>
      </w:tblPr>
      <w:tblGrid>
        <w:gridCol w:w="1701"/>
        <w:gridCol w:w="3969"/>
        <w:gridCol w:w="1417"/>
        <w:gridCol w:w="1984"/>
      </w:tblGrid>
      <w:tr>
        <w:trPr>
          <w:tblHeader w:val="true"/>
        </w:trPr>
        <w:tc>
          <w:tcPr>
            <w:tcW w:type="dxa" w:w="1701"/>
            <w:shd w:val="clear" w:color="auto" w:fill="DCE6F2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/>
                <w:sz w:val="18"/>
              </w:rPr>
              <w:t>Fluxo</w:t>
            </w:r>
          </w:p>
        </w:tc>
        <w:tc>
          <w:tcPr>
            <w:tcW w:type="dxa" w:w="3969"/>
            <w:shd w:val="clear" w:color="auto" w:fill="DCE6F2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/>
                <w:sz w:val="18"/>
              </w:rPr>
              <w:t>Modelo</w:t>
            </w:r>
          </w:p>
        </w:tc>
        <w:tc>
          <w:tcPr>
            <w:tcW w:type="dxa" w:w="1417"/>
            <w:shd w:val="clear" w:color="auto" w:fill="DCE6F2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/>
                <w:sz w:val="18"/>
              </w:rPr>
              <w:t>MAPE</w:t>
            </w:r>
          </w:p>
        </w:tc>
        <w:tc>
          <w:tcPr>
            <w:tcW w:type="dxa" w:w="1984"/>
            <w:shd w:val="clear" w:color="auto" w:fill="DCE6F2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/>
                <w:sz w:val="18"/>
              </w:rPr>
              <w:t>MAE (US$ bi/mês)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8"/>
              </w:rPr>
              <w:t>Exportação</w:t>
            </w:r>
          </w:p>
        </w:tc>
        <w:tc>
          <w:tcPr>
            <w:tcW w:type="dxa" w:w="3969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8"/>
              </w:rPr>
              <w:t>Sazonal ingênuo</w:t>
            </w:r>
          </w:p>
        </w:tc>
        <w:tc>
          <w:tcPr>
            <w:tcW w:type="dxa" w:w="1417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8"/>
              </w:rPr>
              <w:t>9,71%</w:t>
            </w:r>
          </w:p>
        </w:tc>
        <w:tc>
          <w:tcPr>
            <w:tcW w:type="dxa" w:w="1984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8"/>
              </w:rPr>
              <w:t>3,13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8"/>
              </w:rPr>
              <w:t>Exportação</w:t>
            </w:r>
          </w:p>
        </w:tc>
        <w:tc>
          <w:tcPr>
            <w:tcW w:type="dxa" w:w="3969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/>
                <w:sz w:val="18"/>
              </w:rPr>
              <w:t>Regressão tendência + sazonalidade</w:t>
            </w:r>
          </w:p>
        </w:tc>
        <w:tc>
          <w:tcPr>
            <w:tcW w:type="dxa" w:w="1417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/>
                <w:sz w:val="18"/>
              </w:rPr>
              <w:t>7,48%</w:t>
            </w:r>
          </w:p>
        </w:tc>
        <w:tc>
          <w:tcPr>
            <w:tcW w:type="dxa" w:w="1984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/>
                <w:sz w:val="18"/>
              </w:rPr>
              <w:t>2,45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8"/>
              </w:rPr>
              <w:t>Exportação</w:t>
            </w:r>
          </w:p>
        </w:tc>
        <w:tc>
          <w:tcPr>
            <w:tcW w:type="dxa" w:w="3969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8"/>
              </w:rPr>
              <w:t>Holt-Winters aditivo</w:t>
            </w:r>
          </w:p>
        </w:tc>
        <w:tc>
          <w:tcPr>
            <w:tcW w:type="dxa" w:w="1417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8"/>
              </w:rPr>
              <w:t>7,87%</w:t>
            </w:r>
          </w:p>
        </w:tc>
        <w:tc>
          <w:tcPr>
            <w:tcW w:type="dxa" w:w="1984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8"/>
              </w:rPr>
              <w:t>2,57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8"/>
              </w:rPr>
              <w:t>Importação</w:t>
            </w:r>
          </w:p>
        </w:tc>
        <w:tc>
          <w:tcPr>
            <w:tcW w:type="dxa" w:w="3969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8"/>
              </w:rPr>
              <w:t>Sazonal ingênuo</w:t>
            </w:r>
          </w:p>
        </w:tc>
        <w:tc>
          <w:tcPr>
            <w:tcW w:type="dxa" w:w="1417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8"/>
              </w:rPr>
              <w:t>8,37%</w:t>
            </w:r>
          </w:p>
        </w:tc>
        <w:tc>
          <w:tcPr>
            <w:tcW w:type="dxa" w:w="1984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8"/>
              </w:rPr>
              <w:t>2,07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8"/>
              </w:rPr>
              <w:t>Importação</w:t>
            </w:r>
          </w:p>
        </w:tc>
        <w:tc>
          <w:tcPr>
            <w:tcW w:type="dxa" w:w="3969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/>
                <w:sz w:val="18"/>
              </w:rPr>
              <w:t>Regressão tendência + sazonalidade</w:t>
            </w:r>
          </w:p>
        </w:tc>
        <w:tc>
          <w:tcPr>
            <w:tcW w:type="dxa" w:w="1417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/>
                <w:sz w:val="18"/>
              </w:rPr>
              <w:t>7,62%</w:t>
            </w:r>
          </w:p>
        </w:tc>
        <w:tc>
          <w:tcPr>
            <w:tcW w:type="dxa" w:w="1984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/>
                <w:sz w:val="18"/>
              </w:rPr>
              <w:t>1,91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8"/>
              </w:rPr>
              <w:t>Importação</w:t>
            </w:r>
          </w:p>
        </w:tc>
        <w:tc>
          <w:tcPr>
            <w:tcW w:type="dxa" w:w="3969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8"/>
              </w:rPr>
              <w:t>Holt-Winters aditivo</w:t>
            </w:r>
          </w:p>
        </w:tc>
        <w:tc>
          <w:tcPr>
            <w:tcW w:type="dxa" w:w="1417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8"/>
              </w:rPr>
              <w:t>9,60%</w:t>
            </w:r>
          </w:p>
        </w:tc>
        <w:tc>
          <w:tcPr>
            <w:tcW w:type="dxa" w:w="1984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8"/>
              </w:rPr>
              <w:t>2,39</w:t>
            </w:r>
          </w:p>
        </w:tc>
      </w:tr>
    </w:tbl>
    <w:p>
      <w:pPr>
        <w:spacing w:after="200"/>
        <w:ind w:firstLine="0"/>
        <w:jc w:val="center"/>
      </w:pPr>
      <w:r>
        <w:rPr>
          <w:i w:val="0"/>
          <w:sz w:val="18"/>
        </w:rPr>
        <w:t>Fonte: elaborado pelo autor.</w:t>
      </w:r>
    </w:p>
    <w:p>
      <w:pPr>
        <w:spacing w:after="120"/>
        <w:jc w:val="both"/>
      </w:pPr>
      <w:r>
        <w:rPr>
          <w:i w:val="0"/>
        </w:rPr>
        <w:t>A regressão teve o menor erro nos dois fluxos e foi reajustada com os 57 meses para projetar outubro de 2026 a dezembro de 2027 (Figura 8 e Quadro 7).</w:t>
      </w:r>
    </w:p>
    <w:p>
      <w:pPr>
        <w:keepNext/>
        <w:spacing w:after="40"/>
        <w:ind w:firstLine="0"/>
        <w:jc w:val="center"/>
      </w:pPr>
      <w:r>
        <w:rPr>
          <w:i w:val="0"/>
          <w:sz w:val="20"/>
        </w:rPr>
        <w:t>Figura 8 – Série real, teste e previsão até dez/2027</w:t>
      </w:r>
    </w:p>
    <w:p>
      <w:pPr>
        <w:keepNext/>
        <w:spacing w:after="4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4192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previsa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1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i w:val="0"/>
          <w:sz w:val="18"/>
        </w:rPr>
        <w:t>Fonte: elaborado pelo autor.</w:t>
      </w:r>
    </w:p>
    <w:p>
      <w:pPr>
        <w:keepNext/>
        <w:spacing w:after="40"/>
        <w:ind w:firstLine="0"/>
        <w:jc w:val="center"/>
      </w:pPr>
      <w:r>
        <w:rPr>
          <w:i w:val="0"/>
          <w:sz w:val="20"/>
        </w:rPr>
        <w:t>Quadro 7 – Totais anuais reais e projetados</w:t>
      </w:r>
    </w:p>
    <w:tbl>
      <w:tblPr>
        <w:tblW w:type="dxa" w:w="9072"/>
        <w:jc w:val="center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  <w:tblLook w:firstColumn="1" w:firstRow="1" w:lastColumn="0" w:lastRow="0" w:noHBand="0" w:noVBand="1" w:val="04A0"/>
      </w:tblPr>
      <w:tblGrid>
        <w:gridCol w:w="3118"/>
        <w:gridCol w:w="1984"/>
        <w:gridCol w:w="1984"/>
        <w:gridCol w:w="1984"/>
      </w:tblGrid>
      <w:tr>
        <w:trPr>
          <w:tblHeader w:val="true"/>
        </w:trPr>
        <w:tc>
          <w:tcPr>
            <w:tcW w:type="dxa" w:w="3118"/>
            <w:shd w:val="clear" w:color="auto" w:fill="DCE6F2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/>
                <w:sz w:val="18"/>
              </w:rPr>
              <w:t>Ano</w:t>
            </w:r>
          </w:p>
        </w:tc>
        <w:tc>
          <w:tcPr>
            <w:tcW w:type="dxa" w:w="1984"/>
            <w:shd w:val="clear" w:color="auto" w:fill="DCE6F2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/>
                <w:sz w:val="18"/>
              </w:rPr>
              <w:t>Exportação (US$ bi)</w:t>
            </w:r>
          </w:p>
        </w:tc>
        <w:tc>
          <w:tcPr>
            <w:tcW w:type="dxa" w:w="1984"/>
            <w:shd w:val="clear" w:color="auto" w:fill="DCE6F2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/>
                <w:sz w:val="18"/>
              </w:rPr>
              <w:t>Importação (US$ bi)</w:t>
            </w:r>
          </w:p>
        </w:tc>
        <w:tc>
          <w:tcPr>
            <w:tcW w:type="dxa" w:w="1984"/>
            <w:shd w:val="clear" w:color="auto" w:fill="DCE6F2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/>
                <w:sz w:val="18"/>
              </w:rPr>
              <w:t>Saldo (US$ bi)</w:t>
            </w:r>
          </w:p>
        </w:tc>
      </w:tr>
      <w:tr>
        <w:tc>
          <w:tcPr>
            <w:tcW w:type="dxa" w:w="3118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8"/>
              </w:rPr>
              <w:t>2022 (real)</w:t>
            </w:r>
          </w:p>
        </w:tc>
        <w:tc>
          <w:tcPr>
            <w:tcW w:type="dxa" w:w="1984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8"/>
              </w:rPr>
              <w:t>334,0</w:t>
            </w:r>
          </w:p>
        </w:tc>
        <w:tc>
          <w:tcPr>
            <w:tcW w:type="dxa" w:w="1984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8"/>
              </w:rPr>
              <w:t>272,3</w:t>
            </w:r>
          </w:p>
        </w:tc>
        <w:tc>
          <w:tcPr>
            <w:tcW w:type="dxa" w:w="1984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8"/>
              </w:rPr>
              <w:t>61,7</w:t>
            </w:r>
          </w:p>
        </w:tc>
      </w:tr>
      <w:tr>
        <w:tc>
          <w:tcPr>
            <w:tcW w:type="dxa" w:w="3118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8"/>
              </w:rPr>
              <w:t>2023 (real)</w:t>
            </w:r>
          </w:p>
        </w:tc>
        <w:tc>
          <w:tcPr>
            <w:tcW w:type="dxa" w:w="1984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8"/>
              </w:rPr>
              <w:t>339,3</w:t>
            </w:r>
          </w:p>
        </w:tc>
        <w:tc>
          <w:tcPr>
            <w:tcW w:type="dxa" w:w="1984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8"/>
              </w:rPr>
              <w:t>240,4</w:t>
            </w:r>
          </w:p>
        </w:tc>
        <w:tc>
          <w:tcPr>
            <w:tcW w:type="dxa" w:w="1984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8"/>
              </w:rPr>
              <w:t>98,9</w:t>
            </w:r>
          </w:p>
        </w:tc>
      </w:tr>
      <w:tr>
        <w:tc>
          <w:tcPr>
            <w:tcW w:type="dxa" w:w="3118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8"/>
              </w:rPr>
              <w:t>2024 (real)</w:t>
            </w:r>
          </w:p>
        </w:tc>
        <w:tc>
          <w:tcPr>
            <w:tcW w:type="dxa" w:w="1984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8"/>
              </w:rPr>
              <w:t>336,5</w:t>
            </w:r>
          </w:p>
        </w:tc>
        <w:tc>
          <w:tcPr>
            <w:tcW w:type="dxa" w:w="1984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8"/>
              </w:rPr>
              <w:t>262,3</w:t>
            </w:r>
          </w:p>
        </w:tc>
        <w:tc>
          <w:tcPr>
            <w:tcW w:type="dxa" w:w="1984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8"/>
              </w:rPr>
              <w:t>74,2</w:t>
            </w:r>
          </w:p>
        </w:tc>
      </w:tr>
      <w:tr>
        <w:tc>
          <w:tcPr>
            <w:tcW w:type="dxa" w:w="3118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8"/>
              </w:rPr>
              <w:t>2025 (real)</w:t>
            </w:r>
          </w:p>
        </w:tc>
        <w:tc>
          <w:tcPr>
            <w:tcW w:type="dxa" w:w="1984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8"/>
              </w:rPr>
              <w:t>347,9</w:t>
            </w:r>
          </w:p>
        </w:tc>
        <w:tc>
          <w:tcPr>
            <w:tcW w:type="dxa" w:w="1984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8"/>
              </w:rPr>
              <w:t>279,6</w:t>
            </w:r>
          </w:p>
        </w:tc>
        <w:tc>
          <w:tcPr>
            <w:tcW w:type="dxa" w:w="1984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8"/>
              </w:rPr>
              <w:t>68,3</w:t>
            </w:r>
          </w:p>
        </w:tc>
      </w:tr>
      <w:tr>
        <w:tc>
          <w:tcPr>
            <w:tcW w:type="dxa" w:w="3118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8"/>
              </w:rPr>
              <w:t>2026 (real jan–set + previsão)</w:t>
            </w:r>
          </w:p>
        </w:tc>
        <w:tc>
          <w:tcPr>
            <w:tcW w:type="dxa" w:w="1984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8"/>
              </w:rPr>
              <w:t>374,3</w:t>
            </w:r>
          </w:p>
        </w:tc>
        <w:tc>
          <w:tcPr>
            <w:tcW w:type="dxa" w:w="1984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8"/>
              </w:rPr>
              <w:t>291,7</w:t>
            </w:r>
          </w:p>
        </w:tc>
        <w:tc>
          <w:tcPr>
            <w:tcW w:type="dxa" w:w="1984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8"/>
              </w:rPr>
              <w:t>82,6</w:t>
            </w:r>
          </w:p>
        </w:tc>
      </w:tr>
      <w:tr>
        <w:tc>
          <w:tcPr>
            <w:tcW w:type="dxa" w:w="3118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8"/>
              </w:rPr>
              <w:t>2027 (previsão)</w:t>
            </w:r>
          </w:p>
        </w:tc>
        <w:tc>
          <w:tcPr>
            <w:tcW w:type="dxa" w:w="1984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8"/>
              </w:rPr>
              <w:t>373,2</w:t>
            </w:r>
          </w:p>
        </w:tc>
        <w:tc>
          <w:tcPr>
            <w:tcW w:type="dxa" w:w="1984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8"/>
              </w:rPr>
              <w:t>292,7</w:t>
            </w:r>
          </w:p>
        </w:tc>
        <w:tc>
          <w:tcPr>
            <w:tcW w:type="dxa" w:w="1984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8"/>
              </w:rPr>
              <w:t>80,5</w:t>
            </w:r>
          </w:p>
        </w:tc>
      </w:tr>
    </w:tbl>
    <w:p>
      <w:pPr>
        <w:spacing w:after="200"/>
        <w:ind w:firstLine="0"/>
        <w:jc w:val="center"/>
      </w:pPr>
      <w:r>
        <w:rPr>
          <w:i w:val="0"/>
          <w:sz w:val="18"/>
        </w:rPr>
        <w:t>Fonte: elaborado pelo autor.</w:t>
      </w:r>
    </w:p>
    <w:p>
      <w:pPr>
        <w:spacing w:after="120"/>
        <w:jc w:val="both"/>
      </w:pPr>
      <w:r>
        <w:rPr>
          <w:i w:val="0"/>
        </w:rPr>
        <w:t>A análise revela sazonalidade marcada nas exportações, com queda em janeiro e fevereiro e pico entre março e julho, coerente com o calendário da safra de grãos. O modelo subestimou o período de teste em 7,8% (US$ 261,9 bi previstos contra US$ 284,0 bi realizados), pois as exportações de 2026 cresceram 10,3% sobre o mesmo período de 2025, acima da tendência histórica.</w:t>
      </w:r>
    </w:p>
    <w:p>
      <w:pPr>
        <w:keepNext/>
        <w:spacing w:after="80"/>
        <w:ind w:firstLine="0"/>
        <w:jc w:val="both"/>
      </w:pPr>
      <w:r>
        <w:rPr>
          <w:b/>
          <w:sz w:val="24"/>
        </w:rPr>
        <w:t>Agrupamento das UFs por perfil comercial</w:t>
      </w:r>
    </w:p>
    <w:p>
      <w:pPr>
        <w:spacing w:after="120"/>
        <w:jc w:val="both"/>
      </w:pPr>
      <w:r>
        <w:rPr>
          <w:i w:val="0"/>
        </w:rPr>
        <w:t>Para cada UF foram calculados oito indicadores sobre as exportações do período: concentração de destinos (índice Herfindahl-Hirschman), participação de China, EUA, União Europeia e Mercosul, concentração de produtos (HHI por SH4), participação de produtos básicos (capítulos SH 01 a 27) e preço médio (US$/kg, em logaritmo). Os indicadores foram padronizados e agrupados com o algoritmo K-Means (PEDREGOSA et al., 2011). O número de grupos foi escolhido pelo coeficiente de silhueta (ROUSSEEUW, 1987), testando k de 2 a 6, com a regra de 3 a 5 grupos e pelo menos 3 UFs por grupo, o que resultou em k = 3.</w:t>
      </w:r>
    </w:p>
    <w:p>
      <w:pPr>
        <w:keepNext/>
        <w:spacing w:after="40"/>
        <w:ind w:firstLine="0"/>
        <w:jc w:val="center"/>
      </w:pPr>
      <w:r>
        <w:rPr>
          <w:i w:val="0"/>
          <w:sz w:val="20"/>
        </w:rPr>
        <w:t>Figura 9 – Página Análises Avançadas no Power BI</w:t>
      </w:r>
    </w:p>
    <w:p>
      <w:pPr>
        <w:keepNext/>
        <w:spacing w:after="4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22318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painel_analises_avancada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231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i w:val="0"/>
          <w:sz w:val="18"/>
        </w:rPr>
        <w:t>Fonte: elaborado pelo autor.</w:t>
      </w:r>
    </w:p>
    <w:p>
      <w:pPr>
        <w:keepNext/>
        <w:spacing w:after="40"/>
        <w:ind w:firstLine="0"/>
        <w:jc w:val="center"/>
      </w:pPr>
      <w:r>
        <w:rPr>
          <w:i w:val="0"/>
          <w:sz w:val="20"/>
        </w:rPr>
        <w:t>Quadro 8 – Perfis de UFs identificados pelo K-Means</w:t>
      </w:r>
    </w:p>
    <w:tbl>
      <w:tblPr>
        <w:tblW w:type="dxa" w:w="9072"/>
        <w:jc w:val="center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  <w:tblLook w:firstColumn="1" w:firstRow="1" w:lastColumn="0" w:lastRow="0" w:noHBand="0" w:noVBand="1" w:val="04A0"/>
      </w:tblPr>
      <w:tblGrid>
        <w:gridCol w:w="2041"/>
        <w:gridCol w:w="2494"/>
        <w:gridCol w:w="1190"/>
        <w:gridCol w:w="793"/>
        <w:gridCol w:w="907"/>
        <w:gridCol w:w="850"/>
        <w:gridCol w:w="793"/>
      </w:tblGrid>
      <w:tr>
        <w:trPr>
          <w:tblHeader w:val="true"/>
        </w:trPr>
        <w:tc>
          <w:tcPr>
            <w:tcW w:type="dxa" w:w="2041"/>
            <w:shd w:val="clear" w:color="auto" w:fill="DCE6F2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/>
                <w:sz w:val="17"/>
              </w:rPr>
              <w:t>Grupo</w:t>
            </w:r>
          </w:p>
        </w:tc>
        <w:tc>
          <w:tcPr>
            <w:tcW w:type="dxa" w:w="2494"/>
            <w:shd w:val="clear" w:color="auto" w:fill="DCE6F2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/>
                <w:sz w:val="17"/>
              </w:rPr>
              <w:t>UFs</w:t>
            </w:r>
          </w:p>
        </w:tc>
        <w:tc>
          <w:tcPr>
            <w:tcW w:type="dxa" w:w="1191"/>
            <w:shd w:val="clear" w:color="auto" w:fill="DCE6F2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/>
                <w:sz w:val="17"/>
              </w:rPr>
              <w:t>Exportação 2022–26 (US$ bi)</w:t>
            </w:r>
          </w:p>
        </w:tc>
        <w:tc>
          <w:tcPr>
            <w:tcW w:type="dxa" w:w="794"/>
            <w:shd w:val="clear" w:color="auto" w:fill="DCE6F2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/>
                <w:sz w:val="17"/>
              </w:rPr>
              <w:t>% China</w:t>
            </w:r>
          </w:p>
        </w:tc>
        <w:tc>
          <w:tcPr>
            <w:tcW w:type="dxa" w:w="907"/>
            <w:shd w:val="clear" w:color="auto" w:fill="DCE6F2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/>
                <w:sz w:val="17"/>
              </w:rPr>
              <w:t>% EUA + UE</w:t>
            </w:r>
          </w:p>
        </w:tc>
        <w:tc>
          <w:tcPr>
            <w:tcW w:type="dxa" w:w="850"/>
            <w:shd w:val="clear" w:color="auto" w:fill="DCE6F2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/>
                <w:sz w:val="17"/>
              </w:rPr>
              <w:t>% básicos</w:t>
            </w:r>
          </w:p>
        </w:tc>
        <w:tc>
          <w:tcPr>
            <w:tcW w:type="dxa" w:w="794"/>
            <w:shd w:val="clear" w:color="auto" w:fill="DCE6F2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/>
                <w:sz w:val="17"/>
              </w:rPr>
              <w:t>1º destino (média)</w:t>
            </w:r>
          </w:p>
        </w:tc>
      </w:tr>
      <w:tr>
        <w:tc>
          <w:tcPr>
            <w:tcW w:type="dxa" w:w="2041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7"/>
              </w:rPr>
              <w:t>G1 – Pauta e destinos diversificados</w:t>
            </w:r>
          </w:p>
        </w:tc>
        <w:tc>
          <w:tcPr>
            <w:tcW w:type="dxa" w:w="2494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7"/>
              </w:rPr>
              <w:t>AC, AM, BA, DF, MA, MG, MS, PE, PR, RS, SC, SP</w:t>
            </w:r>
          </w:p>
        </w:tc>
        <w:tc>
          <w:tcPr>
            <w:tcW w:type="dxa" w:w="1191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7"/>
              </w:rPr>
              <w:t>980,7</w:t>
            </w:r>
          </w:p>
        </w:tc>
        <w:tc>
          <w:tcPr>
            <w:tcW w:type="dxa" w:w="794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7"/>
              </w:rPr>
              <w:t>20%</w:t>
            </w:r>
          </w:p>
        </w:tc>
        <w:tc>
          <w:tcPr>
            <w:tcW w:type="dxa" w:w="907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7"/>
              </w:rPr>
              <w:t>23%</w:t>
            </w:r>
          </w:p>
        </w:tc>
        <w:tc>
          <w:tcPr>
            <w:tcW w:type="dxa" w:w="850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7"/>
              </w:rPr>
              <w:t>60%</w:t>
            </w:r>
          </w:p>
        </w:tc>
        <w:tc>
          <w:tcPr>
            <w:tcW w:type="dxa" w:w="794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7"/>
              </w:rPr>
              <w:t>26%</w:t>
            </w:r>
          </w:p>
        </w:tc>
      </w:tr>
      <w:tr>
        <w:tc>
          <w:tcPr>
            <w:tcW w:type="dxa" w:w="2041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7"/>
              </w:rPr>
              <w:t>G2 – Commodities concentradas na China</w:t>
            </w:r>
          </w:p>
        </w:tc>
        <w:tc>
          <w:tcPr>
            <w:tcW w:type="dxa" w:w="2494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7"/>
              </w:rPr>
              <w:t>AL, GO, MT, PA, PI, RJ, RO, RR, TO</w:t>
            </w:r>
          </w:p>
        </w:tc>
        <w:tc>
          <w:tcPr>
            <w:tcW w:type="dxa" w:w="1191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7"/>
              </w:rPr>
              <w:t>593,7</w:t>
            </w:r>
          </w:p>
        </w:tc>
        <w:tc>
          <w:tcPr>
            <w:tcW w:type="dxa" w:w="794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7"/>
              </w:rPr>
              <w:t>38%</w:t>
            </w:r>
          </w:p>
        </w:tc>
        <w:tc>
          <w:tcPr>
            <w:tcW w:type="dxa" w:w="907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7"/>
              </w:rPr>
              <w:t>20%</w:t>
            </w:r>
          </w:p>
        </w:tc>
        <w:tc>
          <w:tcPr>
            <w:tcW w:type="dxa" w:w="850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7"/>
              </w:rPr>
              <w:t>92%</w:t>
            </w:r>
          </w:p>
        </w:tc>
        <w:tc>
          <w:tcPr>
            <w:tcW w:type="dxa" w:w="794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7"/>
              </w:rPr>
              <w:t>44%</w:t>
            </w:r>
          </w:p>
        </w:tc>
      </w:tr>
      <w:tr>
        <w:tc>
          <w:tcPr>
            <w:tcW w:type="dxa" w:w="2041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7"/>
              </w:rPr>
              <w:t>G3 – Orientados a EUA e União Europeia</w:t>
            </w:r>
          </w:p>
        </w:tc>
        <w:tc>
          <w:tcPr>
            <w:tcW w:type="dxa" w:w="2494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7"/>
              </w:rPr>
              <w:t>AP, CE, ES, PB, RN, SE</w:t>
            </w:r>
          </w:p>
        </w:tc>
        <w:tc>
          <w:tcPr>
            <w:tcW w:type="dxa" w:w="1191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7"/>
              </w:rPr>
              <w:t>67,3</w:t>
            </w:r>
          </w:p>
        </w:tc>
        <w:tc>
          <w:tcPr>
            <w:tcW w:type="dxa" w:w="794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7"/>
              </w:rPr>
              <w:t>5%</w:t>
            </w:r>
          </w:p>
        </w:tc>
        <w:tc>
          <w:tcPr>
            <w:tcW w:type="dxa" w:w="907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7"/>
              </w:rPr>
              <w:t>53%</w:t>
            </w:r>
          </w:p>
        </w:tc>
        <w:tc>
          <w:tcPr>
            <w:tcW w:type="dxa" w:w="850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7"/>
              </w:rPr>
              <w:t>61%</w:t>
            </w:r>
          </w:p>
        </w:tc>
        <w:tc>
          <w:tcPr>
            <w:tcW w:type="dxa" w:w="794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7"/>
              </w:rPr>
              <w:t>28%</w:t>
            </w:r>
          </w:p>
        </w:tc>
      </w:tr>
    </w:tbl>
    <w:p>
      <w:pPr>
        <w:spacing w:after="200"/>
        <w:ind w:firstLine="0"/>
        <w:jc w:val="center"/>
      </w:pPr>
      <w:r>
        <w:rPr>
          <w:i w:val="0"/>
          <w:sz w:val="18"/>
        </w:rPr>
        <w:t>Fonte: elaborado pelo autor. Percentuais = média simples das UFs de cada grupo.</w:t>
      </w:r>
    </w:p>
    <w:p>
      <w:pPr>
        <w:spacing w:after="120"/>
        <w:jc w:val="both"/>
      </w:pPr>
      <w:r>
        <w:rPr>
          <w:i w:val="0"/>
        </w:rPr>
        <w:t>O grupo G2 concentra o maior risco: em média, 44% das vendas vão para o principal destino e 92% são produtos básicos, com casos extremos como Piauí (62% para a China) e Tocantins (59%). O G1 reúne os maiores exportadores e é o único com peso relevante do Mercosul; o G3 reúne estados menores voltados a mercados do Norte, com quase nenhuma exposição à China.</w:t>
      </w:r>
    </w:p>
    <w:p>
      <w:pPr>
        <w:keepNext/>
        <w:spacing w:after="40"/>
        <w:ind w:firstLine="0"/>
        <w:jc w:val="center"/>
      </w:pPr>
      <w:r>
        <w:rPr>
          <w:i w:val="0"/>
          <w:sz w:val="20"/>
        </w:rPr>
        <w:t>Figura 10 – Projeção das UFs nos dois primeiros componentes principais, por grupo</w:t>
      </w:r>
    </w:p>
    <w:p>
      <w:pPr>
        <w:keepNext/>
        <w:spacing w:after="4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680000" cy="312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cluster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i w:val="0"/>
          <w:sz w:val="18"/>
        </w:rPr>
        <w:t>Fonte: elaborado pelo autor.</w:t>
      </w:r>
    </w:p>
    <w:p w14:paraId="3309256C" w14:textId="46AE678B" w:rsidR="00136D11" w:rsidRPr="00B9677D" w:rsidRDefault="00136D11" w:rsidP="00BA0E35">
      <w:pPr>
        <w:pStyle w:val="Ttulo1"/>
        <w:pageBreakBefore/>
        <w:rPr>
          <w:lang w:eastAsia="pt-BR"/>
        </w:rPr>
      </w:pPr>
      <w:bookmarkStart w:id="16" w:name="_Toc74691378"/>
      <w:r>
        <w:rPr>
          <w:lang w:eastAsia="pt-BR"/>
        </w:rPr>
        <w:t>5.</w:t>
      </w:r>
      <w:r w:rsidRPr="000D402F">
        <w:rPr>
          <w:lang w:eastAsia="pt-BR"/>
        </w:rPr>
        <w:t xml:space="preserve"> </w:t>
      </w:r>
      <w:r w:rsidR="00BB58C7">
        <w:rPr>
          <w:lang w:eastAsia="pt-BR"/>
        </w:rPr>
        <w:t>Registros de Homologação</w:t>
      </w:r>
      <w:bookmarkEnd w:id="16"/>
    </w:p>
    <w:p>
      <w:pPr>
        <w:spacing w:after="120"/>
        <w:jc w:val="both"/>
      </w:pPr>
      <w:r>
        <w:rPr>
          <w:i w:val="0"/>
        </w:rPr>
        <w:t>A homologação foi feita em duas etapas: na carga, comparando os arquivos brutos do Comex Stat com a tabela fato; e na apresentação, comparando valores exibidos no painel com consultas independentes feitas em Python diretamente sobre a fonte.</w:t>
      </w:r>
    </w:p>
    <w:p>
      <w:pPr>
        <w:keepNext/>
        <w:spacing w:after="80"/>
        <w:ind w:firstLine="0"/>
        <w:jc w:val="both"/>
      </w:pPr>
      <w:r>
        <w:rPr>
          <w:b/>
          <w:sz w:val="24"/>
        </w:rPr>
        <w:t>Etapa 1 – Fonte × tabela fato</w:t>
      </w:r>
    </w:p>
    <w:p>
      <w:pPr>
        <w:keepNext/>
        <w:spacing w:after="40"/>
        <w:ind w:firstLine="0"/>
        <w:jc w:val="center"/>
      </w:pPr>
      <w:r>
        <w:rPr>
          <w:i w:val="0"/>
          <w:sz w:val="20"/>
        </w:rPr>
        <w:t>Quadro 9 – Validação automática da carga (arquivos brutos × fato)</w:t>
      </w:r>
    </w:p>
    <w:tbl>
      <w:tblPr>
        <w:tblW w:type="dxa" w:w="9072"/>
        <w:jc w:val="center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  <w:tblLook w:firstColumn="1" w:firstRow="1" w:lastColumn="0" w:lastRow="0" w:noHBand="0" w:noVBand="1" w:val="04A0"/>
      </w:tblPr>
      <w:tblGrid>
        <w:gridCol w:w="680"/>
        <w:gridCol w:w="737"/>
        <w:gridCol w:w="1814"/>
        <w:gridCol w:w="1814"/>
        <w:gridCol w:w="1701"/>
        <w:gridCol w:w="1701"/>
        <w:gridCol w:w="623"/>
      </w:tblGrid>
      <w:tr>
        <w:trPr>
          <w:tblHeader w:val="true"/>
        </w:trPr>
        <w:tc>
          <w:tcPr>
            <w:tcW w:type="dxa" w:w="680"/>
            <w:shd w:val="clear" w:color="auto" w:fill="DCE6F2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/>
                <w:sz w:val="16"/>
              </w:rPr>
              <w:t>Ano</w:t>
            </w:r>
          </w:p>
        </w:tc>
        <w:tc>
          <w:tcPr>
            <w:tcW w:type="dxa" w:w="737"/>
            <w:shd w:val="clear" w:color="auto" w:fill="DCE6F2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/>
                <w:sz w:val="16"/>
              </w:rPr>
              <w:t>Fluxo</w:t>
            </w:r>
          </w:p>
        </w:tc>
        <w:tc>
          <w:tcPr>
            <w:tcW w:type="dxa" w:w="1814"/>
            <w:shd w:val="clear" w:color="auto" w:fill="DCE6F2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/>
                <w:sz w:val="16"/>
              </w:rPr>
              <w:t>VL_FOB bruto (US$)</w:t>
            </w:r>
          </w:p>
        </w:tc>
        <w:tc>
          <w:tcPr>
            <w:tcW w:type="dxa" w:w="1814"/>
            <w:shd w:val="clear" w:color="auto" w:fill="DCE6F2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/>
                <w:sz w:val="16"/>
              </w:rPr>
              <w:t>VL_FOB fato (US$)</w:t>
            </w:r>
          </w:p>
        </w:tc>
        <w:tc>
          <w:tcPr>
            <w:tcW w:type="dxa" w:w="1701"/>
            <w:shd w:val="clear" w:color="auto" w:fill="DCE6F2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/>
                <w:sz w:val="16"/>
              </w:rPr>
              <w:t>KG bruto</w:t>
            </w:r>
          </w:p>
        </w:tc>
        <w:tc>
          <w:tcPr>
            <w:tcW w:type="dxa" w:w="1701"/>
            <w:shd w:val="clear" w:color="auto" w:fill="DCE6F2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/>
                <w:sz w:val="16"/>
              </w:rPr>
              <w:t>KG fato</w:t>
            </w:r>
          </w:p>
        </w:tc>
        <w:tc>
          <w:tcPr>
            <w:tcW w:type="dxa" w:w="624"/>
            <w:shd w:val="clear" w:color="auto" w:fill="DCE6F2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/>
                <w:sz w:val="16"/>
              </w:rPr>
              <w:t>OK</w:t>
            </w:r>
          </w:p>
        </w:tc>
      </w:tr>
      <w:tr>
        <w:tc>
          <w:tcPr>
            <w:tcW w:type="dxa" w:w="680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2022</w:t>
            </w:r>
          </w:p>
        </w:tc>
        <w:tc>
          <w:tcPr>
            <w:tcW w:type="dxa" w:w="737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EXP</w:t>
            </w:r>
          </w:p>
        </w:tc>
        <w:tc>
          <w:tcPr>
            <w:tcW w:type="dxa" w:w="1814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334.136.038.220</w:t>
            </w:r>
          </w:p>
        </w:tc>
        <w:tc>
          <w:tcPr>
            <w:tcW w:type="dxa" w:w="1814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334.136.038.220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740.648.017.304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740.648.017.304</w:t>
            </w:r>
          </w:p>
        </w:tc>
        <w:tc>
          <w:tcPr>
            <w:tcW w:type="dxa" w:w="624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Sim</w:t>
            </w:r>
          </w:p>
        </w:tc>
      </w:tr>
      <w:tr>
        <w:tc>
          <w:tcPr>
            <w:tcW w:type="dxa" w:w="680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2022</w:t>
            </w:r>
          </w:p>
        </w:tc>
        <w:tc>
          <w:tcPr>
            <w:tcW w:type="dxa" w:w="737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IMP</w:t>
            </w:r>
          </w:p>
        </w:tc>
        <w:tc>
          <w:tcPr>
            <w:tcW w:type="dxa" w:w="1814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272.610.686.946</w:t>
            </w:r>
          </w:p>
        </w:tc>
        <w:tc>
          <w:tcPr>
            <w:tcW w:type="dxa" w:w="1814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272.610.686.946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173.484.872.428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173.484.872.428</w:t>
            </w:r>
          </w:p>
        </w:tc>
        <w:tc>
          <w:tcPr>
            <w:tcW w:type="dxa" w:w="624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Sim</w:t>
            </w:r>
          </w:p>
        </w:tc>
      </w:tr>
      <w:tr>
        <w:tc>
          <w:tcPr>
            <w:tcW w:type="dxa" w:w="680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2023</w:t>
            </w:r>
          </w:p>
        </w:tc>
        <w:tc>
          <w:tcPr>
            <w:tcW w:type="dxa" w:w="737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EXP</w:t>
            </w:r>
          </w:p>
        </w:tc>
        <w:tc>
          <w:tcPr>
            <w:tcW w:type="dxa" w:w="1814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339.695.766.008</w:t>
            </w:r>
          </w:p>
        </w:tc>
        <w:tc>
          <w:tcPr>
            <w:tcW w:type="dxa" w:w="1814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339.695.766.008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801.976.221.068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801.976.221.068</w:t>
            </w:r>
          </w:p>
        </w:tc>
        <w:tc>
          <w:tcPr>
            <w:tcW w:type="dxa" w:w="624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Sim</w:t>
            </w:r>
          </w:p>
        </w:tc>
      </w:tr>
      <w:tr>
        <w:tc>
          <w:tcPr>
            <w:tcW w:type="dxa" w:w="680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2023</w:t>
            </w:r>
          </w:p>
        </w:tc>
        <w:tc>
          <w:tcPr>
            <w:tcW w:type="dxa" w:w="737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IMP</w:t>
            </w:r>
          </w:p>
        </w:tc>
        <w:tc>
          <w:tcPr>
            <w:tcW w:type="dxa" w:w="1814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240.792.839.224</w:t>
            </w:r>
          </w:p>
        </w:tc>
        <w:tc>
          <w:tcPr>
            <w:tcW w:type="dxa" w:w="1814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240.792.839.224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169.352.712.990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169.352.712.990</w:t>
            </w:r>
          </w:p>
        </w:tc>
        <w:tc>
          <w:tcPr>
            <w:tcW w:type="dxa" w:w="624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Sim</w:t>
            </w:r>
          </w:p>
        </w:tc>
      </w:tr>
      <w:tr>
        <w:tc>
          <w:tcPr>
            <w:tcW w:type="dxa" w:w="680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2024</w:t>
            </w:r>
          </w:p>
        </w:tc>
        <w:tc>
          <w:tcPr>
            <w:tcW w:type="dxa" w:w="737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EXP</w:t>
            </w:r>
          </w:p>
        </w:tc>
        <w:tc>
          <w:tcPr>
            <w:tcW w:type="dxa" w:w="1814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337.046.161.710</w:t>
            </w:r>
          </w:p>
        </w:tc>
        <w:tc>
          <w:tcPr>
            <w:tcW w:type="dxa" w:w="1814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337.046.161.710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809.834.588.105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809.834.588.105</w:t>
            </w:r>
          </w:p>
        </w:tc>
        <w:tc>
          <w:tcPr>
            <w:tcW w:type="dxa" w:w="624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Sim</w:t>
            </w:r>
          </w:p>
        </w:tc>
      </w:tr>
      <w:tr>
        <w:tc>
          <w:tcPr>
            <w:tcW w:type="dxa" w:w="680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2024</w:t>
            </w:r>
          </w:p>
        </w:tc>
        <w:tc>
          <w:tcPr>
            <w:tcW w:type="dxa" w:w="737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IMP</w:t>
            </w:r>
          </w:p>
        </w:tc>
        <w:tc>
          <w:tcPr>
            <w:tcW w:type="dxa" w:w="1814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262.869.606.174</w:t>
            </w:r>
          </w:p>
        </w:tc>
        <w:tc>
          <w:tcPr>
            <w:tcW w:type="dxa" w:w="1814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262.869.606.174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185.124.462.140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185.124.462.140</w:t>
            </w:r>
          </w:p>
        </w:tc>
        <w:tc>
          <w:tcPr>
            <w:tcW w:type="dxa" w:w="624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Sim</w:t>
            </w:r>
          </w:p>
        </w:tc>
      </w:tr>
      <w:tr>
        <w:tc>
          <w:tcPr>
            <w:tcW w:type="dxa" w:w="680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2025</w:t>
            </w:r>
          </w:p>
        </w:tc>
        <w:tc>
          <w:tcPr>
            <w:tcW w:type="dxa" w:w="737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EXP</w:t>
            </w:r>
          </w:p>
        </w:tc>
        <w:tc>
          <w:tcPr>
            <w:tcW w:type="dxa" w:w="1814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348.278.462.500</w:t>
            </w:r>
          </w:p>
        </w:tc>
        <w:tc>
          <w:tcPr>
            <w:tcW w:type="dxa" w:w="1814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348.278.462.500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859.827.661.441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859.827.661.441</w:t>
            </w:r>
          </w:p>
        </w:tc>
        <w:tc>
          <w:tcPr>
            <w:tcW w:type="dxa" w:w="624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Sim</w:t>
            </w:r>
          </w:p>
        </w:tc>
      </w:tr>
      <w:tr>
        <w:tc>
          <w:tcPr>
            <w:tcW w:type="dxa" w:w="680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2025</w:t>
            </w:r>
          </w:p>
        </w:tc>
        <w:tc>
          <w:tcPr>
            <w:tcW w:type="dxa" w:w="737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IMP</w:t>
            </w:r>
          </w:p>
        </w:tc>
        <w:tc>
          <w:tcPr>
            <w:tcW w:type="dxa" w:w="1814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280.208.433.825</w:t>
            </w:r>
          </w:p>
        </w:tc>
        <w:tc>
          <w:tcPr>
            <w:tcW w:type="dxa" w:w="1814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280.208.433.825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186.874.476.050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186.874.476.050</w:t>
            </w:r>
          </w:p>
        </w:tc>
        <w:tc>
          <w:tcPr>
            <w:tcW w:type="dxa" w:w="624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Sim</w:t>
            </w:r>
          </w:p>
        </w:tc>
      </w:tr>
      <w:tr>
        <w:tc>
          <w:tcPr>
            <w:tcW w:type="dxa" w:w="680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2026</w:t>
            </w:r>
          </w:p>
        </w:tc>
        <w:tc>
          <w:tcPr>
            <w:tcW w:type="dxa" w:w="737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EXP</w:t>
            </w:r>
          </w:p>
        </w:tc>
        <w:tc>
          <w:tcPr>
            <w:tcW w:type="dxa" w:w="1814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284.654.368.793</w:t>
            </w:r>
          </w:p>
        </w:tc>
        <w:tc>
          <w:tcPr>
            <w:tcW w:type="dxa" w:w="1814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284.654.368.793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642.350.469.728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642.350.469.728</w:t>
            </w:r>
          </w:p>
        </w:tc>
        <w:tc>
          <w:tcPr>
            <w:tcW w:type="dxa" w:w="624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Sim</w:t>
            </w:r>
          </w:p>
        </w:tc>
      </w:tr>
      <w:tr>
        <w:tc>
          <w:tcPr>
            <w:tcW w:type="dxa" w:w="680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2026</w:t>
            </w:r>
          </w:p>
        </w:tc>
        <w:tc>
          <w:tcPr>
            <w:tcW w:type="dxa" w:w="737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IMP</w:t>
            </w:r>
          </w:p>
        </w:tc>
        <w:tc>
          <w:tcPr>
            <w:tcW w:type="dxa" w:w="1814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222.258.509.601</w:t>
            </w:r>
          </w:p>
        </w:tc>
        <w:tc>
          <w:tcPr>
            <w:tcW w:type="dxa" w:w="1814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222.258.509.601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130.846.746.155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130.846.746.155</w:t>
            </w:r>
          </w:p>
        </w:tc>
        <w:tc>
          <w:tcPr>
            <w:tcW w:type="dxa" w:w="624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Sim</w:t>
            </w:r>
          </w:p>
        </w:tc>
      </w:tr>
    </w:tbl>
    <w:p>
      <w:pPr>
        <w:spacing w:after="200"/>
        <w:ind w:firstLine="0"/>
        <w:jc w:val="center"/>
      </w:pPr>
      <w:r>
        <w:rPr>
          <w:i w:val="0"/>
          <w:sz w:val="18"/>
        </w:rPr>
        <w:t>Fonte: execução do script etl_comex.py (Figura 4).</w:t>
      </w:r>
    </w:p>
    <w:p>
      <w:pPr>
        <w:keepNext/>
        <w:spacing w:after="80"/>
        <w:ind w:firstLine="0"/>
        <w:jc w:val="both"/>
      </w:pPr>
      <w:r>
        <w:rPr>
          <w:b/>
          <w:sz w:val="24"/>
        </w:rPr>
        <w:t>Etapa 2 – Painel × consulta independente</w:t>
      </w:r>
    </w:p>
    <w:p>
      <w:pPr>
        <w:spacing w:after="120"/>
        <w:jc w:val="both"/>
      </w:pPr>
      <w:r>
        <w:rPr>
          <w:i w:val="0"/>
        </w:rPr>
        <w:t>Os valores do Quadro 10 foram lidos no Power BI e conferidos com consultas em Python sobre os mesmos arquivos, aplicando os filtros do painel (exclusão das UFs EX/ND e dos países 100/105).</w:t>
      </w:r>
    </w:p>
    <w:p>
      <w:pPr>
        <w:keepNext/>
        <w:spacing w:after="40"/>
        <w:ind w:firstLine="0"/>
        <w:jc w:val="center"/>
      </w:pPr>
      <w:r>
        <w:rPr>
          <w:i w:val="0"/>
          <w:sz w:val="20"/>
        </w:rPr>
        <w:t>Quadro 10 – Conferência de valores do painel com a fonte</w:t>
      </w:r>
    </w:p>
    <w:tbl>
      <w:tblPr>
        <w:tblW w:type="dxa" w:w="9072"/>
        <w:jc w:val="center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  <w:tblLook w:firstColumn="1" w:firstRow="1" w:lastColumn="0" w:lastRow="0" w:noHBand="0" w:noVBand="1" w:val="04A0"/>
      </w:tblPr>
      <w:tblGrid>
        <w:gridCol w:w="2041"/>
        <w:gridCol w:w="1871"/>
        <w:gridCol w:w="1927"/>
        <w:gridCol w:w="2097"/>
        <w:gridCol w:w="1134"/>
      </w:tblGrid>
      <w:tr>
        <w:trPr>
          <w:tblHeader w:val="true"/>
        </w:trPr>
        <w:tc>
          <w:tcPr>
            <w:tcW w:type="dxa" w:w="2041"/>
            <w:shd w:val="clear" w:color="auto" w:fill="DCE6F2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/>
                <w:sz w:val="16"/>
              </w:rPr>
              <w:t>Verificação</w:t>
            </w:r>
          </w:p>
        </w:tc>
        <w:tc>
          <w:tcPr>
            <w:tcW w:type="dxa" w:w="1871"/>
            <w:shd w:val="clear" w:color="auto" w:fill="DCE6F2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/>
                <w:sz w:val="16"/>
              </w:rPr>
              <w:t>Página / filtro</w:t>
            </w:r>
          </w:p>
        </w:tc>
        <w:tc>
          <w:tcPr>
            <w:tcW w:type="dxa" w:w="1928"/>
            <w:shd w:val="clear" w:color="auto" w:fill="DCE6F2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/>
                <w:sz w:val="16"/>
              </w:rPr>
              <w:t>Valor no painel</w:t>
            </w:r>
          </w:p>
        </w:tc>
        <w:tc>
          <w:tcPr>
            <w:tcW w:type="dxa" w:w="2098"/>
            <w:shd w:val="clear" w:color="auto" w:fill="DCE6F2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/>
                <w:sz w:val="16"/>
              </w:rPr>
              <w:t>Consulta Python</w:t>
            </w:r>
          </w:p>
        </w:tc>
        <w:tc>
          <w:tcPr>
            <w:tcW w:type="dxa" w:w="1134"/>
            <w:shd w:val="clear" w:color="auto" w:fill="DCE6F2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/>
                <w:sz w:val="16"/>
              </w:rPr>
              <w:t>Resultado</w:t>
            </w:r>
          </w:p>
        </w:tc>
      </w:tr>
      <w:tr>
        <w:tc>
          <w:tcPr>
            <w:tcW w:type="dxa" w:w="2041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Exportação 2025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Estratégico, ano 2025</w:t>
            </w:r>
          </w:p>
        </w:tc>
        <w:tc>
          <w:tcPr>
            <w:tcW w:type="dxa" w:w="1928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US$ 347,9 bi</w:t>
            </w:r>
          </w:p>
        </w:tc>
        <w:tc>
          <w:tcPr>
            <w:tcW w:type="dxa" w:w="2098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US$ 347,90 bi</w:t>
            </w:r>
          </w:p>
        </w:tc>
        <w:tc>
          <w:tcPr>
            <w:tcW w:type="dxa" w:w="1134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Igual</w:t>
            </w:r>
          </w:p>
        </w:tc>
      </w:tr>
      <w:tr>
        <w:tc>
          <w:tcPr>
            <w:tcW w:type="dxa" w:w="2041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Importação 2025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Estratégico, ano 2025</w:t>
            </w:r>
          </w:p>
        </w:tc>
        <w:tc>
          <w:tcPr>
            <w:tcW w:type="dxa" w:w="1928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US$ 279,6 bi</w:t>
            </w:r>
          </w:p>
        </w:tc>
        <w:tc>
          <w:tcPr>
            <w:tcW w:type="dxa" w:w="2098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US$ 279,62 bi</w:t>
            </w:r>
          </w:p>
        </w:tc>
        <w:tc>
          <w:tcPr>
            <w:tcW w:type="dxa" w:w="1134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Igual</w:t>
            </w:r>
          </w:p>
        </w:tc>
      </w:tr>
      <w:tr>
        <w:tc>
          <w:tcPr>
            <w:tcW w:type="dxa" w:w="2041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Var % exportação 2025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Estratégico, ano 2025</w:t>
            </w:r>
          </w:p>
        </w:tc>
        <w:tc>
          <w:tcPr>
            <w:tcW w:type="dxa" w:w="1928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3,4%</w:t>
            </w:r>
          </w:p>
        </w:tc>
        <w:tc>
          <w:tcPr>
            <w:tcW w:type="dxa" w:w="2098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3,40% (347,90 ÷ 336,47)</w:t>
            </w:r>
          </w:p>
        </w:tc>
        <w:tc>
          <w:tcPr>
            <w:tcW w:type="dxa" w:w="1134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Igual</w:t>
            </w:r>
          </w:p>
        </w:tc>
      </w:tr>
      <w:tr>
        <w:tc>
          <w:tcPr>
            <w:tcW w:type="dxa" w:w="2041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Exportação 2022–2026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Estratégico, todos os anos</w:t>
            </w:r>
          </w:p>
        </w:tc>
        <w:tc>
          <w:tcPr>
            <w:tcW w:type="dxa" w:w="1928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US$ 1.641,6 bi</w:t>
            </w:r>
          </w:p>
        </w:tc>
        <w:tc>
          <w:tcPr>
            <w:tcW w:type="dxa" w:w="2098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US$ 1.641,6 bi</w:t>
            </w:r>
          </w:p>
        </w:tc>
        <w:tc>
          <w:tcPr>
            <w:tcW w:type="dxa" w:w="1134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Igual</w:t>
            </w:r>
          </w:p>
        </w:tc>
      </w:tr>
      <w:tr>
        <w:tc>
          <w:tcPr>
            <w:tcW w:type="dxa" w:w="2041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Exportação por ano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Tático, matriz UF × ano</w:t>
            </w:r>
          </w:p>
        </w:tc>
        <w:tc>
          <w:tcPr>
            <w:tcW w:type="dxa" w:w="1928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334,0 / 339,3 / 336,5 / 347,9 / 284,0</w:t>
            </w:r>
          </w:p>
        </w:tc>
        <w:tc>
          <w:tcPr>
            <w:tcW w:type="dxa" w:w="2098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333,99 / 339,31 / 336,47 / 347,90 / 283,97</w:t>
            </w:r>
          </w:p>
        </w:tc>
        <w:tc>
          <w:tcPr>
            <w:tcW w:type="dxa" w:w="1134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Igual</w:t>
            </w:r>
          </w:p>
        </w:tc>
      </w:tr>
      <w:tr>
        <w:tc>
          <w:tcPr>
            <w:tcW w:type="dxa" w:w="2041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MT – exportação, importação e peso 2025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Operacional, UF = MT</w:t>
            </w:r>
          </w:p>
        </w:tc>
        <w:tc>
          <w:tcPr>
            <w:tcW w:type="dxa" w:w="1928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27.464,6 / 2.599,9 mi; 63.819.684 t</w:t>
            </w:r>
          </w:p>
        </w:tc>
        <w:tc>
          <w:tcPr>
            <w:tcW w:type="dxa" w:w="2098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27.464,6 / 2.599,9 mi; 63.819.684 t</w:t>
            </w:r>
          </w:p>
        </w:tc>
        <w:tc>
          <w:tcPr>
            <w:tcW w:type="dxa" w:w="1134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Igual</w:t>
            </w:r>
          </w:p>
        </w:tc>
      </w:tr>
      <w:tr>
        <w:tc>
          <w:tcPr>
            <w:tcW w:type="dxa" w:w="2041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TO – exportação, importação e peso 2025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Operacional, UF = TO</w:t>
            </w:r>
          </w:p>
        </w:tc>
        <w:tc>
          <w:tcPr>
            <w:tcW w:type="dxa" w:w="1928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2.959,5 / 348,0 mi; 5.649.893 t</w:t>
            </w:r>
          </w:p>
        </w:tc>
        <w:tc>
          <w:tcPr>
            <w:tcW w:type="dxa" w:w="2098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2.959,5 / 348,0 mi; 5.649.893 t</w:t>
            </w:r>
          </w:p>
        </w:tc>
        <w:tc>
          <w:tcPr>
            <w:tcW w:type="dxa" w:w="1134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Igual</w:t>
            </w:r>
          </w:p>
        </w:tc>
      </w:tr>
    </w:tbl>
    <w:p>
      <w:pPr>
        <w:spacing w:after="200"/>
        <w:ind w:firstLine="0"/>
        <w:jc w:val="center"/>
      </w:pPr>
      <w:r>
        <w:rPr>
          <w:i w:val="0"/>
          <w:sz w:val="18"/>
        </w:rPr>
        <w:t>Fonte: elaborado pelo autor.</w:t>
      </w:r>
    </w:p>
    <w:p>
      <w:pPr>
        <w:keepNext/>
        <w:spacing w:after="40"/>
        <w:ind w:firstLine="0"/>
        <w:jc w:val="center"/>
      </w:pPr>
      <w:r>
        <w:rPr>
          <w:i w:val="0"/>
          <w:sz w:val="20"/>
        </w:rPr>
        <w:t>Figura 11 – Registro de homologação: Painel Operacional, Tocantins, 2025</w:t>
      </w:r>
    </w:p>
    <w:p>
      <w:pPr>
        <w:keepNext/>
        <w:spacing w:after="4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02361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homologacao_operacional_TO_2025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236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i w:val="0"/>
          <w:sz w:val="18"/>
        </w:rPr>
        <w:t>Fonte: elaborado pelo autor.</w:t>
      </w:r>
    </w:p>
    <w:p>
      <w:pPr>
        <w:spacing w:after="120"/>
        <w:jc w:val="both"/>
      </w:pPr>
      <w:r>
        <w:rPr>
          <w:i w:val="0"/>
        </w:rPr>
        <w:t>Como verificação complementar, recomenda-se consultar os mesmos recortes no site do Comex Stat (comexstat.mdic.gov.br), lembrando que a consulta pública inclui todos os códigos de país e UF, sem os filtros aplicados no painel.</w:t>
      </w:r>
    </w:p>
    <w:p w14:paraId="61B20DB7" w14:textId="5318764B" w:rsidR="001A29F1" w:rsidRPr="003A1AD4" w:rsidRDefault="00BB58C7" w:rsidP="00BA0E35">
      <w:pPr>
        <w:pStyle w:val="Ttulo1"/>
        <w:pageBreakBefore/>
        <w:rPr>
          <w:rFonts w:cs="Times New Roman"/>
          <w:lang w:eastAsia="pt-BR"/>
        </w:rPr>
      </w:pPr>
      <w:bookmarkStart w:id="17" w:name="_Toc74691379"/>
      <w:r>
        <w:rPr>
          <w:lang w:eastAsia="pt-BR"/>
        </w:rPr>
        <w:t>6. Conclusões</w:t>
      </w:r>
      <w:bookmarkEnd w:id="17"/>
    </w:p>
    <w:p>
      <w:pPr>
        <w:keepNext/>
        <w:spacing w:after="80"/>
        <w:ind w:firstLine="0"/>
        <w:jc w:val="both"/>
      </w:pPr>
      <w:r>
        <w:rPr>
          <w:b/>
          <w:sz w:val="24"/>
        </w:rPr>
        <w:t>Análise crítica</w:t>
      </w:r>
    </w:p>
    <w:p>
      <w:pPr>
        <w:spacing w:after="120"/>
        <w:jc w:val="both"/>
      </w:pPr>
      <w:r>
        <w:rPr>
          <w:i w:val="0"/>
        </w:rPr>
        <w:t>O principal achado é que a inserção externa dos estados brasileiros é desigual e, em boa parte, concentrada: nove UFs dependem de commodities vendidas a poucos destinos, sobretudo à China.</w:t>
      </w:r>
    </w:p>
    <w:p>
      <w:pPr>
        <w:spacing w:after="60"/>
        <w:ind w:left="567" w:hanging="283"/>
        <w:jc w:val="both"/>
      </w:pPr>
      <w:r>
        <w:t xml:space="preserve">–  </w:t>
      </w:r>
      <w:r>
        <w:rPr>
          <w:b/>
        </w:rPr>
        <w:t xml:space="preserve">Dependência da China. </w:t>
      </w:r>
      <w:r>
        <w:t>A China é o principal destino em 13 das 27 UFs em 2025. No grupo G2, quase metade do valor exportado vai para um único país; em 2025, US$ 52,2 bi dos US$ 124,8 bi exportados pelo grupo (42%) foram para a China.</w:t>
      </w:r>
    </w:p>
    <w:p>
      <w:pPr>
        <w:spacing w:after="60"/>
        <w:ind w:left="567" w:hanging="283"/>
        <w:jc w:val="both"/>
      </w:pPr>
      <w:r>
        <w:t xml:space="preserve">–  </w:t>
      </w:r>
      <w:r>
        <w:rPr>
          <w:b/>
        </w:rPr>
        <w:t xml:space="preserve">Pauta primária. </w:t>
      </w:r>
      <w:r>
        <w:t>Produtos básicos representam de 60% a 92% das exportações, conforme o grupo, e o preço médio exportado fica abaixo de 1 US$/kg em todos eles, o que indica baixo valor agregado.</w:t>
      </w:r>
    </w:p>
    <w:p>
      <w:pPr>
        <w:spacing w:after="60"/>
        <w:ind w:left="567" w:hanging="283"/>
        <w:jc w:val="both"/>
      </w:pPr>
      <w:r>
        <w:t xml:space="preserve">–  </w:t>
      </w:r>
      <w:r>
        <w:rPr>
          <w:b/>
        </w:rPr>
        <w:t xml:space="preserve">Diversificação acompanha escala. </w:t>
      </w:r>
      <w:r>
        <w:t>As UFs mais industrializadas (SP, SC, RS, PR) têm mais parceiros e mais produtos e são as únicas em que o Mercosul pesa (10% a 14%).</w:t>
      </w:r>
    </w:p>
    <w:p>
      <w:pPr>
        <w:spacing w:after="60"/>
        <w:ind w:left="567" w:hanging="283"/>
        <w:jc w:val="both"/>
      </w:pPr>
      <w:r>
        <w:t xml:space="preserve">–  </w:t>
      </w:r>
      <w:r>
        <w:rPr>
          <w:b/>
        </w:rPr>
        <w:t xml:space="preserve">Nichos voltados ao Norte. </w:t>
      </w:r>
      <w:r>
        <w:t>ES, CE, SE, PB, RN e AP exportam sobretudo para EUA e União Europeia e ficam expostos a barreiras tarifárias e sanitárias desses mercados.</w:t>
      </w:r>
    </w:p>
    <w:p>
      <w:pPr>
        <w:spacing w:after="60"/>
        <w:ind w:left="567" w:hanging="283"/>
        <w:jc w:val="both"/>
      </w:pPr>
      <w:r>
        <w:t xml:space="preserve">–  </w:t>
      </w:r>
      <w:r>
        <w:rPr>
          <w:b/>
        </w:rPr>
        <w:t xml:space="preserve">Sazonalidade e crescimento. </w:t>
      </w:r>
      <w:r>
        <w:t>As exportações seguem o calendário da safra e cresceram 10,3% em jan–set/2026 sobre o mesmo período de 2025.</w:t>
      </w:r>
    </w:p>
    <w:p>
      <w:pPr>
        <w:spacing w:after="120"/>
        <w:jc w:val="both"/>
      </w:pPr>
      <w:r>
        <w:rPr>
          <w:i w:val="0"/>
        </w:rPr>
        <w:t>No desenvolvimento, a maior parte do esforço esteve na preparação dos dados: códigos administrativos, codificação Latin-1, zeros à esquerda nos códigos SH e convenções de separador decimal entre Python e o Power BI em português. A validação automática dos totais no ETL deu segurança para todas as etapas seguintes.</w:t>
      </w:r>
    </w:p>
    <w:p>
      <w:pPr>
        <w:keepNext/>
        <w:spacing w:after="80"/>
        <w:ind w:firstLine="0"/>
        <w:jc w:val="both"/>
      </w:pPr>
      <w:r>
        <w:rPr>
          <w:b/>
          <w:sz w:val="24"/>
        </w:rPr>
        <w:t>Proposta de intervenção</w:t>
      </w:r>
    </w:p>
    <w:p>
      <w:pPr>
        <w:keepNext/>
        <w:spacing w:after="40"/>
        <w:ind w:firstLine="0"/>
        <w:jc w:val="center"/>
      </w:pPr>
      <w:r>
        <w:rPr>
          <w:i w:val="0"/>
          <w:sz w:val="20"/>
        </w:rPr>
        <w:t>Quadro 11 – Proposta de intervenção por grupo de UFs</w:t>
      </w:r>
    </w:p>
    <w:tbl>
      <w:tblPr>
        <w:tblW w:type="dxa" w:w="9072"/>
        <w:jc w:val="center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  <w:tblLook w:firstColumn="1" w:firstRow="1" w:lastColumn="0" w:lastRow="0" w:noHBand="0" w:noVBand="1" w:val="04A0"/>
      </w:tblPr>
      <w:tblGrid>
        <w:gridCol w:w="1814"/>
        <w:gridCol w:w="2041"/>
        <w:gridCol w:w="3175"/>
        <w:gridCol w:w="2041"/>
      </w:tblGrid>
      <w:tr>
        <w:trPr>
          <w:tblHeader w:val="true"/>
        </w:trPr>
        <w:tc>
          <w:tcPr>
            <w:tcW w:type="dxa" w:w="1814"/>
            <w:shd w:val="clear" w:color="auto" w:fill="DCE6F2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/>
                <w:sz w:val="17"/>
              </w:rPr>
              <w:t>Grupo</w:t>
            </w:r>
          </w:p>
        </w:tc>
        <w:tc>
          <w:tcPr>
            <w:tcW w:type="dxa" w:w="2041"/>
            <w:shd w:val="clear" w:color="auto" w:fill="DCE6F2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/>
                <w:sz w:val="17"/>
              </w:rPr>
              <w:t>Problema</w:t>
            </w:r>
          </w:p>
        </w:tc>
        <w:tc>
          <w:tcPr>
            <w:tcW w:type="dxa" w:w="3175"/>
            <w:shd w:val="clear" w:color="auto" w:fill="DCE6F2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/>
                <w:sz w:val="17"/>
              </w:rPr>
              <w:t>Ações propostas</w:t>
            </w:r>
          </w:p>
        </w:tc>
        <w:tc>
          <w:tcPr>
            <w:tcW w:type="dxa" w:w="2041"/>
            <w:shd w:val="clear" w:color="auto" w:fill="DCE6F2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/>
                <w:sz w:val="17"/>
              </w:rPr>
              <w:t>Indicador de acompanhamento</w:t>
            </w:r>
          </w:p>
        </w:tc>
      </w:tr>
      <w:tr>
        <w:tc>
          <w:tcPr>
            <w:tcW w:type="dxa" w:w="1814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/>
                <w:sz w:val="17"/>
              </w:rPr>
              <w:t>G2 – Commodities concentradas na China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7"/>
              </w:rPr>
              <w:t>44% das vendas para o 1º destino; 92% de produtos básicos</w:t>
            </w:r>
          </w:p>
        </w:tc>
        <w:tc>
          <w:tcPr>
            <w:tcW w:type="dxa" w:w="3175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7"/>
              </w:rPr>
              <w:t>Prospecção de mercados alternativos (Sudeste Asiático, Oriente Médio, Índia); incentivo ao primeiro processamento local (farelo, óleo, carne processada)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7"/>
              </w:rPr>
              <w:t>% Principal destino ≤ 35% em 3 anos; aumento do preço médio (US$/kg)</w:t>
            </w:r>
          </w:p>
        </w:tc>
      </w:tr>
      <w:tr>
        <w:tc>
          <w:tcPr>
            <w:tcW w:type="dxa" w:w="1814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/>
                <w:sz w:val="17"/>
              </w:rPr>
              <w:t>G1 – Pauta e destinos diversificados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7"/>
              </w:rPr>
              <w:t>Mercosul vulnerável a crises regionais</w:t>
            </w:r>
          </w:p>
        </w:tc>
        <w:tc>
          <w:tcPr>
            <w:tcW w:type="dxa" w:w="3175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7"/>
              </w:rPr>
              <w:t>Uso do acordo Mercosul–UE para ampliar manufaturados; internacionalização de pequenas e médias empresas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7"/>
              </w:rPr>
              <w:t>Crescimento da exportação para a UE; nº de parceiros</w:t>
            </w:r>
          </w:p>
        </w:tc>
      </w:tr>
      <w:tr>
        <w:tc>
          <w:tcPr>
            <w:tcW w:type="dxa" w:w="1814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/>
                <w:sz w:val="17"/>
              </w:rPr>
              <w:t>G3 – Orientados a EUA e UE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7"/>
              </w:rPr>
              <w:t>Dependência de dois mercados e de barreiras sanitárias</w:t>
            </w:r>
          </w:p>
        </w:tc>
        <w:tc>
          <w:tcPr>
            <w:tcW w:type="dxa" w:w="3175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7"/>
              </w:rPr>
              <w:t>Certificação sanitária e de origem; abertura de mercados na Ásia e América Latina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7"/>
              </w:rPr>
              <w:t>Participação EUA + UE abaixo de 50% em SE e CE</w:t>
            </w:r>
          </w:p>
        </w:tc>
      </w:tr>
      <w:tr>
        <w:tc>
          <w:tcPr>
            <w:tcW w:type="dxa" w:w="1814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/>
                <w:sz w:val="17"/>
              </w:rPr>
              <w:t>Todas as UFs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7"/>
              </w:rPr>
              <w:t>Falta de alerta antecipado</w:t>
            </w:r>
          </w:p>
        </w:tc>
        <w:tc>
          <w:tcPr>
            <w:tcW w:type="dxa" w:w="3175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7"/>
              </w:rPr>
              <w:t>Monitoramento mensal com o painel; desvio acima de 10% entre real e previsto dispara análise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7"/>
              </w:rPr>
              <w:t>Diferença real × previsto (Análises Avançadas)</w:t>
            </w:r>
          </w:p>
        </w:tc>
      </w:tr>
    </w:tbl>
    <w:p>
      <w:pPr>
        <w:spacing w:after="200"/>
        <w:ind w:firstLine="0"/>
        <w:jc w:val="center"/>
      </w:pPr>
      <w:r>
        <w:rPr>
          <w:i w:val="0"/>
          <w:sz w:val="18"/>
        </w:rPr>
        <w:t>Fonte: elaborado pelo autor.</w:t>
      </w:r>
    </w:p>
    <w:p>
      <w:pPr>
        <w:spacing w:after="120"/>
        <w:jc w:val="both"/>
      </w:pPr>
      <w:r>
        <w:rPr>
          <w:i w:val="0"/>
        </w:rPr>
        <w:t>A prioridade é o grupo G2, que reúne US$ 594 bi exportados no período e a maior concentração por destino: uma queda de 10% nas compras chinesas retiraria cerca de US$ 5,2 bi por ano das exportações desse grupo.</w:t>
      </w:r>
    </w:p>
    <w:p>
      <w:pPr>
        <w:keepNext/>
        <w:spacing w:after="80"/>
        <w:ind w:firstLine="0"/>
        <w:jc w:val="both"/>
      </w:pPr>
      <w:r>
        <w:rPr>
          <w:b/>
          <w:sz w:val="24"/>
        </w:rPr>
        <w:t>Lições aprendidas</w:t>
      </w:r>
    </w:p>
    <w:p>
      <w:pPr>
        <w:spacing w:after="60"/>
        <w:ind w:left="567" w:hanging="283"/>
        <w:jc w:val="both"/>
      </w:pPr>
      <w:r>
        <w:t xml:space="preserve">–  </w:t>
      </w:r>
      <w:r>
        <w:rPr>
          <w:b/>
        </w:rPr>
        <w:t xml:space="preserve">Simplificar o escopo cedo. </w:t>
      </w:r>
      <w:r>
        <w:t>O tema inicial (Brasil × Portugal/UE com Comex Stat e Eurostat) exigiria harmonizar NCM e CN8; usar uma única fonte oficial reduziu o risco sem perder relevância.</w:t>
      </w:r>
    </w:p>
    <w:p>
      <w:pPr>
        <w:spacing w:after="60"/>
        <w:ind w:left="567" w:hanging="283"/>
        <w:jc w:val="both"/>
      </w:pPr>
      <w:r>
        <w:t xml:space="preserve">–  </w:t>
      </w:r>
      <w:r>
        <w:rPr>
          <w:b/>
        </w:rPr>
        <w:t xml:space="preserve">Validar o ETL automaticamente. </w:t>
      </w:r>
      <w:r>
        <w:t>Comparar totais por ano e fluxo dentro do script gerou o registro de homologação e evitou retrabalho.</w:t>
      </w:r>
    </w:p>
    <w:p>
      <w:pPr>
        <w:spacing w:after="60"/>
        <w:ind w:left="567" w:hanging="283"/>
        <w:jc w:val="both"/>
      </w:pPr>
      <w:r>
        <w:t xml:space="preserve">–  </w:t>
      </w:r>
      <w:r>
        <w:rPr>
          <w:b/>
        </w:rPr>
        <w:t xml:space="preserve">Tipos de dados importam. </w:t>
      </w:r>
      <w:r>
        <w:t>Códigos devem ser texto, e números exportados para o Power BI em português devem evitar ambiguidade de separador decimal.</w:t>
      </w:r>
    </w:p>
    <w:p>
      <w:pPr>
        <w:spacing w:after="60"/>
        <w:ind w:left="567" w:hanging="283"/>
        <w:jc w:val="both"/>
      </w:pPr>
      <w:r>
        <w:t xml:space="preserve">–  </w:t>
      </w:r>
      <w:r>
        <w:rPr>
          <w:b/>
        </w:rPr>
        <w:t xml:space="preserve">Comparar com um baseline. </w:t>
      </w:r>
      <w:r>
        <w:t>O modelo sazonal ingênuo mostrou quanto os modelos mais elaborados realmente agregam (cerca de 2 pontos de MAPE).</w:t>
      </w:r>
    </w:p>
    <w:p>
      <w:pPr>
        <w:spacing w:after="60"/>
        <w:ind w:left="567" w:hanging="283"/>
        <w:jc w:val="both"/>
      </w:pPr>
      <w:r>
        <w:t xml:space="preserve">–  </w:t>
      </w:r>
      <w:r>
        <w:rPr>
          <w:b/>
        </w:rPr>
        <w:t xml:space="preserve">Outliers distorcem o K-Means. </w:t>
      </w:r>
      <w:r>
        <w:t>O crescimento extremo de RN e SE criou um grupo artificial; a variável passou a ser apenas descritiva.</w:t>
      </w:r>
    </w:p>
    <w:p>
      <w:pPr>
        <w:spacing w:after="60"/>
        <w:ind w:left="567" w:hanging="283"/>
        <w:jc w:val="both"/>
      </w:pPr>
      <w:r>
        <w:t xml:space="preserve">–  </w:t>
      </w:r>
      <w:r>
        <w:rPr>
          <w:b/>
        </w:rPr>
        <w:t xml:space="preserve">Interpretação antes da métrica. </w:t>
      </w:r>
      <w:r>
        <w:t>A escolha de k precisa de regra explícita e documentada, além da silhueta.</w:t>
      </w:r>
    </w:p>
    <w:p>
      <w:pPr>
        <w:keepNext/>
        <w:spacing w:after="80"/>
        <w:ind w:firstLine="0"/>
        <w:jc w:val="both"/>
      </w:pPr>
      <w:r>
        <w:rPr>
          <w:b/>
          <w:sz w:val="24"/>
        </w:rPr>
        <w:t>Limitações e extensões</w:t>
      </w:r>
    </w:p>
    <w:p>
      <w:pPr>
        <w:spacing w:after="120"/>
        <w:jc w:val="both"/>
      </w:pPr>
      <w:r>
        <w:rPr>
          <w:i w:val="0"/>
        </w:rPr>
        <w:t>A previsão usa apenas o histórico da própria série e não incorpora preços de commodities, câmbio ou demanda externa; deve ser lida como cenário-base. A silhueta de 0,24 indica grupos de fronteiras pouco nítidas, esperado com 27 observações. A UF da base é a do domicílio fiscal da empresa, e os valores estão em dólares correntes, sem deflacionamento.</w:t>
      </w:r>
    </w:p>
    <w:p>
      <w:pPr>
        <w:spacing w:after="120"/>
        <w:jc w:val="both"/>
      </w:pPr>
      <w:r>
        <w:rPr>
          <w:i w:val="0"/>
        </w:rPr>
        <w:t>Como extensões, sugere-se: incluir a base por NCM e UF de origem do produto; agregar séries de preços de commodities e câmbio como variáveis explicativas da previsão; deflacionar os valores; e acrescentar o Eurostat para comparar a visão brasileira com a dos parceiros europeus.</w:t>
      </w:r>
    </w:p>
    <w:p w14:paraId="61AE1591" w14:textId="2D21C018" w:rsidR="001A29F1" w:rsidRPr="003A1AD4" w:rsidRDefault="001A29F1" w:rsidP="00BA0E35">
      <w:pPr>
        <w:pStyle w:val="Ttulo1"/>
        <w:pageBreakBefore/>
        <w:rPr>
          <w:rFonts w:cs="Times New Roman"/>
          <w:lang w:eastAsia="pt-BR"/>
        </w:rPr>
      </w:pPr>
      <w:bookmarkStart w:id="18" w:name="_Toc74691380"/>
      <w:r>
        <w:rPr>
          <w:lang w:val="pt-BR" w:eastAsia="pt-BR"/>
        </w:rPr>
        <w:t>7. Links</w:t>
      </w:r>
      <w:bookmarkEnd w:id="18"/>
    </w:p>
    <w:p>
      <w:pPr>
        <w:spacing w:after="120"/>
        <w:jc w:val="both"/>
      </w:pPr>
      <w:r>
        <w:rPr>
          <w:i w:val="0"/>
        </w:rPr>
        <w:t>Os artefatos do projeto estão disponíveis nos endereços do Quadro 12.</w:t>
      </w:r>
    </w:p>
    <w:p>
      <w:pPr>
        <w:keepNext/>
        <w:spacing w:after="40"/>
        <w:ind w:firstLine="0"/>
        <w:jc w:val="center"/>
      </w:pPr>
      <w:r>
        <w:rPr>
          <w:i w:val="0"/>
          <w:sz w:val="20"/>
        </w:rPr>
        <w:t>Quadro 12 – Links dos artefatos</w:t>
      </w:r>
    </w:p>
    <w:tbl>
      <w:tblPr>
        <w:tblW w:type="dxa" w:w="9072"/>
        <w:jc w:val="center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 w:val="true"/>
        </w:trPr>
        <w:tc>
          <w:tcPr>
            <w:tcW w:type="dxa" w:w="4535"/>
            <w:shd w:val="clear" w:color="auto" w:fill="DCE6F2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/>
                <w:sz w:val="18"/>
              </w:rPr>
              <w:t>Artefato</w:t>
            </w:r>
          </w:p>
        </w:tc>
        <w:tc>
          <w:tcPr>
            <w:tcW w:type="dxa" w:w="4535"/>
            <w:shd w:val="clear" w:color="auto" w:fill="DCE6F2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/>
                <w:sz w:val="18"/>
              </w:rPr>
              <w:t>Link</w:t>
            </w:r>
          </w:p>
        </w:tc>
      </w:tr>
      <w:tr>
        <w:tc>
          <w:tcPr>
            <w:tcW w:type="dxa" w:w="4535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8"/>
              </w:rPr>
              <w:t>Repositório (scripts etl_comex.py e modulo_c.py, CSVs, imagens e relatório)</w:t>
            </w:r>
          </w:p>
        </w:tc>
        <w:tc>
          <w:tcPr>
            <w:tcW w:type="dxa" w:w="4535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8"/>
              </w:rPr>
              <w:t>https://github.com/robsondoug1993-eng/tcc-parceiros-comerciais-estados</w:t>
            </w:r>
          </w:p>
        </w:tc>
      </w:tr>
      <w:tr>
        <w:tc>
          <w:tcPr>
            <w:tcW w:type="dxa" w:w="4535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8"/>
              </w:rPr>
              <w:t>Dashboard Power BI (arquivo Parceiros_Comerciais_Estados_Brasileiros.pbix)</w:t>
            </w:r>
          </w:p>
        </w:tc>
        <w:tc>
          <w:tcPr>
            <w:tcW w:type="dxa" w:w="4535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8"/>
              </w:rPr>
              <w:t>https://github.com/robsondoug1993-eng/tcc-parceiros-comerciais-estados/tree/main/dashboard</w:t>
            </w:r>
          </w:p>
        </w:tc>
      </w:tr>
      <w:tr>
        <w:tc>
          <w:tcPr>
            <w:tcW w:type="dxa" w:w="4535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8"/>
              </w:rPr>
              <w:t>Vídeo de apresentação – Módulo B (até 5 min)</w:t>
            </w:r>
          </w:p>
        </w:tc>
        <w:tc>
          <w:tcPr>
            <w:tcW w:type="dxa" w:w="4535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8"/>
              </w:rPr>
              <w:t>https://github.com/robsondoug1993-eng/tcc-parceiros-comerciais-estados/blob/main/videos/Video_Modulo_B_Dashboard.mp4</w:t>
            </w:r>
          </w:p>
        </w:tc>
      </w:tr>
      <w:tr>
        <w:tc>
          <w:tcPr>
            <w:tcW w:type="dxa" w:w="4535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8"/>
              </w:rPr>
              <w:t>Vídeo de apresentação – Módulo C</w:t>
            </w:r>
          </w:p>
        </w:tc>
        <w:tc>
          <w:tcPr>
            <w:tcW w:type="dxa" w:w="4535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8"/>
              </w:rPr>
              <w:t>https://github.com/robsondoug1993-eng/tcc-parceiros-comerciais-estados/blob/main/videos/Video_Modulo_C_Analises.mp4</w:t>
            </w:r>
          </w:p>
        </w:tc>
      </w:tr>
      <w:tr>
        <w:tc>
          <w:tcPr>
            <w:tcW w:type="dxa" w:w="4535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8"/>
              </w:rPr>
              <w:t>Fonte de dados – Comex Stat, base de dados bruta (MDIC)</w:t>
            </w:r>
          </w:p>
        </w:tc>
        <w:tc>
          <w:tcPr>
            <w:tcW w:type="dxa" w:w="4535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8"/>
              </w:rPr>
              <w:t>https://www.gov.br/mdic/pt-br/assuntos/comercio-exterior/estatisticas/base-de-dados-bruta</w:t>
            </w:r>
          </w:p>
        </w:tc>
      </w:tr>
    </w:tbl>
    <w:p>
      <w:pPr>
        <w:spacing w:after="200"/>
        <w:ind w:firstLine="0"/>
        <w:jc w:val="center"/>
      </w:pPr>
      <w:r>
        <w:rPr>
          <w:i w:val="0"/>
          <w:sz w:val="18"/>
        </w:rPr>
        <w:t>Fonte: elaborado pelo autor.</w:t>
      </w:r>
    </w:p>
    <w:p w14:paraId="7A6FB3D1" w14:textId="0A9F9A5D" w:rsidR="004D2758" w:rsidRPr="00071BC8" w:rsidRDefault="00B9677D" w:rsidP="00071BC8">
      <w:pPr>
        <w:pStyle w:val="Ttulo1"/>
      </w:pPr>
      <w:r>
        <w:br w:type="page"/>
      </w:r>
      <w:bookmarkStart w:id="21" w:name="_Toc74691381"/>
      <w:r w:rsidR="004D2758" w:rsidRPr="00071BC8">
        <w:lastRenderedPageBreak/>
        <w:t>REFERÊNCIAS</w:t>
      </w:r>
      <w:bookmarkEnd w:id="19"/>
      <w:bookmarkEnd w:id="20"/>
      <w:bookmarkEnd w:id="21"/>
    </w:p>
    <w:p>
      <w:pPr>
        <w:spacing w:after="120"/>
        <w:ind w:firstLine="0"/>
        <w:jc w:val="both"/>
      </w:pPr>
    </w:p>
    <w:p>
      <w:pPr>
        <w:spacing w:after="200" w:line="240" w:lineRule="auto"/>
        <w:ind w:firstLine="0"/>
      </w:pPr>
      <w:r>
        <w:rPr>
          <w:i w:val="0"/>
        </w:rPr>
        <w:t>BRASIL. Ministério do Desenvolvimento, Indústria, Comércio e Serviços. Estatísticas de comércio exterior em dados abertos: base de dados do Comex Stat. Brasília: MDIC, 2026. Disponível em: https://www.gov.br/mdic/pt-br/assuntos/comercio-exterior/estatisticas/base-de-dados-bruta. Acesso em: 10 out. 2026.</w:t>
      </w:r>
    </w:p>
    <w:p>
      <w:pPr>
        <w:spacing w:after="200" w:line="240" w:lineRule="auto"/>
        <w:ind w:firstLine="0"/>
      </w:pPr>
      <w:r>
        <w:rPr>
          <w:i w:val="0"/>
        </w:rPr>
        <w:t>HYNDMAN, Rob J.; ATHANASOPOULOS, George. Forecasting: principles and practice. 3. ed. Melbourne: OTexts, 2021. Disponível em: https://otexts.com/fpp3/.</w:t>
      </w:r>
    </w:p>
    <w:p>
      <w:pPr>
        <w:spacing w:after="200" w:line="240" w:lineRule="auto"/>
        <w:ind w:firstLine="0"/>
      </w:pPr>
      <w:r>
        <w:rPr>
          <w:i w:val="0"/>
        </w:rPr>
        <w:t>KIMBALL, Ralph; ROSS, Margy. The data warehouse toolkit: the definitive guide to dimensional modeling. 3. ed. Indianapolis: Wiley, 2013.</w:t>
      </w:r>
    </w:p>
    <w:p>
      <w:pPr>
        <w:spacing w:after="200" w:line="240" w:lineRule="auto"/>
        <w:ind w:firstLine="0"/>
      </w:pPr>
      <w:r>
        <w:rPr>
          <w:i w:val="0"/>
        </w:rPr>
        <w:t>PEDREGOSA, Fabian et al. Scikit-learn: machine learning in Python. Journal of Machine Learning Research, v. 12, p. 2825–2830, 2011.</w:t>
      </w:r>
    </w:p>
    <w:p>
      <w:pPr>
        <w:spacing w:after="200" w:line="240" w:lineRule="auto"/>
        <w:ind w:firstLine="0"/>
      </w:pPr>
      <w:r>
        <w:rPr>
          <w:i w:val="0"/>
        </w:rPr>
        <w:t>ROUSSEEUW, Peter J. Silhouettes: a graphical aid to the interpretation and validation of cluster analysis. Journal of Computational and Applied Mathematics, v. 20, p. 53–65, 1987.</w:t>
      </w:r>
    </w:p>
    <w:p>
      <w:pPr>
        <w:spacing w:after="200" w:line="240" w:lineRule="auto"/>
        <w:ind w:firstLine="0"/>
      </w:pPr>
      <w:r>
        <w:rPr>
          <w:i w:val="0"/>
        </w:rPr>
        <w:t>DATA DRIVEN CANVAS. Data Driven Canvas. São Paulo: iMaps, 2018. Disponível em: http://www.datadrivencanvas.org.</w:t>
      </w:r>
    </w:p>
    <w:sectPr w:rsidR="004D2758" w:rsidSect="00D3159F">
      <w:headerReference w:type="default" r:id="rId8"/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079D7F" w14:textId="77777777" w:rsidR="00001F71" w:rsidRDefault="00001F71" w:rsidP="00BA0E35">
      <w:r>
        <w:separator/>
      </w:r>
    </w:p>
  </w:endnote>
  <w:endnote w:type="continuationSeparator" w:id="0">
    <w:p w14:paraId="6E62F8B3" w14:textId="77777777" w:rsidR="00001F71" w:rsidRDefault="00001F71" w:rsidP="00BA0E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C5526F" w14:textId="77777777" w:rsidR="00001F71" w:rsidRDefault="00001F71" w:rsidP="00BA0E35">
      <w:r>
        <w:separator/>
      </w:r>
    </w:p>
  </w:footnote>
  <w:footnote w:type="continuationSeparator" w:id="0">
    <w:p w14:paraId="6199D48E" w14:textId="77777777" w:rsidR="00001F71" w:rsidRDefault="00001F71" w:rsidP="00BA0E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C14652" w14:textId="77777777" w:rsidR="00136D11" w:rsidRDefault="00136D11" w:rsidP="00BA0E35">
    <w:pPr>
      <w:pStyle w:val="Cabealho"/>
    </w:pPr>
    <w:r>
      <w:fldChar w:fldCharType="begin"/>
    </w:r>
    <w:r>
      <w:instrText>PAGE   \* MERGEFORMAT</w:instrText>
    </w:r>
    <w:r>
      <w:fldChar w:fldCharType="separate"/>
    </w:r>
    <w:r w:rsidR="009376E7">
      <w:rPr>
        <w:noProof/>
      </w:rPr>
      <w:t>8</w:t>
    </w:r>
    <w:r>
      <w:fldChar w:fldCharType="end"/>
    </w:r>
  </w:p>
  <w:p w14:paraId="56B365A5" w14:textId="77777777" w:rsidR="00136D11" w:rsidRDefault="00136D11" w:rsidP="00BA0E3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A2D07558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6B61806"/>
    <w:multiLevelType w:val="hybridMultilevel"/>
    <w:tmpl w:val="8AD6A214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0C4B4B43"/>
    <w:multiLevelType w:val="hybridMultilevel"/>
    <w:tmpl w:val="FD9E300E"/>
    <w:lvl w:ilvl="0" w:tplc="4698890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E76BF50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572348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F1AD88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EA02CC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BC6B75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17CD41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A4CE2E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8DE37C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F0584E"/>
    <w:multiLevelType w:val="hybridMultilevel"/>
    <w:tmpl w:val="6CBCF90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7E3D2C"/>
    <w:multiLevelType w:val="hybridMultilevel"/>
    <w:tmpl w:val="FCB8AF5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1D4FB1"/>
    <w:multiLevelType w:val="hybridMultilevel"/>
    <w:tmpl w:val="6B96D5F0"/>
    <w:lvl w:ilvl="0" w:tplc="61C2B578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b/>
        <w:i w:val="0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D15E77"/>
    <w:multiLevelType w:val="hybridMultilevel"/>
    <w:tmpl w:val="83747CAE"/>
    <w:lvl w:ilvl="0" w:tplc="063680B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00000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5F325C"/>
    <w:multiLevelType w:val="hybridMultilevel"/>
    <w:tmpl w:val="D1B45DE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721539"/>
    <w:multiLevelType w:val="hybridMultilevel"/>
    <w:tmpl w:val="A3F42F92"/>
    <w:lvl w:ilvl="0" w:tplc="4698890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3F2CB24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572348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F1AD88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EA02CC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BC6B75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17CD41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A4CE2E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8DE37C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C9641F"/>
    <w:multiLevelType w:val="hybridMultilevel"/>
    <w:tmpl w:val="2FC028D4"/>
    <w:lvl w:ilvl="0" w:tplc="9C2E2F7E">
      <w:start w:val="1"/>
      <w:numFmt w:val="lowerLetter"/>
      <w:lvlText w:val="%1)"/>
      <w:lvlJc w:val="left"/>
      <w:pPr>
        <w:ind w:left="502" w:hanging="360"/>
      </w:pPr>
      <w:rPr>
        <w:rFonts w:eastAsia="Calibri" w:hint="default"/>
        <w:u w:val="none"/>
      </w:rPr>
    </w:lvl>
    <w:lvl w:ilvl="1" w:tplc="04160019" w:tentative="1">
      <w:start w:val="1"/>
      <w:numFmt w:val="lowerLetter"/>
      <w:lvlText w:val="%2."/>
      <w:lvlJc w:val="left"/>
      <w:pPr>
        <w:ind w:left="1222" w:hanging="360"/>
      </w:pPr>
    </w:lvl>
    <w:lvl w:ilvl="2" w:tplc="0416001B" w:tentative="1">
      <w:start w:val="1"/>
      <w:numFmt w:val="lowerRoman"/>
      <w:lvlText w:val="%3."/>
      <w:lvlJc w:val="right"/>
      <w:pPr>
        <w:ind w:left="1942" w:hanging="180"/>
      </w:pPr>
    </w:lvl>
    <w:lvl w:ilvl="3" w:tplc="0416000F" w:tentative="1">
      <w:start w:val="1"/>
      <w:numFmt w:val="decimal"/>
      <w:lvlText w:val="%4."/>
      <w:lvlJc w:val="left"/>
      <w:pPr>
        <w:ind w:left="2662" w:hanging="360"/>
      </w:pPr>
    </w:lvl>
    <w:lvl w:ilvl="4" w:tplc="04160019" w:tentative="1">
      <w:start w:val="1"/>
      <w:numFmt w:val="lowerLetter"/>
      <w:lvlText w:val="%5."/>
      <w:lvlJc w:val="left"/>
      <w:pPr>
        <w:ind w:left="3382" w:hanging="360"/>
      </w:pPr>
    </w:lvl>
    <w:lvl w:ilvl="5" w:tplc="0416001B" w:tentative="1">
      <w:start w:val="1"/>
      <w:numFmt w:val="lowerRoman"/>
      <w:lvlText w:val="%6."/>
      <w:lvlJc w:val="right"/>
      <w:pPr>
        <w:ind w:left="4102" w:hanging="180"/>
      </w:pPr>
    </w:lvl>
    <w:lvl w:ilvl="6" w:tplc="0416000F" w:tentative="1">
      <w:start w:val="1"/>
      <w:numFmt w:val="decimal"/>
      <w:lvlText w:val="%7."/>
      <w:lvlJc w:val="left"/>
      <w:pPr>
        <w:ind w:left="4822" w:hanging="360"/>
      </w:pPr>
    </w:lvl>
    <w:lvl w:ilvl="7" w:tplc="04160019" w:tentative="1">
      <w:start w:val="1"/>
      <w:numFmt w:val="lowerLetter"/>
      <w:lvlText w:val="%8."/>
      <w:lvlJc w:val="left"/>
      <w:pPr>
        <w:ind w:left="5542" w:hanging="360"/>
      </w:pPr>
    </w:lvl>
    <w:lvl w:ilvl="8" w:tplc="0416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0" w15:restartNumberingAfterBreak="0">
    <w:nsid w:val="3B4D34D6"/>
    <w:multiLevelType w:val="hybridMultilevel"/>
    <w:tmpl w:val="D108C9D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495F3E"/>
    <w:multiLevelType w:val="hybridMultilevel"/>
    <w:tmpl w:val="553EB76C"/>
    <w:lvl w:ilvl="0" w:tplc="4DF420E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FE49E7A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6BAD95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A46942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CFEF34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1CAF3F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0D2791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F4A34F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09A334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652FBD"/>
    <w:multiLevelType w:val="hybridMultilevel"/>
    <w:tmpl w:val="6204B83A"/>
    <w:lvl w:ilvl="0" w:tplc="E4B4905A">
      <w:start w:val="1"/>
      <w:numFmt w:val="decimal"/>
      <w:lvlText w:val="%1"/>
      <w:lvlJc w:val="left"/>
      <w:pPr>
        <w:ind w:left="720" w:hanging="360"/>
      </w:pPr>
      <w:rPr>
        <w:rFonts w:ascii="Arial" w:hAnsi="Arial" w:cs="Aria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1703331"/>
    <w:multiLevelType w:val="hybridMultilevel"/>
    <w:tmpl w:val="4E625CB2"/>
    <w:lvl w:ilvl="0" w:tplc="8154F406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30D1C3E"/>
    <w:multiLevelType w:val="hybridMultilevel"/>
    <w:tmpl w:val="6E58A216"/>
    <w:lvl w:ilvl="0" w:tplc="0416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48424091"/>
    <w:multiLevelType w:val="hybridMultilevel"/>
    <w:tmpl w:val="6B3C7274"/>
    <w:lvl w:ilvl="0" w:tplc="04160005">
      <w:start w:val="1"/>
      <w:numFmt w:val="bullet"/>
      <w:lvlText w:val=""/>
      <w:lvlJc w:val="left"/>
      <w:pPr>
        <w:ind w:left="1146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6" w15:restartNumberingAfterBreak="0">
    <w:nsid w:val="56594C0B"/>
    <w:multiLevelType w:val="hybridMultilevel"/>
    <w:tmpl w:val="4B008DB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D1962B6"/>
    <w:multiLevelType w:val="hybridMultilevel"/>
    <w:tmpl w:val="797C1F1C"/>
    <w:lvl w:ilvl="0" w:tplc="0416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64AE24EC"/>
    <w:multiLevelType w:val="hybridMultilevel"/>
    <w:tmpl w:val="688AF57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7643551"/>
    <w:multiLevelType w:val="multilevel"/>
    <w:tmpl w:val="388EFCA6"/>
    <w:lvl w:ilvl="0">
      <w:start w:val="1"/>
      <w:numFmt w:val="decimal"/>
      <w:lvlText w:val="%1"/>
      <w:lvlJc w:val="left"/>
      <w:pPr>
        <w:ind w:left="396" w:hanging="39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6" w:hanging="39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6CE857FD"/>
    <w:multiLevelType w:val="hybridMultilevel"/>
    <w:tmpl w:val="DFB6CD36"/>
    <w:lvl w:ilvl="0" w:tplc="05FCD04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1" w15:restartNumberingAfterBreak="0">
    <w:nsid w:val="7AF85B75"/>
    <w:multiLevelType w:val="hybridMultilevel"/>
    <w:tmpl w:val="A126A2C4"/>
    <w:lvl w:ilvl="0" w:tplc="011E29A0">
      <w:start w:val="1"/>
      <w:numFmt w:val="decimal"/>
      <w:lvlText w:val="%1."/>
      <w:lvlJc w:val="left"/>
      <w:pPr>
        <w:ind w:left="1428" w:hanging="360"/>
      </w:pPr>
      <w:rPr>
        <w:rFonts w:ascii="Arial" w:hAnsi="Arial" w:hint="default"/>
        <w:b/>
        <w:i w:val="0"/>
        <w:sz w:val="22"/>
      </w:r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19"/>
  </w:num>
  <w:num w:numId="2">
    <w:abstractNumId w:val="18"/>
  </w:num>
  <w:num w:numId="3">
    <w:abstractNumId w:val="12"/>
  </w:num>
  <w:num w:numId="4">
    <w:abstractNumId w:val="20"/>
  </w:num>
  <w:num w:numId="5">
    <w:abstractNumId w:val="6"/>
  </w:num>
  <w:num w:numId="6">
    <w:abstractNumId w:val="15"/>
  </w:num>
  <w:num w:numId="7">
    <w:abstractNumId w:val="13"/>
  </w:num>
  <w:num w:numId="8">
    <w:abstractNumId w:val="21"/>
  </w:num>
  <w:num w:numId="9">
    <w:abstractNumId w:val="16"/>
  </w:num>
  <w:num w:numId="10">
    <w:abstractNumId w:val="1"/>
  </w:num>
  <w:num w:numId="11">
    <w:abstractNumId w:val="3"/>
  </w:num>
  <w:num w:numId="12">
    <w:abstractNumId w:val="9"/>
  </w:num>
  <w:num w:numId="13">
    <w:abstractNumId w:val="8"/>
  </w:num>
  <w:num w:numId="14">
    <w:abstractNumId w:val="11"/>
  </w:num>
  <w:num w:numId="15">
    <w:abstractNumId w:val="2"/>
  </w:num>
  <w:num w:numId="16">
    <w:abstractNumId w:val="10"/>
  </w:num>
  <w:num w:numId="17">
    <w:abstractNumId w:val="4"/>
  </w:num>
  <w:num w:numId="18">
    <w:abstractNumId w:val="5"/>
  </w:num>
  <w:num w:numId="19">
    <w:abstractNumId w:val="17"/>
  </w:num>
  <w:num w:numId="20">
    <w:abstractNumId w:val="14"/>
  </w:num>
  <w:num w:numId="21">
    <w:abstractNumId w:val="7"/>
  </w:num>
  <w:num w:numId="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oNotTrackMoves/>
  <w:documentProtection w:edit="readOnly" w:enforcement="0"/>
  <w:defaultTabStop w:val="709"/>
  <w:autoHyphenation/>
  <w:hyphenationZone w:val="425"/>
  <w:characterSpacingControl w:val="doNotCompress"/>
  <w:updateFields w:val="true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775B2"/>
    <w:rsid w:val="00001F71"/>
    <w:rsid w:val="000076C3"/>
    <w:rsid w:val="000171B1"/>
    <w:rsid w:val="000327AA"/>
    <w:rsid w:val="00037C88"/>
    <w:rsid w:val="00063B62"/>
    <w:rsid w:val="00071BC8"/>
    <w:rsid w:val="00073B73"/>
    <w:rsid w:val="000938B6"/>
    <w:rsid w:val="000D402F"/>
    <w:rsid w:val="000D5532"/>
    <w:rsid w:val="000E0775"/>
    <w:rsid w:val="000F45C0"/>
    <w:rsid w:val="00114AF7"/>
    <w:rsid w:val="001176B6"/>
    <w:rsid w:val="001176E7"/>
    <w:rsid w:val="00120038"/>
    <w:rsid w:val="00122F28"/>
    <w:rsid w:val="00124CF6"/>
    <w:rsid w:val="00136D11"/>
    <w:rsid w:val="0014458A"/>
    <w:rsid w:val="00152C6C"/>
    <w:rsid w:val="001563F1"/>
    <w:rsid w:val="00171B3B"/>
    <w:rsid w:val="001844CA"/>
    <w:rsid w:val="00196D69"/>
    <w:rsid w:val="001A0D4C"/>
    <w:rsid w:val="001A29F1"/>
    <w:rsid w:val="001A346C"/>
    <w:rsid w:val="001A7D20"/>
    <w:rsid w:val="001B29DF"/>
    <w:rsid w:val="001C02CE"/>
    <w:rsid w:val="001C2595"/>
    <w:rsid w:val="001D06B4"/>
    <w:rsid w:val="001E1AA1"/>
    <w:rsid w:val="001F701B"/>
    <w:rsid w:val="0021045E"/>
    <w:rsid w:val="00213CA0"/>
    <w:rsid w:val="00223E3C"/>
    <w:rsid w:val="002261D3"/>
    <w:rsid w:val="002314A2"/>
    <w:rsid w:val="00240793"/>
    <w:rsid w:val="002507E1"/>
    <w:rsid w:val="0025463C"/>
    <w:rsid w:val="002611B3"/>
    <w:rsid w:val="0027107F"/>
    <w:rsid w:val="002718E7"/>
    <w:rsid w:val="0027538B"/>
    <w:rsid w:val="0027605C"/>
    <w:rsid w:val="002912AB"/>
    <w:rsid w:val="0029392C"/>
    <w:rsid w:val="002B2518"/>
    <w:rsid w:val="002C02B9"/>
    <w:rsid w:val="002C10AF"/>
    <w:rsid w:val="002C4A27"/>
    <w:rsid w:val="002D2124"/>
    <w:rsid w:val="002E4099"/>
    <w:rsid w:val="002E6D99"/>
    <w:rsid w:val="002E769F"/>
    <w:rsid w:val="0034032B"/>
    <w:rsid w:val="00345F35"/>
    <w:rsid w:val="003474EE"/>
    <w:rsid w:val="0038316A"/>
    <w:rsid w:val="00383B1B"/>
    <w:rsid w:val="00385DB8"/>
    <w:rsid w:val="00391E23"/>
    <w:rsid w:val="003A1AD4"/>
    <w:rsid w:val="003A2206"/>
    <w:rsid w:val="003A3F1D"/>
    <w:rsid w:val="003C5CC7"/>
    <w:rsid w:val="003C684A"/>
    <w:rsid w:val="003D1C6C"/>
    <w:rsid w:val="003E28AD"/>
    <w:rsid w:val="003E52FA"/>
    <w:rsid w:val="003E642B"/>
    <w:rsid w:val="003F6B39"/>
    <w:rsid w:val="00400AFB"/>
    <w:rsid w:val="00410634"/>
    <w:rsid w:val="00412F61"/>
    <w:rsid w:val="0041637A"/>
    <w:rsid w:val="00424C94"/>
    <w:rsid w:val="00430F9A"/>
    <w:rsid w:val="00431E1C"/>
    <w:rsid w:val="00432139"/>
    <w:rsid w:val="00444DEA"/>
    <w:rsid w:val="00445F57"/>
    <w:rsid w:val="00447C97"/>
    <w:rsid w:val="004524BC"/>
    <w:rsid w:val="00453075"/>
    <w:rsid w:val="00460E5E"/>
    <w:rsid w:val="0046171B"/>
    <w:rsid w:val="00463BBB"/>
    <w:rsid w:val="00464CFC"/>
    <w:rsid w:val="0047572E"/>
    <w:rsid w:val="00490E01"/>
    <w:rsid w:val="004A7D71"/>
    <w:rsid w:val="004D2758"/>
    <w:rsid w:val="004D4331"/>
    <w:rsid w:val="004D5200"/>
    <w:rsid w:val="004D5B83"/>
    <w:rsid w:val="004E016B"/>
    <w:rsid w:val="004E052F"/>
    <w:rsid w:val="004E1F4A"/>
    <w:rsid w:val="004E317F"/>
    <w:rsid w:val="004F18B9"/>
    <w:rsid w:val="005016F1"/>
    <w:rsid w:val="00505C9A"/>
    <w:rsid w:val="00512503"/>
    <w:rsid w:val="00517696"/>
    <w:rsid w:val="00531A58"/>
    <w:rsid w:val="00532A0A"/>
    <w:rsid w:val="005401A9"/>
    <w:rsid w:val="00543887"/>
    <w:rsid w:val="005468C3"/>
    <w:rsid w:val="00562902"/>
    <w:rsid w:val="00564696"/>
    <w:rsid w:val="00566628"/>
    <w:rsid w:val="00571A40"/>
    <w:rsid w:val="00572AFA"/>
    <w:rsid w:val="00581B93"/>
    <w:rsid w:val="00584569"/>
    <w:rsid w:val="0058599F"/>
    <w:rsid w:val="00587E07"/>
    <w:rsid w:val="005937E5"/>
    <w:rsid w:val="005A1560"/>
    <w:rsid w:val="005A4766"/>
    <w:rsid w:val="005B53B9"/>
    <w:rsid w:val="005B7051"/>
    <w:rsid w:val="005C2B1B"/>
    <w:rsid w:val="005C60AA"/>
    <w:rsid w:val="005C6705"/>
    <w:rsid w:val="005E2CC0"/>
    <w:rsid w:val="005F0A99"/>
    <w:rsid w:val="005F4AED"/>
    <w:rsid w:val="005F5769"/>
    <w:rsid w:val="0060089D"/>
    <w:rsid w:val="0061731C"/>
    <w:rsid w:val="00622E91"/>
    <w:rsid w:val="0062454C"/>
    <w:rsid w:val="00627A7B"/>
    <w:rsid w:val="00627C9D"/>
    <w:rsid w:val="00632733"/>
    <w:rsid w:val="00635F94"/>
    <w:rsid w:val="00636A60"/>
    <w:rsid w:val="00643167"/>
    <w:rsid w:val="006503BE"/>
    <w:rsid w:val="00660188"/>
    <w:rsid w:val="0066706F"/>
    <w:rsid w:val="006671ED"/>
    <w:rsid w:val="00683072"/>
    <w:rsid w:val="00692D17"/>
    <w:rsid w:val="006A312C"/>
    <w:rsid w:val="006C4537"/>
    <w:rsid w:val="006E0815"/>
    <w:rsid w:val="006E7F46"/>
    <w:rsid w:val="006F6708"/>
    <w:rsid w:val="007011EC"/>
    <w:rsid w:val="007013BA"/>
    <w:rsid w:val="00704DDA"/>
    <w:rsid w:val="007109CA"/>
    <w:rsid w:val="007212CA"/>
    <w:rsid w:val="00721404"/>
    <w:rsid w:val="007254E0"/>
    <w:rsid w:val="00732962"/>
    <w:rsid w:val="00735214"/>
    <w:rsid w:val="00736F3B"/>
    <w:rsid w:val="00740212"/>
    <w:rsid w:val="007456D9"/>
    <w:rsid w:val="00750657"/>
    <w:rsid w:val="00751250"/>
    <w:rsid w:val="00765311"/>
    <w:rsid w:val="00765BC4"/>
    <w:rsid w:val="00765CE1"/>
    <w:rsid w:val="00775ACD"/>
    <w:rsid w:val="00782988"/>
    <w:rsid w:val="00785A5F"/>
    <w:rsid w:val="00790655"/>
    <w:rsid w:val="00792E7C"/>
    <w:rsid w:val="007B0084"/>
    <w:rsid w:val="007B54BA"/>
    <w:rsid w:val="007C2A6A"/>
    <w:rsid w:val="007C501A"/>
    <w:rsid w:val="007C5DAF"/>
    <w:rsid w:val="007E3010"/>
    <w:rsid w:val="007E652C"/>
    <w:rsid w:val="007E7432"/>
    <w:rsid w:val="0080050D"/>
    <w:rsid w:val="00800A41"/>
    <w:rsid w:val="00830285"/>
    <w:rsid w:val="008369F8"/>
    <w:rsid w:val="00852237"/>
    <w:rsid w:val="008628A4"/>
    <w:rsid w:val="008669C4"/>
    <w:rsid w:val="0087137A"/>
    <w:rsid w:val="00875F8B"/>
    <w:rsid w:val="00894552"/>
    <w:rsid w:val="00895CC9"/>
    <w:rsid w:val="008C1B86"/>
    <w:rsid w:val="008C4976"/>
    <w:rsid w:val="008C5DF8"/>
    <w:rsid w:val="008D0706"/>
    <w:rsid w:val="008D21EA"/>
    <w:rsid w:val="008E0B5E"/>
    <w:rsid w:val="008F629B"/>
    <w:rsid w:val="00903853"/>
    <w:rsid w:val="00910E0C"/>
    <w:rsid w:val="00911DAD"/>
    <w:rsid w:val="0091417F"/>
    <w:rsid w:val="00921BAA"/>
    <w:rsid w:val="009238D4"/>
    <w:rsid w:val="00925F99"/>
    <w:rsid w:val="00932793"/>
    <w:rsid w:val="0093659B"/>
    <w:rsid w:val="009376E7"/>
    <w:rsid w:val="00941C4B"/>
    <w:rsid w:val="0094743F"/>
    <w:rsid w:val="00950843"/>
    <w:rsid w:val="00956137"/>
    <w:rsid w:val="00961E57"/>
    <w:rsid w:val="0096435A"/>
    <w:rsid w:val="00976293"/>
    <w:rsid w:val="009775B2"/>
    <w:rsid w:val="0098661F"/>
    <w:rsid w:val="00987BAA"/>
    <w:rsid w:val="00994F42"/>
    <w:rsid w:val="009A1198"/>
    <w:rsid w:val="009A4A55"/>
    <w:rsid w:val="009B176B"/>
    <w:rsid w:val="009D049A"/>
    <w:rsid w:val="009D1278"/>
    <w:rsid w:val="009E0ABC"/>
    <w:rsid w:val="009F5267"/>
    <w:rsid w:val="009F6903"/>
    <w:rsid w:val="00A005DA"/>
    <w:rsid w:val="00A0244D"/>
    <w:rsid w:val="00A1274D"/>
    <w:rsid w:val="00A21BBE"/>
    <w:rsid w:val="00A2294D"/>
    <w:rsid w:val="00A2546D"/>
    <w:rsid w:val="00A600F2"/>
    <w:rsid w:val="00A67437"/>
    <w:rsid w:val="00A73C56"/>
    <w:rsid w:val="00A81E16"/>
    <w:rsid w:val="00AA0BAC"/>
    <w:rsid w:val="00AA4898"/>
    <w:rsid w:val="00AB0D2A"/>
    <w:rsid w:val="00AB3ECE"/>
    <w:rsid w:val="00AD1D48"/>
    <w:rsid w:val="00AD6A0A"/>
    <w:rsid w:val="00AE1160"/>
    <w:rsid w:val="00AF3286"/>
    <w:rsid w:val="00B05E41"/>
    <w:rsid w:val="00B10624"/>
    <w:rsid w:val="00B25C1A"/>
    <w:rsid w:val="00B25DC9"/>
    <w:rsid w:val="00B27E8E"/>
    <w:rsid w:val="00B30844"/>
    <w:rsid w:val="00B30AF5"/>
    <w:rsid w:val="00B4397E"/>
    <w:rsid w:val="00B75BFC"/>
    <w:rsid w:val="00B76765"/>
    <w:rsid w:val="00B81BC8"/>
    <w:rsid w:val="00B834FE"/>
    <w:rsid w:val="00B9677D"/>
    <w:rsid w:val="00BA04DD"/>
    <w:rsid w:val="00BA0E35"/>
    <w:rsid w:val="00BB58C7"/>
    <w:rsid w:val="00BC194D"/>
    <w:rsid w:val="00BC359F"/>
    <w:rsid w:val="00BD0722"/>
    <w:rsid w:val="00BD626B"/>
    <w:rsid w:val="00BE760E"/>
    <w:rsid w:val="00BF1EB1"/>
    <w:rsid w:val="00C02C03"/>
    <w:rsid w:val="00C108A9"/>
    <w:rsid w:val="00C110D5"/>
    <w:rsid w:val="00C120CF"/>
    <w:rsid w:val="00C12866"/>
    <w:rsid w:val="00C13870"/>
    <w:rsid w:val="00C142F3"/>
    <w:rsid w:val="00C20C7D"/>
    <w:rsid w:val="00C270AA"/>
    <w:rsid w:val="00C321BB"/>
    <w:rsid w:val="00C33B87"/>
    <w:rsid w:val="00C407C4"/>
    <w:rsid w:val="00C41BB6"/>
    <w:rsid w:val="00C45263"/>
    <w:rsid w:val="00C523B7"/>
    <w:rsid w:val="00C54EC5"/>
    <w:rsid w:val="00C64265"/>
    <w:rsid w:val="00C74531"/>
    <w:rsid w:val="00C75035"/>
    <w:rsid w:val="00C879B9"/>
    <w:rsid w:val="00C90C93"/>
    <w:rsid w:val="00C97B8F"/>
    <w:rsid w:val="00CA602E"/>
    <w:rsid w:val="00CB3164"/>
    <w:rsid w:val="00CD00A4"/>
    <w:rsid w:val="00CD7302"/>
    <w:rsid w:val="00CF044C"/>
    <w:rsid w:val="00CF7226"/>
    <w:rsid w:val="00D07143"/>
    <w:rsid w:val="00D13739"/>
    <w:rsid w:val="00D1640F"/>
    <w:rsid w:val="00D2571A"/>
    <w:rsid w:val="00D25CBE"/>
    <w:rsid w:val="00D27029"/>
    <w:rsid w:val="00D3159F"/>
    <w:rsid w:val="00D40A28"/>
    <w:rsid w:val="00D44FCF"/>
    <w:rsid w:val="00D4567F"/>
    <w:rsid w:val="00D5294C"/>
    <w:rsid w:val="00D61935"/>
    <w:rsid w:val="00D61CDF"/>
    <w:rsid w:val="00D63462"/>
    <w:rsid w:val="00D63A0B"/>
    <w:rsid w:val="00D67284"/>
    <w:rsid w:val="00D71BE8"/>
    <w:rsid w:val="00D87BFB"/>
    <w:rsid w:val="00DA23F4"/>
    <w:rsid w:val="00DA2832"/>
    <w:rsid w:val="00DA3017"/>
    <w:rsid w:val="00DB4819"/>
    <w:rsid w:val="00DB5CA5"/>
    <w:rsid w:val="00DC3E38"/>
    <w:rsid w:val="00DC5149"/>
    <w:rsid w:val="00DD695B"/>
    <w:rsid w:val="00DE2B20"/>
    <w:rsid w:val="00DE66B7"/>
    <w:rsid w:val="00DF16A0"/>
    <w:rsid w:val="00E140A4"/>
    <w:rsid w:val="00E21B1C"/>
    <w:rsid w:val="00E26B8B"/>
    <w:rsid w:val="00E31B94"/>
    <w:rsid w:val="00E41F6F"/>
    <w:rsid w:val="00E6098F"/>
    <w:rsid w:val="00E63E22"/>
    <w:rsid w:val="00E737BA"/>
    <w:rsid w:val="00E75E2B"/>
    <w:rsid w:val="00E7656D"/>
    <w:rsid w:val="00E84A8C"/>
    <w:rsid w:val="00E84B52"/>
    <w:rsid w:val="00E968B5"/>
    <w:rsid w:val="00EA3836"/>
    <w:rsid w:val="00EA4BC3"/>
    <w:rsid w:val="00EB725B"/>
    <w:rsid w:val="00ED1EA5"/>
    <w:rsid w:val="00EF6296"/>
    <w:rsid w:val="00F06E74"/>
    <w:rsid w:val="00F14847"/>
    <w:rsid w:val="00F16EF7"/>
    <w:rsid w:val="00F22DA6"/>
    <w:rsid w:val="00F34B27"/>
    <w:rsid w:val="00F361D7"/>
    <w:rsid w:val="00F37DEA"/>
    <w:rsid w:val="00F80456"/>
    <w:rsid w:val="00F8288C"/>
    <w:rsid w:val="00F8413E"/>
    <w:rsid w:val="00F90D5E"/>
    <w:rsid w:val="00F95964"/>
    <w:rsid w:val="00F96989"/>
    <w:rsid w:val="00FA091C"/>
    <w:rsid w:val="00FA3221"/>
    <w:rsid w:val="00FA38D5"/>
    <w:rsid w:val="00FD3ABB"/>
    <w:rsid w:val="00FF2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58249E"/>
  <w15:chartTrackingRefBased/>
  <w15:docId w15:val="{78425FC8-53FF-4D5D-93A8-683EAC3AF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0E35"/>
    <w:pPr>
      <w:suppressAutoHyphens/>
      <w:spacing w:line="360" w:lineRule="auto"/>
      <w:ind w:firstLine="709"/>
      <w:jc w:val="both"/>
    </w:pPr>
    <w:rPr>
      <w:rFonts w:ascii="Arial" w:hAnsi="Arial" w:cs="Arial"/>
      <w:sz w:val="24"/>
      <w:szCs w:val="24"/>
      <w:lang w:eastAsia="en-US"/>
    </w:rPr>
  </w:style>
  <w:style w:type="paragraph" w:styleId="Ttulo1">
    <w:name w:val="heading 1"/>
    <w:basedOn w:val="Normal"/>
    <w:next w:val="Normal"/>
    <w:link w:val="Ttulo1Char1"/>
    <w:uiPriority w:val="9"/>
    <w:qFormat/>
    <w:rsid w:val="00DE2B20"/>
    <w:pPr>
      <w:keepNext/>
      <w:ind w:firstLine="0"/>
      <w:outlineLvl w:val="0"/>
    </w:pPr>
    <w:rPr>
      <w:rFonts w:eastAsia="Times New Roman"/>
      <w:b/>
      <w:bCs/>
      <w:kern w:val="32"/>
      <w:sz w:val="32"/>
      <w:szCs w:val="32"/>
      <w:lang w:val="x-none"/>
    </w:rPr>
  </w:style>
  <w:style w:type="paragraph" w:styleId="Ttulo2">
    <w:name w:val="heading 2"/>
    <w:basedOn w:val="Normal"/>
    <w:next w:val="Normal"/>
    <w:link w:val="Ttulo2Char"/>
    <w:uiPriority w:val="9"/>
    <w:qFormat/>
    <w:rsid w:val="00DE2B20"/>
    <w:pPr>
      <w:keepNext/>
      <w:ind w:firstLine="0"/>
      <w:outlineLvl w:val="1"/>
    </w:pPr>
    <w:rPr>
      <w:rFonts w:eastAsia="Times New Roman"/>
      <w:b/>
      <w:bCs/>
      <w:iCs/>
      <w:szCs w:val="28"/>
      <w:lang w:val="x-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ListaColorida-nfase11">
    <w:name w:val="Lista Colorida - Ênfase 11"/>
    <w:basedOn w:val="Normal"/>
    <w:uiPriority w:val="34"/>
    <w:qFormat/>
    <w:rsid w:val="009775B2"/>
    <w:pPr>
      <w:ind w:left="720"/>
      <w:contextualSpacing/>
    </w:pPr>
  </w:style>
  <w:style w:type="character" w:customStyle="1" w:styleId="longtext">
    <w:name w:val="long_text"/>
    <w:basedOn w:val="Fontepargpadro"/>
    <w:rsid w:val="0066706F"/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66706F"/>
    <w:pPr>
      <w:spacing w:line="240" w:lineRule="auto"/>
    </w:pPr>
    <w:rPr>
      <w:sz w:val="20"/>
      <w:szCs w:val="20"/>
      <w:lang w:val="x-none"/>
    </w:rPr>
  </w:style>
  <w:style w:type="character" w:customStyle="1" w:styleId="TextodenotaderodapChar">
    <w:name w:val="Texto de nota de rodapé Char"/>
    <w:link w:val="Textodenotaderodap"/>
    <w:uiPriority w:val="99"/>
    <w:semiHidden/>
    <w:rsid w:val="0066706F"/>
    <w:rPr>
      <w:rFonts w:ascii="Calibri" w:eastAsia="Calibri" w:hAnsi="Calibri" w:cs="Times New Roman"/>
      <w:lang w:eastAsia="en-US"/>
    </w:rPr>
  </w:style>
  <w:style w:type="character" w:styleId="Refdenotaderodap">
    <w:name w:val="footnote reference"/>
    <w:uiPriority w:val="99"/>
    <w:semiHidden/>
    <w:unhideWhenUsed/>
    <w:rsid w:val="0066706F"/>
    <w:rPr>
      <w:vertAlign w:val="superscript"/>
    </w:rPr>
  </w:style>
  <w:style w:type="paragraph" w:styleId="NormalWeb">
    <w:name w:val="Normal (Web)"/>
    <w:basedOn w:val="Normal"/>
    <w:uiPriority w:val="99"/>
    <w:unhideWhenUsed/>
    <w:rsid w:val="005A4766"/>
    <w:pPr>
      <w:spacing w:before="100" w:beforeAutospacing="1" w:after="100" w:afterAutospacing="1" w:line="240" w:lineRule="auto"/>
    </w:pPr>
    <w:rPr>
      <w:rFonts w:ascii="Times New Roman" w:eastAsia="Times New Roman" w:hAnsi="Times New Roman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5A4766"/>
    <w:pPr>
      <w:tabs>
        <w:tab w:val="center" w:pos="4252"/>
        <w:tab w:val="right" w:pos="8504"/>
      </w:tabs>
    </w:pPr>
    <w:rPr>
      <w:lang w:val="x-none"/>
    </w:rPr>
  </w:style>
  <w:style w:type="character" w:customStyle="1" w:styleId="CabealhoChar">
    <w:name w:val="Cabeçalho Char"/>
    <w:link w:val="Cabealho"/>
    <w:uiPriority w:val="99"/>
    <w:rsid w:val="005A4766"/>
    <w:rPr>
      <w:sz w:val="22"/>
      <w:szCs w:val="22"/>
      <w:lang w:eastAsia="en-US"/>
    </w:rPr>
  </w:style>
  <w:style w:type="paragraph" w:styleId="Rodap">
    <w:name w:val="footer"/>
    <w:basedOn w:val="Normal"/>
    <w:link w:val="RodapChar"/>
    <w:uiPriority w:val="99"/>
    <w:unhideWhenUsed/>
    <w:rsid w:val="005A4766"/>
    <w:pPr>
      <w:tabs>
        <w:tab w:val="center" w:pos="4252"/>
        <w:tab w:val="right" w:pos="8504"/>
      </w:tabs>
    </w:pPr>
    <w:rPr>
      <w:lang w:val="x-none"/>
    </w:rPr>
  </w:style>
  <w:style w:type="character" w:customStyle="1" w:styleId="RodapChar">
    <w:name w:val="Rodapé Char"/>
    <w:link w:val="Rodap"/>
    <w:uiPriority w:val="99"/>
    <w:rsid w:val="005A4766"/>
    <w:rPr>
      <w:sz w:val="22"/>
      <w:szCs w:val="22"/>
      <w:lang w:eastAsia="en-US"/>
    </w:rPr>
  </w:style>
  <w:style w:type="character" w:styleId="Hyperlink">
    <w:name w:val="Hyperlink"/>
    <w:uiPriority w:val="99"/>
    <w:unhideWhenUsed/>
    <w:rsid w:val="00961E57"/>
    <w:rPr>
      <w:color w:val="0000FF"/>
      <w:u w:val="single"/>
    </w:rPr>
  </w:style>
  <w:style w:type="character" w:customStyle="1" w:styleId="Ttulo1Char">
    <w:name w:val="Título 1 Char"/>
    <w:rsid w:val="000E0775"/>
    <w:rPr>
      <w:rFonts w:ascii="Arial" w:hAnsi="Arial" w:cs="Arial"/>
      <w:b/>
      <w:bCs/>
      <w:kern w:val="1"/>
      <w:sz w:val="32"/>
      <w:szCs w:val="32"/>
      <w:lang w:val="pt-BR" w:eastAsia="ar-SA" w:bidi="ar-SA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F34B27"/>
    <w:rPr>
      <w:sz w:val="20"/>
      <w:szCs w:val="20"/>
      <w:lang w:val="x-none"/>
    </w:rPr>
  </w:style>
  <w:style w:type="character" w:customStyle="1" w:styleId="TextodenotadefimChar">
    <w:name w:val="Texto de nota de fim Char"/>
    <w:link w:val="Textodenotadefim"/>
    <w:uiPriority w:val="99"/>
    <w:semiHidden/>
    <w:rsid w:val="00F34B27"/>
    <w:rPr>
      <w:lang w:eastAsia="en-US"/>
    </w:rPr>
  </w:style>
  <w:style w:type="character" w:styleId="Refdenotadefim">
    <w:name w:val="endnote reference"/>
    <w:uiPriority w:val="99"/>
    <w:semiHidden/>
    <w:unhideWhenUsed/>
    <w:rsid w:val="00F34B27"/>
    <w:rPr>
      <w:vertAlign w:val="superscript"/>
    </w:rPr>
  </w:style>
  <w:style w:type="character" w:customStyle="1" w:styleId="apple-converted-space">
    <w:name w:val="apple-converted-space"/>
    <w:basedOn w:val="Fontepargpadro"/>
    <w:rsid w:val="00BD0722"/>
  </w:style>
  <w:style w:type="character" w:customStyle="1" w:styleId="Ttulo1Char1">
    <w:name w:val="Título 1 Char1"/>
    <w:link w:val="Ttulo1"/>
    <w:uiPriority w:val="9"/>
    <w:rsid w:val="00DE2B20"/>
    <w:rPr>
      <w:rFonts w:ascii="Arial" w:eastAsia="Times New Roman" w:hAnsi="Arial" w:cs="Arial"/>
      <w:b/>
      <w:bCs/>
      <w:kern w:val="32"/>
      <w:sz w:val="32"/>
      <w:szCs w:val="32"/>
      <w:lang w:val="x-none" w:eastAsia="en-US"/>
    </w:rPr>
  </w:style>
  <w:style w:type="character" w:customStyle="1" w:styleId="Ttulo2Char">
    <w:name w:val="Título 2 Char"/>
    <w:link w:val="Ttulo2"/>
    <w:uiPriority w:val="9"/>
    <w:rsid w:val="00DE2B20"/>
    <w:rPr>
      <w:rFonts w:ascii="Arial" w:eastAsia="Times New Roman" w:hAnsi="Arial" w:cs="Arial"/>
      <w:b/>
      <w:bCs/>
      <w:iCs/>
      <w:sz w:val="24"/>
      <w:szCs w:val="28"/>
      <w:lang w:val="x-none" w:eastAsia="en-US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C120CF"/>
    <w:pPr>
      <w:spacing w:line="240" w:lineRule="auto"/>
    </w:pPr>
    <w:rPr>
      <w:rFonts w:ascii="Tahoma" w:hAnsi="Tahoma"/>
      <w:sz w:val="16"/>
      <w:szCs w:val="16"/>
      <w:lang w:val="x-none"/>
    </w:rPr>
  </w:style>
  <w:style w:type="paragraph" w:styleId="Sumrio1">
    <w:name w:val="toc 1"/>
    <w:basedOn w:val="Normal"/>
    <w:next w:val="Normal"/>
    <w:autoRedefine/>
    <w:uiPriority w:val="39"/>
    <w:unhideWhenUsed/>
    <w:rsid w:val="00D1640F"/>
    <w:pPr>
      <w:tabs>
        <w:tab w:val="right" w:leader="dot" w:pos="9061"/>
      </w:tabs>
    </w:pPr>
    <w:rPr>
      <w:b/>
      <w:noProof/>
      <w:lang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7254E0"/>
  </w:style>
  <w:style w:type="character" w:customStyle="1" w:styleId="TextodebaloChar">
    <w:name w:val="Texto de balão Char"/>
    <w:link w:val="Textodebalo"/>
    <w:uiPriority w:val="99"/>
    <w:semiHidden/>
    <w:rsid w:val="00C120CF"/>
    <w:rPr>
      <w:rFonts w:ascii="Tahoma" w:hAnsi="Tahoma" w:cs="Tahoma"/>
      <w:sz w:val="16"/>
      <w:szCs w:val="16"/>
      <w:lang w:eastAsia="en-US"/>
    </w:rPr>
  </w:style>
  <w:style w:type="character" w:styleId="HiperlinkVisitado">
    <w:name w:val="FollowedHyperlink"/>
    <w:uiPriority w:val="99"/>
    <w:semiHidden/>
    <w:unhideWhenUsed/>
    <w:rsid w:val="001176E7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4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06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7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36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0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8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3565">
          <w:marLeft w:val="432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792821">
          <w:marLeft w:val="432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731608">
          <w:marLeft w:val="432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253986">
          <w:marLeft w:val="432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86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1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2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1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2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4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2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2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1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7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8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928</Words>
  <Characters>5012</Characters>
  <Application>Microsoft Office Word</Application>
  <DocSecurity>0</DocSecurity>
  <Lines>41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PUC-MG – PONTIFÍCIA UNIVERSIDADE CATÓLICA DE MINAS GERAIS</vt:lpstr>
      <vt:lpstr>PUC-MG – PONTIFÍCIA UNIVERSIDADE CATÓLICA DE MINAS GERAIS</vt:lpstr>
    </vt:vector>
  </TitlesOfParts>
  <Company>Sociedade Mineira de Cultura</Company>
  <LinksUpToDate>false</LinksUpToDate>
  <CharactersWithSpaces>5929</CharactersWithSpaces>
  <SharedDoc>false</SharedDoc>
  <HLinks>
    <vt:vector size="108" baseType="variant">
      <vt:variant>
        <vt:i4>1179709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_Toc445198589</vt:lpwstr>
      </vt:variant>
      <vt:variant>
        <vt:i4>1179709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_Toc445198588</vt:lpwstr>
      </vt:variant>
      <vt:variant>
        <vt:i4>1179709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_Toc445198587</vt:lpwstr>
      </vt:variant>
      <vt:variant>
        <vt:i4>1179709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_Toc445198586</vt:lpwstr>
      </vt:variant>
      <vt:variant>
        <vt:i4>1179709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_Toc445198585</vt:lpwstr>
      </vt:variant>
      <vt:variant>
        <vt:i4>1179709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_Toc445198584</vt:lpwstr>
      </vt:variant>
      <vt:variant>
        <vt:i4>1179709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_Toc445198583</vt:lpwstr>
      </vt:variant>
      <vt:variant>
        <vt:i4>1179709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_Toc445198582</vt:lpwstr>
      </vt:variant>
      <vt:variant>
        <vt:i4>1179709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_Toc445198581</vt:lpwstr>
      </vt:variant>
      <vt:variant>
        <vt:i4>1179709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_Toc445198580</vt:lpwstr>
      </vt:variant>
      <vt:variant>
        <vt:i4>1900605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_Toc445198579</vt:lpwstr>
      </vt:variant>
      <vt:variant>
        <vt:i4>1900605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_Toc445198578</vt:lpwstr>
      </vt:variant>
      <vt:variant>
        <vt:i4>1900605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_Toc445198577</vt:lpwstr>
      </vt:variant>
      <vt:variant>
        <vt:i4>1900605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_Toc445198576</vt:lpwstr>
      </vt:variant>
      <vt:variant>
        <vt:i4>1900605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_Toc445198575</vt:lpwstr>
      </vt:variant>
      <vt:variant>
        <vt:i4>1900605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_Toc445198574</vt:lpwstr>
      </vt:variant>
      <vt:variant>
        <vt:i4>1900605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_Toc445198573</vt:lpwstr>
      </vt:variant>
      <vt:variant>
        <vt:i4>1900605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_Toc445198572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PUC-MG – PONTIFÍCIA UNIVERSIDADE CATÓLICA DE MINAS GERAIS</dc:title>
  <dc:subject/>
  <dc:creator>Sociedade Mineira de Cultura</dc:creator>
  <cp:keywords/>
  <cp:lastModifiedBy>Rommel Vieira Carneiro</cp:lastModifiedBy>
  <cp:revision>13</cp:revision>
  <cp:lastPrinted>2013-03-18T18:49:00Z</cp:lastPrinted>
  <dcterms:created xsi:type="dcterms:W3CDTF">2019-06-10T02:33:00Z</dcterms:created>
  <dcterms:modified xsi:type="dcterms:W3CDTF">2021-06-16T02:16:00Z</dcterms:modified>
</cp:coreProperties>
</file>