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3D85D" w14:textId="77777777" w:rsidR="00DE2B20" w:rsidRPr="000D402F" w:rsidRDefault="00DE2B20" w:rsidP="00DE2B20">
      <w:pPr>
        <w:ind w:firstLine="0"/>
      </w:pPr>
    </w:p>
    <w:p w14:paraId="45C03077" w14:textId="7B9E7A89" w:rsidR="00DE2B20" w:rsidRPr="000D402F" w:rsidRDefault="00C41BB6" w:rsidP="00DE2B20">
      <w:pPr>
        <w:ind w:firstLine="0"/>
        <w:jc w:val="center"/>
      </w:pPr>
      <w:r>
        <w:pict w14:anchorId="39E854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5.5pt;height:91.5pt">
            <v:imagedata r:id="rId7" o:title=""/>
          </v:shape>
        </w:pict>
      </w:r>
    </w:p>
    <w:p w14:paraId="244D05E8" w14:textId="77777777" w:rsidR="00DE2B20" w:rsidRDefault="00DE2B20" w:rsidP="00DE2B20">
      <w:pPr>
        <w:ind w:firstLine="0"/>
        <w:jc w:val="center"/>
      </w:pPr>
    </w:p>
    <w:p w14:paraId="022D55B4" w14:textId="27708FE5" w:rsidR="00A600F2" w:rsidRPr="000D402F" w:rsidRDefault="00A600F2" w:rsidP="00DE2B20">
      <w:pPr>
        <w:ind w:firstLine="0"/>
        <w:jc w:val="center"/>
      </w:pPr>
      <w:r w:rsidRPr="00DE2B20">
        <w:rPr>
          <w:b/>
          <w:bCs/>
          <w:sz w:val="26"/>
          <w:szCs w:val="26"/>
        </w:rPr>
        <w:t>PONTIFÍCIA UNIVERSIDADE CATÓLICA DE MINAS GERAIS</w:t>
      </w:r>
      <w:r w:rsidRPr="00DE2B20">
        <w:rPr>
          <w:b/>
          <w:bCs/>
          <w:sz w:val="26"/>
          <w:szCs w:val="26"/>
        </w:rPr>
        <w:br/>
      </w:r>
      <w:r w:rsidRPr="00DE2B20">
        <w:rPr>
          <w:sz w:val="20"/>
          <w:szCs w:val="20"/>
        </w:rPr>
        <w:t>NÚCLEO DE EDUCAÇÃO A DISTÂNCIA</w:t>
      </w:r>
    </w:p>
    <w:p w14:paraId="203D9882" w14:textId="0A8021A9" w:rsidR="00A600F2" w:rsidRPr="000D402F" w:rsidRDefault="00A600F2" w:rsidP="00DE2B20">
      <w:pPr>
        <w:ind w:firstLine="0"/>
        <w:jc w:val="center"/>
      </w:pPr>
      <w:r w:rsidRPr="000D402F">
        <w:t xml:space="preserve">Pós-graduação </w:t>
      </w:r>
      <w:r w:rsidRPr="000D402F">
        <w:rPr>
          <w:i/>
        </w:rPr>
        <w:t>Lato Sensu</w:t>
      </w:r>
      <w:r w:rsidRPr="000D402F">
        <w:t xml:space="preserve"> em </w:t>
      </w:r>
      <w:proofErr w:type="spellStart"/>
      <w:r w:rsidR="00430F9A">
        <w:t>Analytics</w:t>
      </w:r>
      <w:proofErr w:type="spellEnd"/>
      <w:r w:rsidR="00430F9A">
        <w:t xml:space="preserve"> e </w:t>
      </w:r>
      <w:r w:rsidR="00463BBB">
        <w:t xml:space="preserve">Business </w:t>
      </w:r>
      <w:proofErr w:type="spellStart"/>
      <w:r w:rsidR="00463BBB">
        <w:t>Intelligence</w:t>
      </w:r>
      <w:proofErr w:type="spellEnd"/>
      <w:r w:rsidR="00430F9A" w:rsidRPr="000D402F">
        <w:t xml:space="preserve"> </w:t>
      </w:r>
      <w:r w:rsidRPr="000D402F">
        <w:br/>
      </w:r>
    </w:p>
    <w:p w14:paraId="76107CF5" w14:textId="77777777" w:rsidR="00830285" w:rsidRPr="000D402F" w:rsidRDefault="00830285" w:rsidP="00DE2B20">
      <w:pPr>
        <w:ind w:firstLine="0"/>
      </w:pPr>
    </w:p>
    <w:p w14:paraId="1D17A597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2F385225" w14:textId="77777777" w:rsidR="00830285" w:rsidRPr="000D402F" w:rsidRDefault="00830285" w:rsidP="00DE2B20">
      <w:pPr>
        <w:ind w:firstLine="0"/>
      </w:pPr>
    </w:p>
    <w:p w14:paraId="0BB9F832" w14:textId="77777777" w:rsidR="00830285" w:rsidRPr="000D402F" w:rsidRDefault="00830285" w:rsidP="00DE2B20">
      <w:pPr>
        <w:ind w:firstLine="0"/>
      </w:pPr>
    </w:p>
    <w:p w14:paraId="78734D32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A65741B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2124187C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</w:p>
    <w:p w14:paraId="00CC1D73" w14:textId="30028A5F" w:rsidR="00830285" w:rsidRPr="00DE2B20" w:rsidRDefault="00152C6C" w:rsidP="00DE2B20">
      <w:pPr>
        <w:ind w:firstLine="0"/>
        <w:jc w:val="center"/>
        <w:rPr>
          <w:b/>
          <w:bCs/>
          <w:sz w:val="34"/>
          <w:szCs w:val="34"/>
          <w:shd w:val="clear" w:color="auto" w:fill="FFFFFF"/>
        </w:rPr>
      </w:pPr>
      <w:r w:rsidRPr="00DE2B20">
        <w:rPr>
          <w:b/>
          <w:bCs/>
          <w:sz w:val="34"/>
          <w:szCs w:val="34"/>
          <w:shd w:val="clear" w:color="auto" w:fill="FFFFFF"/>
        </w:rPr>
        <w:t>RELATÓRIO TÉCNICO</w:t>
      </w:r>
    </w:p>
    <w:p w14:paraId="3192746F" w14:textId="3F850E02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PARCEIROS COMERCIAIS DOS ESTADOS BRASILEIROS: UMA SOLUÇÃO DE BUSINESS INTELLIGENCE E ANALYTICS COM DADOS PÚBLICOS DO COMEX STAT (2022–2026)</w:t>
      </w:r>
    </w:p>
    <w:p w14:paraId="26329322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D4349C0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1971591E" w14:textId="77777777" w:rsidR="00830285" w:rsidRPr="000D402F" w:rsidRDefault="00830285" w:rsidP="00DE2B20">
      <w:pPr>
        <w:ind w:firstLine="0"/>
        <w:rPr>
          <w:shd w:val="clear" w:color="auto" w:fill="FFFFFF"/>
        </w:rPr>
      </w:pPr>
    </w:p>
    <w:p w14:paraId="7E6588AF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</w:p>
    <w:p w14:paraId="21B070FD" w14:textId="77777777" w:rsidR="00152C6C" w:rsidRPr="000D402F" w:rsidRDefault="00152C6C" w:rsidP="00DE2B20">
      <w:pPr>
        <w:ind w:firstLine="0"/>
        <w:jc w:val="center"/>
      </w:pPr>
      <w:r w:rsidRPr="000D402F">
        <w:t>Robson Douglas de Almeida</w:t>
      </w:r>
    </w:p>
    <w:p w14:paraId="77A0EE36" w14:textId="08EB54E2" w:rsidR="00830285" w:rsidRDefault="00830285" w:rsidP="00DE2B20">
      <w:pPr>
        <w:ind w:firstLine="0"/>
        <w:jc w:val="center"/>
        <w:rPr>
          <w:shd w:val="clear" w:color="auto" w:fill="FFFFFF"/>
        </w:rPr>
      </w:pPr>
    </w:p>
    <w:p w14:paraId="472413B4" w14:textId="4E14C3AC" w:rsidR="00152C6C" w:rsidRDefault="00152C6C" w:rsidP="00DE2B20">
      <w:pPr>
        <w:ind w:firstLine="0"/>
        <w:jc w:val="center"/>
        <w:rPr>
          <w:shd w:val="clear" w:color="auto" w:fill="FFFFFF"/>
        </w:rPr>
      </w:pPr>
    </w:p>
    <w:p w14:paraId="0DA36AD0" w14:textId="77777777" w:rsidR="00152C6C" w:rsidRPr="000D402F" w:rsidRDefault="00152C6C" w:rsidP="00DE2B20">
      <w:pPr>
        <w:ind w:firstLine="0"/>
        <w:jc w:val="center"/>
        <w:rPr>
          <w:shd w:val="clear" w:color="auto" w:fill="FFFFFF"/>
        </w:rPr>
      </w:pPr>
    </w:p>
    <w:p w14:paraId="73DF7743" w14:textId="77777777" w:rsidR="00830285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Belo Horizonte</w:t>
      </w:r>
    </w:p>
    <w:p w14:paraId="1CF82F7C" w14:textId="5D7729A2" w:rsidR="00430F9A" w:rsidRPr="000D402F" w:rsidRDefault="00830285" w:rsidP="00DE2B20">
      <w:pPr>
        <w:ind w:firstLine="0"/>
        <w:jc w:val="center"/>
        <w:rPr>
          <w:shd w:val="clear" w:color="auto" w:fill="FFFFFF"/>
        </w:rPr>
      </w:pPr>
      <w:r w:rsidRPr="000D402F">
        <w:rPr>
          <w:shd w:val="clear" w:color="auto" w:fill="FFFFFF"/>
        </w:rPr>
        <w:t>2026</w:t>
      </w:r>
    </w:p>
    <w:p w14:paraId="04C946DD" w14:textId="0815C956" w:rsidR="00830285" w:rsidRPr="00DE2B20" w:rsidRDefault="00830285" w:rsidP="00BA0E35">
      <w:pPr>
        <w:rPr>
          <w:b/>
          <w:bCs/>
          <w:lang w:eastAsia="pt-BR"/>
        </w:rPr>
      </w:pPr>
      <w:r w:rsidRPr="000D402F">
        <w:rPr>
          <w:color w:val="222222"/>
          <w:shd w:val="clear" w:color="auto" w:fill="FFFFFF"/>
        </w:rPr>
        <w:t xml:space="preserve"> </w:t>
      </w:r>
      <w:r w:rsidRPr="000D402F">
        <w:br w:type="page"/>
      </w:r>
      <w:r w:rsidRPr="00DE2B20">
        <w:rPr>
          <w:b/>
          <w:bCs/>
          <w:sz w:val="34"/>
          <w:szCs w:val="34"/>
          <w:lang w:eastAsia="pt-BR"/>
        </w:rPr>
        <w:lastRenderedPageBreak/>
        <w:t>SUMÁRIO</w:t>
      </w:r>
    </w:p>
    <w:p w14:paraId="38B0363F" w14:textId="77777777" w:rsidR="00830285" w:rsidRPr="000D402F" w:rsidRDefault="00830285" w:rsidP="00BA0E35">
      <w:pPr>
        <w:rPr>
          <w:lang w:eastAsia="pt-BR"/>
        </w:rPr>
      </w:pPr>
    </w:p>
    <w:p w14:paraId="5B1DDDEF" w14:textId="77777777" w:rsidR="00830285" w:rsidRPr="000D402F" w:rsidRDefault="00830285" w:rsidP="00BA0E35">
      <w:pPr>
        <w:rPr>
          <w:lang w:eastAsia="pt-BR"/>
        </w:rPr>
      </w:pPr>
    </w:p>
    <w:p w14:paraId="207D16A0" w14:textId="5DE56C43" w:rsidR="00C41BB6" w:rsidRPr="00001F71" w:rsidRDefault="00830285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r w:rsidRPr="000D402F">
        <w:rPr>
          <w:rFonts w:eastAsia="Times New Roman"/>
        </w:rPr>
        <w:fldChar w:fldCharType="begin"/>
      </w:r>
      <w:r w:rsidRPr="000D402F">
        <w:rPr>
          <w:rFonts w:eastAsia="Times New Roman"/>
        </w:rPr>
        <w:instrText xml:space="preserve"> TOC \o "1-2" \h \z \u </w:instrText>
      </w:r>
      <w:r w:rsidRPr="000D402F">
        <w:rPr>
          <w:rFonts w:eastAsia="Times New Roman"/>
        </w:rPr>
        <w:fldChar w:fldCharType="separate"/>
      </w:r>
      <w:hyperlink w:anchor="_Toc74691365" w:history="1">
        <w:r w:rsidR="00C41BB6" w:rsidRPr="00425413">
          <w:rPr>
            <w:rStyle w:val="Hyperlink"/>
          </w:rPr>
          <w:t>1. Introdução</w:t>
        </w:r>
        <w:r w:rsidR="00C41BB6">
          <w:rPr>
            <w:webHidden/>
          </w:rPr>
          <w:tab/>
        </w:r>
        <w:r w:rsidR="00C41BB6">
          <w:rPr>
            <w:webHidden/>
          </w:rPr>
          <w:fldChar w:fldCharType="begin"/>
        </w:r>
        <w:r w:rsidR="00C41BB6">
          <w:rPr>
            <w:webHidden/>
          </w:rPr>
          <w:instrText xml:space="preserve"> PAGEREF _Toc74691365 \h </w:instrText>
        </w:r>
        <w:r w:rsidR="00C41BB6">
          <w:rPr>
            <w:webHidden/>
          </w:rPr>
        </w:r>
        <w:r w:rsidR="00C41BB6">
          <w:rPr>
            <w:webHidden/>
          </w:rPr>
          <w:fldChar w:fldCharType="separate"/>
        </w:r>
        <w:r w:rsidR="00C41BB6">
          <w:rPr>
            <w:webHidden/>
          </w:rPr>
          <w:t>3</w:t>
        </w:r>
        <w:r w:rsidR="00C41BB6">
          <w:rPr>
            <w:webHidden/>
          </w:rPr>
          <w:fldChar w:fldCharType="end"/>
        </w:r>
      </w:hyperlink>
    </w:p>
    <w:p w14:paraId="79D9BFE7" w14:textId="78454857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6" w:history="1">
        <w:r w:rsidRPr="00425413">
          <w:rPr>
            <w:rStyle w:val="Hyperlink"/>
            <w:noProof/>
            <w:lang w:eastAsia="pt-BR"/>
          </w:rPr>
          <w:t>1.1.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1A40192" w14:textId="163A7082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7" w:history="1">
        <w:r w:rsidRPr="00425413">
          <w:rPr>
            <w:rStyle w:val="Hyperlink"/>
            <w:noProof/>
            <w:lang w:eastAsia="pt-BR"/>
          </w:rPr>
          <w:t>1.2.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DD133B" w14:textId="05E1F11C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68" w:history="1">
        <w:r w:rsidRPr="00425413">
          <w:rPr>
            <w:rStyle w:val="Hyperlink"/>
            <w:noProof/>
            <w:lang w:eastAsia="pt-BR"/>
          </w:rPr>
          <w:t>1.3. Público alvo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37AC6D" w14:textId="6B4510AF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69" w:history="1">
        <w:r w:rsidRPr="00425413">
          <w:rPr>
            <w:rStyle w:val="Hyperlink"/>
          </w:rPr>
          <w:t>2. Modelo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_Toc74691369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1DEC450" w14:textId="5A34B995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0" w:history="1">
        <w:r w:rsidRPr="00425413">
          <w:rPr>
            <w:rStyle w:val="Hyperlink"/>
            <w:noProof/>
            <w:lang w:eastAsia="pt-BR"/>
          </w:rPr>
          <w:t>2.1. Modelo Dimensional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1E0E7F" w14:textId="41C04031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1" w:history="1">
        <w:r w:rsidRPr="00425413">
          <w:rPr>
            <w:rStyle w:val="Hyperlink"/>
            <w:noProof/>
            <w:lang w:eastAsia="pt-BR"/>
          </w:rPr>
          <w:t>2.2. Fatos e Dimensões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E1F0B62" w14:textId="4F637AC9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2" w:history="1">
        <w:r w:rsidRPr="00425413">
          <w:rPr>
            <w:rStyle w:val="Hyperlink"/>
          </w:rPr>
          <w:t>3. Integração, Tratamento e Carga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28048200" w14:textId="70A2420F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3" w:history="1">
        <w:r w:rsidRPr="00425413">
          <w:rPr>
            <w:rStyle w:val="Hyperlink"/>
            <w:noProof/>
            <w:lang w:eastAsia="pt-BR"/>
          </w:rPr>
          <w:t>3.1. Fontes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FBF3D8" w14:textId="19FB2D75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4" w:history="1">
        <w:r w:rsidRPr="00425413">
          <w:rPr>
            <w:rStyle w:val="Hyperlink"/>
            <w:noProof/>
            <w:lang w:eastAsia="pt-BR"/>
          </w:rPr>
          <w:t>3.2. Processos de Integração e Carga (ETL)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FC68801" w14:textId="5C059BD9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5" w:history="1">
        <w:r w:rsidRPr="00425413">
          <w:rPr>
            <w:rStyle w:val="Hyperlink"/>
          </w:rPr>
          <w:t>4. Camada de Apresentação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E5C3C5E" w14:textId="0C2A5817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6" w:history="1">
        <w:r w:rsidRPr="00425413">
          <w:rPr>
            <w:rStyle w:val="Hyperlink"/>
            <w:noProof/>
          </w:rPr>
          <w:t>4.1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384D038" w14:textId="6B9E694C" w:rsidR="00C41BB6" w:rsidRPr="00001F71" w:rsidRDefault="00C41BB6">
      <w:pPr>
        <w:pStyle w:val="Sumrio2"/>
        <w:tabs>
          <w:tab w:val="right" w:leader="dot" w:pos="9061"/>
        </w:tabs>
        <w:rPr>
          <w:rFonts w:ascii="Calibri" w:eastAsia="Times New Roman" w:hAnsi="Calibri" w:cs="Times New Roman"/>
          <w:noProof/>
          <w:sz w:val="22"/>
          <w:szCs w:val="22"/>
          <w:lang w:eastAsia="pt-BR"/>
        </w:rPr>
      </w:pPr>
      <w:hyperlink w:anchor="_Toc74691377" w:history="1">
        <w:r w:rsidRPr="00425413">
          <w:rPr>
            <w:rStyle w:val="Hyperlink"/>
            <w:noProof/>
          </w:rPr>
          <w:t>4.2 Análises avançadas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_Toc74691377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934C7AA" w14:textId="5B326CD7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8" w:history="1">
        <w:r w:rsidRPr="00425413">
          <w:rPr>
            <w:rStyle w:val="Hyperlink"/>
          </w:rPr>
          <w:t>5. Registros de Homologação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58DC9DFF" w14:textId="4367329B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79" w:history="1">
        <w:r w:rsidRPr="00425413">
          <w:rPr>
            <w:rStyle w:val="Hyperlink"/>
          </w:rPr>
          <w:t>5. Conclusões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22A6264A" w14:textId="5ECB5937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80" w:history="1">
        <w:r w:rsidRPr="00425413">
          <w:rPr>
            <w:rStyle w:val="Hyperlink"/>
          </w:rPr>
          <w:t>6. Links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_Toc74691380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B17B8E0" w14:textId="451F6C4C" w:rsidR="00C41BB6" w:rsidRPr="00001F71" w:rsidRDefault="00C41BB6">
      <w:pPr>
        <w:pStyle w:val="Sumrio1"/>
        <w:rPr>
          <w:rFonts w:ascii="Calibri" w:eastAsia="Times New Roman" w:hAnsi="Calibri" w:cs="Times New Roman"/>
          <w:b w:val="0"/>
          <w:sz w:val="22"/>
          <w:szCs w:val="22"/>
        </w:rPr>
      </w:pPr>
      <w:hyperlink w:anchor="_Toc74691381" w:history="1">
        <w:r w:rsidRPr="00425413">
          <w:rPr>
            <w:rStyle w:val="Hyperlink"/>
          </w:rPr>
          <w:t>REFERÊNCIAS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_Toc74691381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4D4B0846" w14:textId="381C5AF8" w:rsidR="00830285" w:rsidRPr="000D402F" w:rsidRDefault="00830285" w:rsidP="00BA0E35">
      <w:pPr>
        <w:pStyle w:val="Sumrio2"/>
        <w:rPr>
          <w:rFonts w:ascii="Calibri" w:hAnsi="Calibri"/>
          <w:noProof/>
          <w:sz w:val="22"/>
          <w:lang w:eastAsia="pt-BR"/>
        </w:rPr>
      </w:pPr>
      <w:r w:rsidRPr="000D402F">
        <w:rPr>
          <w:lang w:eastAsia="pt-BR"/>
        </w:rPr>
        <w:fldChar w:fldCharType="end"/>
      </w:r>
    </w:p>
    <w:p w14:paraId="52894304" w14:textId="77777777" w:rsidR="00830285" w:rsidRPr="000D402F" w:rsidRDefault="00830285" w:rsidP="00BA0E35">
      <w:pPr>
        <w:rPr>
          <w:lang w:eastAsia="pt-BR"/>
        </w:rPr>
      </w:pPr>
    </w:p>
    <w:p w14:paraId="76DCC545" w14:textId="77777777" w:rsidR="00830285" w:rsidRPr="000D402F" w:rsidRDefault="00830285" w:rsidP="00BA0E35">
      <w:pPr>
        <w:rPr>
          <w:lang w:eastAsia="pt-BR"/>
        </w:rPr>
      </w:pPr>
    </w:p>
    <w:p w14:paraId="0E88D996" w14:textId="77777777" w:rsidR="00830285" w:rsidRPr="000D402F" w:rsidRDefault="00830285" w:rsidP="00BA0E35">
      <w:pPr>
        <w:rPr>
          <w:lang w:eastAsia="pt-BR"/>
        </w:rPr>
        <w:sectPr w:rsidR="00830285" w:rsidRPr="000D402F" w:rsidSect="00D3159F">
          <w:pgSz w:w="11906" w:h="16838"/>
          <w:pgMar w:top="1701" w:right="1134" w:bottom="1134" w:left="1701" w:header="709" w:footer="709" w:gutter="0"/>
          <w:cols w:space="708"/>
          <w:docGrid w:linePitch="360"/>
        </w:sectPr>
      </w:pPr>
    </w:p>
    <w:p w14:paraId="33100A2A" w14:textId="446695D4" w:rsidR="00830285" w:rsidRPr="000D402F" w:rsidRDefault="00830285" w:rsidP="00BA0E35">
      <w:pPr>
        <w:pStyle w:val="Ttulo1"/>
        <w:rPr>
          <w:lang w:eastAsia="pt-BR"/>
        </w:rPr>
      </w:pPr>
      <w:bookmarkStart w:id="0" w:name="_Toc74691365"/>
      <w:r w:rsidRPr="000D402F">
        <w:rPr>
          <w:lang w:eastAsia="pt-BR"/>
        </w:rPr>
        <w:lastRenderedPageBreak/>
        <w:t xml:space="preserve">1. </w:t>
      </w:r>
      <w:r w:rsidR="00463BBB">
        <w:rPr>
          <w:lang w:eastAsia="pt-BR"/>
        </w:rPr>
        <w:t>Introdução</w:t>
      </w:r>
      <w:bookmarkEnd w:id="0"/>
    </w:p>
    <w:p w14:paraId="0962A95B" w14:textId="77777777" w:rsidR="00830285" w:rsidRPr="000D402F" w:rsidRDefault="00830285" w:rsidP="00BA0E35">
      <w:pPr>
        <w:rPr>
          <w:lang w:eastAsia="pt-BR"/>
        </w:rPr>
      </w:pPr>
    </w:p>
    <w:p w14:paraId="2907AF19" w14:textId="77777777" w:rsidR="00A600F2" w:rsidRPr="000D402F" w:rsidRDefault="00A600F2" w:rsidP="00BA0E35">
      <w:pPr>
        <w:pStyle w:val="Ttulo2"/>
        <w:rPr>
          <w:lang w:eastAsia="pt-BR"/>
        </w:rPr>
      </w:pPr>
      <w:bookmarkStart w:id="1" w:name="_Toc297133343"/>
      <w:bookmarkStart w:id="2" w:name="_Toc74691366"/>
      <w:r w:rsidRPr="000D402F">
        <w:rPr>
          <w:lang w:eastAsia="pt-BR"/>
        </w:rPr>
        <w:t>1.1. Contexto</w:t>
      </w:r>
      <w:bookmarkEnd w:id="1"/>
      <w:bookmarkEnd w:id="2"/>
    </w:p>
    <w:p>
      <w:pPr>
        <w:spacing w:after="120"/>
        <w:jc w:val="both"/>
      </w:pPr>
      <w:r>
        <w:rPr>
          <w:i w:val="0"/>
        </w:rPr>
        <w:t>O comércio exterior é um dos principais motores da economia brasileira. Entre janeiro de 2022 e setembro de 2026, o país exportou US$ 1,64 trilhão e importou US$ 1,28 trilhão em mercadorias, segundo as estatísticas oficiais do Ministério do Desenvolvimento, Indústria, Comércio e Serviços (MDIC), divulgadas pela plataforma Comex Stat.</w:t>
      </w:r>
    </w:p>
    <w:p>
      <w:pPr>
        <w:spacing w:after="120"/>
        <w:jc w:val="both"/>
      </w:pPr>
      <w:r>
        <w:rPr>
          <w:i w:val="0"/>
        </w:rPr>
        <w:t>Esse volume, porém, não se distribui de forma homogênea pelo território. Cada unidade da federação (UF) tem uma pauta e um conjunto de parceiros próprios: estados do Centro-Oeste e do Norte dependem de commodities agrícolas e minerais vendidas sobretudo à China, enquanto estados do Sul e do Sudeste exportam produtos mais diversificados a um número maior de países. Essa concentração expõe economias estaduais a choques de demanda, de preço ou de política comercial de um único parceiro.</w:t>
      </w:r>
    </w:p>
    <w:p>
      <w:pPr>
        <w:spacing w:after="120"/>
        <w:jc w:val="both"/>
      </w:pPr>
      <w:r>
        <w:rPr>
          <w:i w:val="0"/>
        </w:rPr>
        <w:t>Os dados para acompanhar esse quadro são públicos, mas chegam em arquivos CSV volumosos (mais de 13 milhões de linhas no período), codificados (NCM/SH, códigos de país e de município) e separados por ano e por fluxo. Não existe, para o gestor público ou para a entidade empresarial de um estado, uma visão consolidada e navegável que responda rapidamente: quem são os principais parceiros de cada UF, quanto cada estado depende de um só destino e como essa relação evolui no tempo.</w:t>
      </w:r>
    </w:p>
    <w:p>
      <w:pPr>
        <w:spacing w:after="120"/>
        <w:jc w:val="both"/>
      </w:pPr>
      <w:r>
        <w:rPr>
          <w:i w:val="0"/>
        </w:rPr>
        <w:t>O projeto foi desenvolvido de forma individual, com dados públicos e ferramentas de uso livre ou amplamente disponíveis: Python (pandas e scikit-learn) para integração e análises avançadas e Microsoft Power BI Desktop para o modelo dimensional e os painéis. Por se tratar de dados públicos e agregados, não há informações pessoais nem necessidade de autorização de uso.</w:t>
      </w:r>
    </w:p>
    <w:p>
      <w:pPr>
        <w:spacing w:after="120"/>
        <w:jc w:val="both"/>
      </w:pPr>
      <w:r>
        <w:rPr>
          <w:i w:val="0"/>
        </w:rPr>
        <w:t>A pergunta que orienta o projeto é: como uma solução de Business Intelligence e Analytics, construída com dados públicos do Comex Stat, pode apoiar a identificação dos principais parceiros comerciais, a avaliação da concentração das exportações e a caracterização dos perfis comerciais das UFs brasileiras?</w:t>
      </w:r>
    </w:p>
    <w:p w14:paraId="2C736589" w14:textId="399FB0E9" w:rsidR="00DE2B20" w:rsidRPr="00C41BB6" w:rsidRDefault="00DE2B20" w:rsidP="00BA0E35">
      <w:pPr>
        <w:pStyle w:val="Ttulo2"/>
        <w:rPr>
          <w:lang w:val="pt-BR" w:eastAsia="pt-BR"/>
        </w:rPr>
      </w:pPr>
      <w:bookmarkStart w:id="3" w:name="_Toc74691367"/>
      <w:r w:rsidRPr="000D402F">
        <w:rPr>
          <w:lang w:eastAsia="pt-BR"/>
        </w:rPr>
        <w:t>1.</w:t>
      </w:r>
      <w:r>
        <w:rPr>
          <w:lang w:eastAsia="pt-BR"/>
        </w:rPr>
        <w:t>2</w:t>
      </w:r>
      <w:r w:rsidRPr="000D402F">
        <w:rPr>
          <w:lang w:eastAsia="pt-BR"/>
        </w:rPr>
        <w:t xml:space="preserve">. </w:t>
      </w:r>
      <w:r>
        <w:rPr>
          <w:lang w:val="pt-BR" w:eastAsia="pt-BR"/>
        </w:rPr>
        <w:t>Objetivos</w:t>
      </w:r>
      <w:bookmarkEnd w:id="3"/>
    </w:p>
    <w:p>
      <w:pPr>
        <w:spacing w:after="120"/>
        <w:jc w:val="both"/>
      </w:pPr>
      <w:r>
        <w:rPr>
          <w:i w:val="0"/>
        </w:rPr>
        <w:t>O objetivo geral é desenvolver uma solução de Business Intelligence e Analytics, baseada em dados públicos do Comex Stat, para analisar os fluxos de comércio exterior das 27 UFs brasileiras, identificar seus principais parceiros comerciais, avaliar a concentração das exportações e explorar perfis comerciais por meio de técnicas de análise de dados e aprendizado de máquina.</w:t>
      </w:r>
    </w:p>
    <w:p>
      <w:pPr>
        <w:spacing w:after="120"/>
        <w:jc w:val="both"/>
      </w:pPr>
      <w:r>
        <w:rPr>
          <w:i w:val="0"/>
        </w:rPr>
        <w:t>Os objetivos específicos são:</w:t>
      </w:r>
    </w:p>
    <w:p>
      <w:pPr>
        <w:spacing w:after="60"/>
        <w:ind w:left="567" w:hanging="283"/>
        <w:jc w:val="both"/>
      </w:pPr>
      <w:r>
        <w:t xml:space="preserve">–  </w:t>
      </w:r>
      <w:r>
        <w:t>consolidar as bases do Comex Stat de 2022 a 2026 em um modelo dimensional único e validado;</w:t>
      </w:r>
    </w:p>
    <w:p>
      <w:pPr>
        <w:spacing w:after="60"/>
        <w:ind w:left="567" w:hanging="283"/>
        <w:jc w:val="both"/>
      </w:pPr>
      <w:r>
        <w:t xml:space="preserve">–  </w:t>
      </w:r>
      <w:r>
        <w:t>acompanhar exportação, importação, saldo e corrente de comércio por UF, região, país e produto;</w:t>
      </w:r>
    </w:p>
    <w:p>
      <w:pPr>
        <w:spacing w:after="60"/>
        <w:ind w:left="567" w:hanging="283"/>
        <w:jc w:val="both"/>
      </w:pPr>
      <w:r>
        <w:t xml:space="preserve">–  </w:t>
      </w:r>
      <w:r>
        <w:t>medir a concentração de destinos de cada UF e destacar os estados mais dependentes de um parceiro;</w:t>
      </w:r>
    </w:p>
    <w:p>
      <w:pPr>
        <w:spacing w:after="60"/>
        <w:ind w:left="567" w:hanging="283"/>
        <w:jc w:val="both"/>
      </w:pPr>
      <w:r>
        <w:t xml:space="preserve">–  </w:t>
      </w:r>
      <w:r>
        <w:t>projetar o comportamento das exportações e importações e agrupar as UFs por perfil comercial com técnicas de aprendizado de máquina;</w:t>
      </w:r>
    </w:p>
    <w:p>
      <w:pPr>
        <w:spacing w:after="60"/>
        <w:ind w:left="567" w:hanging="283"/>
        <w:jc w:val="both"/>
      </w:pPr>
      <w:r>
        <w:t xml:space="preserve">–  </w:t>
      </w:r>
      <w:r>
        <w:t>propor ações de diversificação de mercados e de produtos a partir dos achados.</w:t>
      </w:r>
    </w:p>
    <w:p>
      <w:pPr>
        <w:spacing w:after="120"/>
        <w:jc w:val="both"/>
      </w:pPr>
      <w:r>
        <w:rPr>
          <w:i w:val="0"/>
        </w:rPr>
        <w:t>Os objetivos estratégicos são acompanhados pelos indicadores do Quadro 1, calculados no painel.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 – Indicadores estratégicos do projeto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381"/>
        <w:gridCol w:w="3175"/>
        <w:gridCol w:w="3515"/>
      </w:tblGrid>
      <w:tr>
        <w:trPr>
          <w:tblHeader w:val="true"/>
        </w:trPr>
        <w:tc>
          <w:tcPr>
            <w:tcW w:type="dxa" w:w="238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Pergunta que responde</w:t>
            </w:r>
          </w:p>
        </w:tc>
        <w:tc>
          <w:tcPr>
            <w:tcW w:type="dxa" w:w="351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Forma de cálculo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/ Importação (US$ FOB)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Quanto cada UF vende e compra do exterior?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Soma de VL_FOB por fluxo (EXP / IMP)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Saldo comercial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A UF é superavitária ou deficitária?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− Importação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Corrente de comércio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Qual o tamanho do comércio exterior da UF?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+ Importação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Var. % da exportação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A UF está crescendo em relação ao ano anterior?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(Exp. ano − Exp. mesmos meses do ano anterior) ÷ Exp. ano anterior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% Principal destino (dependência)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Quanto da exportação vai para um só país?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ao 1º país ÷ Exportação total da UF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Nº de parceiros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Com quantos países a UF comercializa?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Contagem distinta de países com exportação</w:t>
            </w:r>
          </w:p>
        </w:tc>
      </w:tr>
      <w:tr>
        <w:tc>
          <w:tcPr>
            <w:tcW w:type="dxa" w:w="238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Preço médio (US$/kg)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Qual o valor unitário médio da pauta exportada?</w:t>
            </w:r>
          </w:p>
        </w:tc>
        <w:tc>
          <w:tcPr>
            <w:tcW w:type="dxa" w:w="351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 (US$) ÷ peso líquido exportado (kg)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550BCC5E" w14:textId="512F11B1" w:rsidR="006F6708" w:rsidRPr="000D402F" w:rsidRDefault="006F6708" w:rsidP="00BA0E35">
      <w:pPr>
        <w:pStyle w:val="Ttulo2"/>
        <w:rPr>
          <w:lang w:eastAsia="pt-BR"/>
        </w:rPr>
      </w:pPr>
      <w:bookmarkStart w:id="4" w:name="_Toc74691368"/>
      <w:r w:rsidRPr="000D402F">
        <w:rPr>
          <w:lang w:eastAsia="pt-BR"/>
        </w:rPr>
        <w:t>1.3. Público-alvo</w:t>
      </w:r>
      <w:bookmarkEnd w:id="4"/>
    </w:p>
    <w:p>
      <w:pPr>
        <w:spacing w:after="120"/>
        <w:jc w:val="both"/>
      </w:pPr>
      <w:r>
        <w:rPr>
          <w:i w:val="0"/>
        </w:rPr>
        <w:t>A solução se destina a três perfis de usuários, que correspondem aos três níveis do painel: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Gestores e formuladores de política: </w:t>
      </w:r>
      <w:r>
        <w:t>secretarias estaduais de desenvolvimento econômico, agências de promoção comercial (como a ApexBrasil) e o MDIC/SECEX, que precisam de uma leitura rápida da posição de cada estado e da dependência de parceiros;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Analistas: </w:t>
      </w:r>
      <w:r>
        <w:t>analistas de federações de indústria e de agricultura, câmaras de comércio e consultorias de comércio exterior, que acompanham a evolução por região, setor e ano;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Executores: </w:t>
      </w:r>
      <w:r>
        <w:t>profissionais de despacho aduaneiro, logística internacional e áreas de exportação das empresas, que consultam produtos, destinos e preços médios em nível detalhado.</w:t>
      </w:r>
    </w:p>
    <w:p>
      <w:pPr>
        <w:spacing w:after="120"/>
        <w:jc w:val="both"/>
      </w:pPr>
      <w:r>
        <w:rPr>
          <w:i w:val="0"/>
        </w:rPr>
        <w:t>São usuários familiarizados com conceitos de comércio exterior (FOB, NCM/SH, balança comercial), mas não necessariamente com ferramentas de BI. Por isso o painel usa siglas de UF, nomes de países por extenso, segmentações simples e valores em bilhões ou milhões de dólares.</w:t>
      </w:r>
    </w:p>
    <w:p>
      <w:pPr>
        <w:spacing w:after="120"/>
        <w:jc w:val="both"/>
      </w:pPr>
      <w:r>
        <w:rPr>
          <w:i w:val="0"/>
        </w:rPr>
        <w:t>O planejamento do projeto foi organizado no Data Driven Canvas, resumido no Quadro 2.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2 – Data Driven Canvas do projeto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268"/>
        <w:gridCol w:w="6804"/>
      </w:tblGrid>
      <w:tr>
        <w:trPr>
          <w:tblHeader w:val="true"/>
        </w:trPr>
        <w:tc>
          <w:tcPr>
            <w:tcW w:type="dxa" w:w="226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Bloco do canvas</w:t>
            </w:r>
          </w:p>
        </w:tc>
        <w:tc>
          <w:tcPr>
            <w:tcW w:type="dxa" w:w="6803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Conteúdo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Objetivos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Identificar os principais parceiros de cada UF; medir a dependência de destinos e produtos; apoiar a diversificação.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Indicadores e metas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Indicadores do Quadro 1. Metas propostas pelo projeto (a validar com os gestores): % Principal destino ≤ 35% nas UFs mais concentradas em 3 anos; aumento do preço médio (US$/kg); crescimento da exportação.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Forma de cálculo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Medidas DAX sobre a fato (Quadro 1 e Quadro 5).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Responsáveis e engajados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Secretarias estaduais de desenvolvimento, ApexBrasil, MDIC/SECEX, federações de indústria e agricultura.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Plano de ação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Diversificar mercados no grupo de UFs dependentes da China; agregar valor à pauta primária; monitorar mensalmente com o painel e a previsão.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Métricas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VL_FOB (US$), KG_LIQUIDO, contagem de países e de produtos — Sistema: Comex Stat (MDIC).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Dashboard (gestores)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Estratégico: KPIs, exportação por UF, top 10 parceiros e dependência por UF.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Self-service analytics (analistas)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Tático e página Análises Avançadas: evolução mensal, regiões, capítulos SH, previsão e grupos de UFs.</w:t>
            </w:r>
          </w:p>
        </w:tc>
      </w:tr>
      <w:tr>
        <w:tc>
          <w:tcPr>
            <w:tcW w:type="dxa" w:w="226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Reports (executores)</w:t>
            </w:r>
          </w:p>
        </w:tc>
        <w:tc>
          <w:tcPr>
            <w:tcW w:type="dxa" w:w="680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Painel Operacional: UF × país × produto, com valor, peso e preço médio.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7DB34115" w14:textId="7BE66BF2" w:rsidR="000D402F" w:rsidRPr="000D402F" w:rsidRDefault="000D402F" w:rsidP="00BA0E35">
      <w:pPr>
        <w:pStyle w:val="Ttulo1"/>
        <w:pageBreakBefore/>
        <w:rPr>
          <w:lang w:eastAsia="pt-BR"/>
        </w:rPr>
      </w:pPr>
      <w:bookmarkStart w:id="5" w:name="_Toc74691369"/>
      <w:r w:rsidRPr="000D402F">
        <w:rPr>
          <w:lang w:eastAsia="pt-BR"/>
        </w:rPr>
        <w:t>2. Model</w:t>
      </w:r>
      <w:r w:rsidR="00C407C4">
        <w:rPr>
          <w:lang w:eastAsia="pt-BR"/>
        </w:rPr>
        <w:t>o de Dados</w:t>
      </w:r>
      <w:bookmarkEnd w:id="5"/>
    </w:p>
    <w:p w14:paraId="60D4AE73" w14:textId="77777777" w:rsidR="000D402F" w:rsidRPr="000D402F" w:rsidRDefault="000D402F" w:rsidP="00BA0E35">
      <w:pPr>
        <w:rPr>
          <w:lang w:eastAsia="pt-BR"/>
        </w:rPr>
      </w:pPr>
    </w:p>
    <w:p w14:paraId="5A355A4D" w14:textId="15E4C005" w:rsidR="00830285" w:rsidRPr="000D402F" w:rsidRDefault="000D402F" w:rsidP="00BA0E35">
      <w:pPr>
        <w:pStyle w:val="Ttulo2"/>
        <w:rPr>
          <w:lang w:eastAsia="pt-BR"/>
        </w:rPr>
      </w:pPr>
      <w:bookmarkStart w:id="6" w:name="_Toc74691370"/>
      <w:r w:rsidRPr="000D402F">
        <w:rPr>
          <w:lang w:eastAsia="pt-BR"/>
        </w:rPr>
        <w:t>2.1</w:t>
      </w:r>
      <w:r w:rsidR="00830285" w:rsidRPr="000D402F">
        <w:rPr>
          <w:lang w:eastAsia="pt-BR"/>
        </w:rPr>
        <w:t xml:space="preserve">. </w:t>
      </w:r>
      <w:r w:rsidR="00C407C4">
        <w:rPr>
          <w:lang w:eastAsia="pt-BR"/>
        </w:rPr>
        <w:t>Modelo Dimensional</w:t>
      </w:r>
      <w:bookmarkEnd w:id="6"/>
    </w:p>
    <w:p>
      <w:pPr>
        <w:spacing w:after="120"/>
        <w:jc w:val="both"/>
      </w:pPr>
      <w:r>
        <w:rPr>
          <w:i w:val="0"/>
        </w:rPr>
        <w:t>O modelo adotado é um esquema estrela (KIMBALL; ROSS, 2013), com uma tabela fato de comércio exterior e cinco dimensões. A granularidade da fato é o valor mensal por fluxo (exportação ou importação), UF, país parceiro e produto (posição SH4). Todas as relações são do tipo um-para-muitos (1:*), da dimensão para a fato, com filtragem em sentido único.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 – Modelo dimensional (esquema estrela)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7701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modelo_estrel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7701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Figura 2 mostra o mesmo modelo implementado no Power BI Desktop, com as cinco relações ativas e as tabelas auxiliares da análise avançada, que não se relacionam com o modelo para não sofrer os filtros das demais páginas.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2 – Relações do modelo no Power BI Desktop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2644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laco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64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1B8AEB66" w14:textId="2DCFA864" w:rsidR="00C407C4" w:rsidRPr="001A29F1" w:rsidRDefault="00C407C4" w:rsidP="00BA0E35">
      <w:pPr>
        <w:pStyle w:val="Ttulo2"/>
        <w:rPr>
          <w:lang w:eastAsia="pt-BR"/>
        </w:rPr>
      </w:pPr>
      <w:bookmarkStart w:id="7" w:name="_Toc74691371"/>
      <w:r w:rsidRPr="000D402F">
        <w:rPr>
          <w:lang w:eastAsia="pt-BR"/>
        </w:rPr>
        <w:t>2.2.</w:t>
      </w:r>
      <w:r w:rsidR="00BB58C7">
        <w:rPr>
          <w:lang w:eastAsia="pt-BR"/>
        </w:rPr>
        <w:t xml:space="preserve"> </w:t>
      </w:r>
      <w:r>
        <w:rPr>
          <w:lang w:eastAsia="pt-BR"/>
        </w:rPr>
        <w:t>Fatos e Dimensões</w:t>
      </w:r>
      <w:bookmarkEnd w:id="7"/>
    </w:p>
    <w:p>
      <w:pPr>
        <w:spacing w:after="120"/>
        <w:jc w:val="both"/>
      </w:pPr>
      <w:r>
        <w:rPr>
          <w:i w:val="0"/>
        </w:rPr>
        <w:t>O Quadro 3 descreve as tabelas do modelo. Os campos de código (UF, país, SH4) são armazenados como texto para preservar zeros à esquerda (por exemplo, a posição SH4 0201) e garantir a correspondência das chaves.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3 – Tabelas fato e dimensões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1077"/>
        <w:gridCol w:w="1020"/>
        <w:gridCol w:w="2664"/>
        <w:gridCol w:w="2948"/>
      </w:tblGrid>
      <w:tr>
        <w:trPr>
          <w:tblHeader w:val="true"/>
        </w:trPr>
        <w:tc>
          <w:tcPr>
            <w:tcW w:type="dxa" w:w="136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Tabela</w:t>
            </w:r>
          </w:p>
        </w:tc>
        <w:tc>
          <w:tcPr>
            <w:tcW w:type="dxa" w:w="107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Tipo</w:t>
            </w:r>
          </w:p>
        </w:tc>
        <w:tc>
          <w:tcPr>
            <w:tcW w:type="dxa" w:w="1020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Linhas</w:t>
            </w:r>
          </w:p>
        </w:tc>
        <w:tc>
          <w:tcPr>
            <w:tcW w:type="dxa" w:w="266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Campos principais</w:t>
            </w:r>
          </w:p>
        </w:tc>
        <w:tc>
          <w:tcPr>
            <w:tcW w:type="dxa" w:w="294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Descrição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fato_comercio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Fato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6.189.035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DATA, FLUXO, SG_UF, CO_PAIS, CO_SH4, KG_LIQUIDO, VL_FOB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Valor FOB (US$) e peso líquido (kg) por mês, fluxo, UF, país e SH4. Medidas aditivas.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dim_tempo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DATA, ANO, MES, NOME_MES, TRIMESTRE, SEMESTRE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Calendário mensal de jan/2022 a set/2026.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dim_uf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SG_UF (UF), NO_UF (Estado), REGIAO, CO_UF_IBGE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27 UFs + EX (exterior) e ND (não declarada), agrupadas na região "Outros".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dim_pais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252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CO_PAIS, NO_PAIS (País), CO_PAIS_ISOA3, UNIAO_EUROPEIA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Países parceiros, com indicador de pertencer à União Europeia.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dim_produto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1.226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CO_SH4, NO_SH4_POR, CO_SH2, Capítulo SH, Seção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Hierarquia do Sistema Harmonizado: posição (SH4) → capítulo (SH2) → seção.</w:t>
            </w:r>
          </w:p>
        </w:tc>
      </w:tr>
      <w:tr>
        <w:tc>
          <w:tcPr>
            <w:tcW w:type="dxa" w:w="136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dim_fluxo</w:t>
            </w:r>
          </w:p>
        </w:tc>
        <w:tc>
          <w:tcPr>
            <w:tcW w:type="dxa" w:w="107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Dimensão</w:t>
            </w:r>
          </w:p>
        </w:tc>
        <w:tc>
          <w:tcPr>
            <w:tcW w:type="dxa" w:w="102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66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FLUXO, NO_FLUXO, ORDEM</w:t>
            </w:r>
          </w:p>
        </w:tc>
        <w:tc>
          <w:tcPr>
            <w:tcW w:type="dxa" w:w="294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Exportação (EXP) e Importação (IMP).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49872D62" w14:textId="5ED1C17B" w:rsidR="00C97B8F" w:rsidRPr="00152C6C" w:rsidRDefault="000D402F" w:rsidP="00BA0E35">
      <w:pPr>
        <w:pStyle w:val="Ttulo1"/>
        <w:pageBreakBefore/>
        <w:rPr>
          <w:rFonts w:cs="Times New Roman"/>
          <w:lang w:eastAsia="pt-BR"/>
        </w:rPr>
      </w:pPr>
      <w:bookmarkStart w:id="8" w:name="_Toc74691372"/>
      <w:r>
        <w:rPr>
          <w:lang w:eastAsia="pt-BR"/>
        </w:rPr>
        <w:lastRenderedPageBreak/>
        <w:t>3</w:t>
      </w:r>
      <w:r w:rsidRPr="000D402F">
        <w:rPr>
          <w:lang w:eastAsia="pt-BR"/>
        </w:rPr>
        <w:t xml:space="preserve">. </w:t>
      </w:r>
      <w:r w:rsidR="00152C6C">
        <w:rPr>
          <w:lang w:eastAsia="pt-BR"/>
        </w:rPr>
        <w:t>Integração, Tratamento e Carga de Dados</w:t>
      </w:r>
      <w:bookmarkEnd w:id="8"/>
    </w:p>
    <w:p w14:paraId="5745057A" w14:textId="77777777" w:rsidR="00C41BB6" w:rsidRPr="00DE0E16" w:rsidRDefault="00C41BB6" w:rsidP="00C41BB6">
      <w:pPr>
        <w:rPr>
          <w:lang w:val="x-none" w:eastAsia="pt-BR"/>
        </w:rPr>
      </w:pPr>
    </w:p>
    <w:p w14:paraId="0DEFFF14" w14:textId="77777777" w:rsidR="00C41BB6" w:rsidRPr="001A29F1" w:rsidRDefault="00C41BB6" w:rsidP="00C41BB6">
      <w:pPr>
        <w:pStyle w:val="Ttulo2"/>
        <w:rPr>
          <w:lang w:eastAsia="pt-BR"/>
        </w:rPr>
      </w:pPr>
      <w:bookmarkStart w:id="9" w:name="_Toc74691249"/>
      <w:bookmarkStart w:id="10" w:name="_Toc74691373"/>
      <w:r>
        <w:rPr>
          <w:lang w:val="pt-BR" w:eastAsia="pt-BR"/>
        </w:rPr>
        <w:t>3</w:t>
      </w:r>
      <w:r w:rsidRPr="000D402F">
        <w:rPr>
          <w:lang w:eastAsia="pt-BR"/>
        </w:rPr>
        <w:t>.</w:t>
      </w:r>
      <w:r>
        <w:rPr>
          <w:lang w:val="pt-BR" w:eastAsia="pt-BR"/>
        </w:rPr>
        <w:t>1</w:t>
      </w:r>
      <w:r w:rsidRPr="000D402F">
        <w:rPr>
          <w:lang w:eastAsia="pt-BR"/>
        </w:rPr>
        <w:t>.</w:t>
      </w:r>
      <w:r>
        <w:rPr>
          <w:lang w:eastAsia="pt-BR"/>
        </w:rPr>
        <w:t xml:space="preserve"> F</w:t>
      </w:r>
      <w:r>
        <w:rPr>
          <w:lang w:val="pt-BR" w:eastAsia="pt-BR"/>
        </w:rPr>
        <w:t>ontes de Dados</w:t>
      </w:r>
      <w:bookmarkEnd w:id="9"/>
      <w:bookmarkEnd w:id="10"/>
    </w:p>
    <w:p>
      <w:pPr>
        <w:spacing w:after="120"/>
        <w:jc w:val="both"/>
      </w:pPr>
      <w:r>
        <w:rPr>
          <w:i w:val="0"/>
        </w:rPr>
        <w:t>A fonte é a base de dados bruta do Comex Stat, publicada pelo MDIC no portal "Estatísticas de Comércio Exterior em Dados Abertos". Foram usados os arquivos detalhados por município da empresa exportadora/importadora e posição SH4, além de três tabelas auxiliares de correspondência de códigos (Quadro 4).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4 – Fontes de dados utilizadas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4649"/>
        <w:gridCol w:w="1984"/>
      </w:tblGrid>
      <w:tr>
        <w:trPr>
          <w:tblHeader w:val="true"/>
        </w:trPr>
        <w:tc>
          <w:tcPr>
            <w:tcW w:type="dxa" w:w="243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Arquivo</w:t>
            </w:r>
          </w:p>
        </w:tc>
        <w:tc>
          <w:tcPr>
            <w:tcW w:type="dxa" w:w="4649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Conteúdo / layout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Volume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EXP_aaaa_MUN.csv (2022–2026)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CO_ANO; CO_MES; SH4; CO_PAIS; SG_UF_MUN; CO_MUN; KG_LIQUIDO; VL_FOB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5,46 milhões de linhas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IMP_aaaa_MUN.csv (2022–2026)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Mesmo layout da exportação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8,12 milhões de linhas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NCM_SH.csv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Descrições de SH6, SH4, SH2 e seção do Sistema Harmonizado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Tabela auxiliar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PAIS.csv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Código, nome (PT/EN/ES) e ISO3 dos países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281 registros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UF_MUN.csv</w:t>
            </w:r>
          </w:p>
        </w:tc>
        <w:tc>
          <w:tcPr>
            <w:tcW w:type="dxa" w:w="464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Código e nome dos municípios e UF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Tabela auxiliar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MDIC – Comex Stat, base de dados bruta (dados até set/2026).</w:t>
      </w:r>
    </w:p>
    <w:p>
      <w:pPr>
        <w:spacing w:after="120"/>
        <w:jc w:val="both"/>
      </w:pPr>
      <w:r>
        <w:rPr>
          <w:i w:val="0"/>
        </w:rPr>
        <w:t>Os arquivos são CSV com separador ponto e vírgula. As tabelas auxiliares estão em codificação Latin-1. Dados de 2026 cobrem janeiro a setembro, último mês divulgado na data da extração (outubro de 2026). Duas características da base influenciam a análise: a UF refere-se ao domicílio fiscal da empresa declarante, e não à origem física da mercadoria; e existem códigos administrativos que não representam parceiros reais (país 105 – Brasil, país 100 – Zona Franca de Manaus, UFs EX e ND), excluídos por filtro nos painéis.</w:t>
      </w:r>
    </w:p>
    <w:p w14:paraId="7505D3A3" w14:textId="77777777" w:rsidR="00C41BB6" w:rsidRPr="001A29F1" w:rsidRDefault="00C41BB6" w:rsidP="00C41BB6">
      <w:pPr>
        <w:pStyle w:val="Ttulo2"/>
        <w:rPr>
          <w:lang w:eastAsia="pt-BR"/>
        </w:rPr>
      </w:pPr>
      <w:bookmarkStart w:id="11" w:name="_Toc74691250"/>
      <w:bookmarkStart w:id="12" w:name="_Toc74691374"/>
      <w:r>
        <w:rPr>
          <w:lang w:val="pt-BR" w:eastAsia="pt-BR"/>
        </w:rPr>
        <w:t>3</w:t>
      </w:r>
      <w:r w:rsidRPr="000D402F">
        <w:rPr>
          <w:lang w:eastAsia="pt-BR"/>
        </w:rPr>
        <w:t>.</w:t>
      </w:r>
      <w:r>
        <w:rPr>
          <w:lang w:val="pt-BR" w:eastAsia="pt-BR"/>
        </w:rPr>
        <w:t>2</w:t>
      </w:r>
      <w:r w:rsidRPr="000D402F">
        <w:rPr>
          <w:lang w:eastAsia="pt-BR"/>
        </w:rPr>
        <w:t>.</w:t>
      </w:r>
      <w:r>
        <w:rPr>
          <w:lang w:eastAsia="pt-BR"/>
        </w:rPr>
        <w:t xml:space="preserve"> </w:t>
      </w:r>
      <w:r>
        <w:rPr>
          <w:lang w:val="pt-BR" w:eastAsia="pt-BR"/>
        </w:rPr>
        <w:t>Processos de Integração e Carga (ETL)</w:t>
      </w:r>
      <w:bookmarkEnd w:id="11"/>
      <w:bookmarkEnd w:id="12"/>
    </w:p>
    <w:p>
      <w:pPr>
        <w:spacing w:after="120"/>
        <w:jc w:val="both"/>
      </w:pPr>
      <w:r>
        <w:rPr>
          <w:i w:val="0"/>
        </w:rPr>
        <w:t>O processo de ETL (do inglês Extract, Transform, Load: extração, transformação e carga) foi implementado no script etl_comex.py, em Python com a biblioteca pandas, e executado no Anaconda. A Figura 3 resume as etapas.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3 – Fluxo do processo de ETL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50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et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Extração: </w:t>
      </w:r>
      <w:r>
        <w:t>leitura dos 10 arquivos de exportação e importação com tipos definidos (códigos como texto, valores como inteiros) e marcação do fluxo (EXP/IMP);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Transformação: </w:t>
      </w:r>
      <w:r>
        <w:t>agregação do nível município para UF, criação da data (primeiro dia do mês) e padronização dos nomes de colunas, reduzindo 13,6 milhões de linhas brutas para 6,19 milhões na fato;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Dimensões: </w:t>
      </w:r>
      <w:r>
        <w:t>geração das dimensões de tempo, UF (com região e código IBGE), país (com indicador de União Europeia), produto (SH4 → SH2 → seção) e fluxo;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Validação: </w:t>
      </w:r>
      <w:r>
        <w:t>comparação automática dos totais de valor FOB e peso líquido entre os arquivos brutos e a fato, por ano e fluxo — o script interrompe a execução se houver divergência;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Carga: </w:t>
      </w:r>
      <w:r>
        <w:t>gravação de sete arquivos CSV (UTF-8, separador ponto e vírgula) importados no Power BI Desktop.</w:t>
      </w:r>
    </w:p>
    <w:p>
      <w:pPr>
        <w:spacing w:after="120"/>
        <w:jc w:val="both"/>
      </w:pPr>
      <w:r>
        <w:rPr>
          <w:i w:val="0"/>
        </w:rPr>
        <w:t>A Figura 4 mostra a execução do script, com a contagem de linhas lidas e gravadas e a tabela de validação. No Power BI, o Power Query foi usado para promover cabeçalhos, definir os tipos de dados (códigos SH4 e SH2 como texto) e ler as quatro colunas da dim_uf.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4 – Execução do ETL e validação dos totais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544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tl_validacao_anaco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4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6F175920" w14:textId="5E883886" w:rsidR="003A1AD4" w:rsidRDefault="00136D11" w:rsidP="00DE2B20">
      <w:pPr>
        <w:pStyle w:val="Ttulo1"/>
        <w:pageBreakBefore/>
        <w:rPr>
          <w:lang w:eastAsia="pt-BR"/>
        </w:rPr>
      </w:pPr>
      <w:bookmarkStart w:id="13" w:name="_Toc74691375"/>
      <w:r>
        <w:rPr>
          <w:lang w:eastAsia="pt-BR"/>
        </w:rPr>
        <w:t>4</w:t>
      </w:r>
      <w:r w:rsidR="0041637A">
        <w:rPr>
          <w:lang w:eastAsia="pt-BR"/>
        </w:rPr>
        <w:t>.</w:t>
      </w:r>
      <w:r w:rsidR="00830285" w:rsidRPr="000D402F">
        <w:rPr>
          <w:lang w:eastAsia="pt-BR"/>
        </w:rPr>
        <w:t xml:space="preserve"> </w:t>
      </w:r>
      <w:r w:rsidR="00BB58C7">
        <w:rPr>
          <w:lang w:eastAsia="pt-BR"/>
        </w:rPr>
        <w:t>Camada de Apresentação</w:t>
      </w:r>
      <w:bookmarkEnd w:id="13"/>
    </w:p>
    <w:p w14:paraId="6D88081C" w14:textId="77777777" w:rsidR="003A1AD4" w:rsidRDefault="003A1AD4" w:rsidP="00BA0E35"/>
    <w:p w14:paraId="5F4E6879" w14:textId="0332EF8E" w:rsidR="003A1AD4" w:rsidRDefault="003A1AD4" w:rsidP="00BA0E35">
      <w:pPr>
        <w:pStyle w:val="Ttulo2"/>
      </w:pPr>
      <w:bookmarkStart w:id="14" w:name="_Toc74691376"/>
      <w:r>
        <w:t>4.1 Dashboard</w:t>
      </w:r>
      <w:bookmarkEnd w:id="14"/>
    </w:p>
    <w:p>
      <w:pPr>
        <w:spacing w:after="120"/>
        <w:jc w:val="both"/>
      </w:pPr>
      <w:r>
        <w:rPr>
          <w:i w:val="0"/>
        </w:rPr>
        <w:t>O painel foi construído no Power BI Desktop em quatro páginas interligadas pelo mesmo modelo: Estratégico, Tático, Operacional e Análises Avançadas. Todas aplicam dois filtros de página: exclusão da região "Outros" (UFs EX e ND) e dos códigos de país 100 e 105. As segmentações permitem seleção múltipla, com opção "Selecionar tudo".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Estratégico</w:t>
      </w:r>
    </w:p>
    <w:p>
      <w:pPr>
        <w:spacing w:after="120"/>
        <w:jc w:val="both"/>
      </w:pPr>
      <w:r>
        <w:rPr>
          <w:i w:val="0"/>
        </w:rPr>
        <w:t>Destinado aos gestores, apresenta em uma única tela os cinco KPIs (exportação, importação, saldo, corrente de comércio e variação anual), a exportação por UF, os dez principais países de destino e uma tabela de dependência por UF com o principal destino, sua participação (barras de dados) e o número de parceiros. Segmentações: ano e região.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5 – Painel Estratégico (ano 2025, todas as regiões)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ainel_estrategico_202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Tático</w:t>
      </w:r>
    </w:p>
    <w:p>
      <w:pPr>
        <w:spacing w:after="120"/>
        <w:jc w:val="both"/>
      </w:pPr>
      <w:r>
        <w:rPr>
          <w:i w:val="0"/>
        </w:rPr>
        <w:t>Destinado aos analistas, mostra a evolução mensal de exportação e importação de 2022 a 2026, a exportação por ano e região (colunas empilhadas), os dez capítulos SH mais exportados e uma matriz UF × ano com escala de cores. Segmentações: região e UF.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6 – Painel Tático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ainel_tatic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Painel Operacional</w:t>
      </w:r>
    </w:p>
    <w:p>
      <w:pPr>
        <w:spacing w:after="120"/>
        <w:jc w:val="both"/>
      </w:pPr>
      <w:r>
        <w:rPr>
          <w:i w:val="0"/>
        </w:rPr>
        <w:t>Destinado aos executores, detalha cada combinação UF × país × capítulo × produto (SH4), com exportação e importação em US$ milhões, peso exportado em toneladas e preço médio em US$/kg. Segmentações: ano, mês, UF e país.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7 – Painel Operacional (MT, 2025)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inel_operacion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As medidas DAX utilizadas estão descritas no Quadro 5. Elas ficam em uma tabela própria (_Medidas), separada das tabelas de dados.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5 – Medidas DAX do painel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38"/>
        <w:gridCol w:w="6633"/>
      </w:tblGrid>
      <w:tr>
        <w:trPr>
          <w:tblHeader w:val="true"/>
        </w:trPr>
        <w:tc>
          <w:tcPr>
            <w:tcW w:type="dxa" w:w="243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Medida</w:t>
            </w:r>
          </w:p>
        </w:tc>
        <w:tc>
          <w:tcPr>
            <w:tcW w:type="dxa" w:w="6633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Fórmula DAX (resumida)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CALCULATE(SUM(fato_comercio[VL_FOB]), fato_comercio[FLUXO] = "EXP")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Importação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CALCULATE(SUM(fato_comercio[VL_FOB]), fato_comercio[FLUXO] = "IMP")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Saldo Comercial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[Exportação] − [Importação]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Corrente de Comércio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[Exportação] + [Importação]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 Ano Anterior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CALCULATE([Exportação], REMOVEFILTERS(dim_tempo), dim_tempo[ANO] = ano selecionado − 1, TREATAS(meses selecionados, dim_tempo[MES]))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Var % Exportação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IF(HASONEVALUE(dim_tempo[ANO]), DIVIDE([Exportação] − [Exportação Ano Anterior], [Exportação Ano Anterior]))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Part. País na UF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CALCULATE([Exportação], REMOVEFILTERS(dim_pais)))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Principal Destino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CONCATENATEX(TOPN(1, VALUES(dim_pais[NO_PAIS]), [Exportação]), dim_pais[NO_PAIS])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% Principal Destino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DIVIDE(MAXX(VALUES(dim_pais[NO_PAIS]), [Exportação]), CALCULATE([Exportação], REMOVEFILTERS(dim_pais)))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Nº Parceiros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CALCULATE(DISTINCTCOUNT(fato_comercio[CO_PAIS]), fato_comercio[FLUXO] = "EXP")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Preço Médio (US$/kg)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CALCULATE(SUM(fato_comercio[KG_LIQUIDO]), fato_comercio[FLUXO] = "EXP"))</w:t>
            </w:r>
          </w:p>
        </w:tc>
      </w:tr>
      <w:tr>
        <w:tc>
          <w:tcPr>
            <w:tcW w:type="dxa" w:w="243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Exportação (US$ bi)</w:t>
            </w:r>
          </w:p>
        </w:tc>
        <w:tc>
          <w:tcPr>
            <w:tcW w:type="dxa" w:w="6633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DIVIDE([Exportação], 1000000000)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variação anual compara sempre os mesmos meses: 2026 (janeiro a setembro) é comparado a janeiro a setembro de 2025. Ela só é exibida quando um único ano está selecionado.</w:t>
      </w:r>
    </w:p>
    <w:p w14:paraId="124E7FC6" w14:textId="11F9AAC5" w:rsidR="003A1AD4" w:rsidRPr="00BA0E35" w:rsidRDefault="003A1AD4" w:rsidP="00BA0E35">
      <w:pPr>
        <w:pStyle w:val="Ttulo2"/>
        <w:rPr>
          <w:lang w:eastAsia="pt-BR"/>
        </w:rPr>
      </w:pPr>
      <w:bookmarkStart w:id="15" w:name="_Toc74691377"/>
      <w:r>
        <w:t>4.2</w:t>
      </w:r>
      <w:r w:rsidR="00BA0E35">
        <w:t xml:space="preserve"> Análises avançadas</w:t>
      </w:r>
      <w:bookmarkEnd w:id="15"/>
    </w:p>
    <w:p>
      <w:pPr>
        <w:spacing w:after="120"/>
        <w:jc w:val="both"/>
      </w:pPr>
      <w:r>
        <w:rPr>
          <w:i w:val="0"/>
        </w:rPr>
        <w:t>Duas técnicas de aprendizado de máquina foram aplicadas à base estruturada, no script modulo_c.py (Python, scikit-learn), e seus resultados foram incorporados ao painel na página Análises Avançadas (Figura 9).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Previsão das exportações e importações</w:t>
      </w:r>
    </w:p>
    <w:p>
      <w:pPr>
        <w:spacing w:after="120"/>
        <w:jc w:val="both"/>
      </w:pPr>
      <w:r>
        <w:rPr>
          <w:i w:val="0"/>
        </w:rPr>
        <w:t>A série mensal de valor FOB foi dividida em treino (jan/2022 a dez/2025, 48 meses) e teste (jan a set/2026, 9 meses). Foram comparados três modelos pelo erro percentual absoluto médio (MAPE): um modelo sazonal ingênuo, que repete o mesmo mês do ano anterior e serve de referência; uma regressão linear com tendência e variáveis indicadoras de mês; e o método de Holt-Winters aditivo (HYNDMAN; ATHANASOPOULOS, 2021), com parâmetros escolhidos por busca em grade.</w:t>
      </w:r>
    </w:p>
    <w:p>
      <w:pPr>
        <w:spacing w:after="120"/>
        <w:jc w:val="both"/>
      </w:pPr>
      <w:r>
        <w:rPr>
          <w:i w:val="0"/>
        </w:rPr>
        <w:t>Na regressão, a tendência é o número de meses desde janeiro de 2022 (t = 0, 1, 2, …) e a sazonalidade é representada por 11 variáveis indicadoras (dummies) de mês, com janeiro como referência; os coeficientes são estimados por mínimos quadrados ordinários. No Holt-Winters, os parâmetros de nível (α) e de sazonalidade (γ) foram testados de 0,05 a 0,95, com passo de 0,1, e o de tendência (β) nos valores 0,01, 0,05, 0,10 e 0,20, escolhendo a combinação de menor soma dos erros quadráticos no ajuste um passo à frente do período de treino. O MAPE é a média, nos 9 meses de teste, de |real − previsto| ÷ real, em percentual; o MAE é a média de |real − previsto|, em US$ bilhões por mês.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6 – Desempenho dos modelos no período de teste (jan–set/2026)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3969"/>
        <w:gridCol w:w="1417"/>
        <w:gridCol w:w="1984"/>
      </w:tblGrid>
      <w:tr>
        <w:trPr>
          <w:tblHeader w:val="true"/>
        </w:trPr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Fluxo</w:t>
            </w:r>
          </w:p>
        </w:tc>
        <w:tc>
          <w:tcPr>
            <w:tcW w:type="dxa" w:w="3969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Modelo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MAPE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MAE (US$ bi/mês)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Sazonal ingênuo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9,71%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3,13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Regressão tendência + sazonalidade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7,48%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2,45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Exportação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Holt-Winters aditivo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7,87%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2,57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Sazonal ingênuo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8,37%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2,07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Regressão tendência + sazonalidade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7,62%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1,91</w:t>
            </w:r>
          </w:p>
        </w:tc>
      </w:tr>
      <w:tr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Importação</w:t>
            </w:r>
          </w:p>
        </w:tc>
        <w:tc>
          <w:tcPr>
            <w:tcW w:type="dxa" w:w="3969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Holt-Winters aditivo</w:t>
            </w:r>
          </w:p>
        </w:tc>
        <w:tc>
          <w:tcPr>
            <w:tcW w:type="dxa" w:w="141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9,60%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2,39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A regressão teve o menor erro nos dois fluxos e foi reajustada com os 57 meses para projetar outubro de 2026 a dezembro de 2027 (Figura 8 e Quadro 7). Como indicação da incerteza, cada mês projetado tem uma faixa aproximada de 95%, igual à previsão ± 1,96 × o desvio-padrão dos erros no período de teste; para outubro a dezembro de 2026, a exportação prevista de US$ 90,4 bi fica entre US$ 79,8 bi e US$ 100,9 bi. Por ter sido avaliada em uma única janela de teste de 9 meses, a vantagem da regressão é uma evidência limitada e não garante que ela continuará sendo o melhor modelo em períodos futuros.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8 – Série real, teste e previsão até dez/2027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previs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7 – Totais anuais realizados, previstos e estimados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3118"/>
        <w:gridCol w:w="1984"/>
        <w:gridCol w:w="1984"/>
        <w:gridCol w:w="1984"/>
      </w:tblGrid>
      <w:tr>
        <w:trPr>
          <w:tblHeader w:val="true"/>
        </w:trPr>
        <w:tc>
          <w:tcPr>
            <w:tcW w:type="dxa" w:w="311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Ano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Exportação (US$ bi)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Importação (US$ bi)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Saldo (US$ bi)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2022 (realizado)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334,0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272,3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61,7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2023 (realizado)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339,3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240,4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98,9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2024 (realizado)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336,5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262,3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74,2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2025 (realizado)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347,9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279,6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68,3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2026 – realizado (jan–set)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284,0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221,7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62,3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2026 – previsto (out–dez)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90,4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70,0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20,4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2026 – total estimado (realizado + previsto)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374,3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291,7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82,6</w:t>
            </w:r>
          </w:p>
        </w:tc>
      </w:tr>
      <w:tr>
        <w:tc>
          <w:tcPr>
            <w:tcW w:type="dxa" w:w="311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2027 – previsto (jan–dez)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373,2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292,7</w:t>
            </w:r>
          </w:p>
        </w:tc>
        <w:tc>
          <w:tcPr>
            <w:tcW w:type="dxa" w:w="198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80,5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 Valores com os filtros do painel (sem UFs EX/ND e países 100/105). Os totais de 2026 e 2027 são estimativas, não resultados observados.</w:t>
      </w:r>
    </w:p>
    <w:p>
      <w:pPr>
        <w:spacing w:after="120"/>
        <w:jc w:val="both"/>
      </w:pPr>
      <w:r>
        <w:rPr>
          <w:i w:val="0"/>
        </w:rPr>
        <w:t>A análise revela sazonalidade marcada nas exportações, com queda em janeiro e fevereiro e pico entre março e julho, coerente com o calendário da safra de grãos. No período de teste, o modelo subestimou a exportação em 7,8% (US$ 261,9 bi previstos contra US$ 284,0 bi realizados de janeiro a setembro de 2026), pois as exportações de 2026 cresceram 10,3% sobre o mesmo período de 2025, acima da tendência histórica.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Agrupamento das UFs por perfil comercial</w:t>
      </w:r>
    </w:p>
    <w:p>
      <w:pPr>
        <w:spacing w:after="120"/>
        <w:jc w:val="both"/>
      </w:pPr>
      <w:r>
        <w:rPr>
          <w:i w:val="0"/>
        </w:rPr>
        <w:t>Para cada UF foram calculados oito indicadores sobre as exportações do período: concentração de destinos (índice Herfindahl-Hirschman), participação de China, EUA, União Europeia e Mercosul, concentração de produtos (HHI por SH4), participação de produtos básicos (capítulos SH 01 a 27) e preço médio (US$/kg, em logaritmo). Os indicadores foram padronizados e agrupados com o algoritmo K-Means (PEDREGOSA et al., 2011). O número de grupos foi escolhido pelo coeficiente de silhueta (ROUSSEEUW, 1987), testando k de 2 a 6, com a regra de 3 a 5 grupos e pelo menos 3 UFs por grupo, o que resultou em k = 3. A regra de tamanho evita grupos de uma ou duas UFs, que pouco ajudariam a orientar ações.</w:t>
      </w:r>
    </w:p>
    <w:p>
      <w:pPr>
        <w:spacing w:after="120"/>
        <w:jc w:val="both"/>
      </w:pPr>
      <w:r>
        <w:rPr>
          <w:i w:val="0"/>
        </w:rPr>
        <w:t>Os grupos devem ser lidos como perfis exploratórios, que resumem semelhanças entre as UFs segundo esses oito indicadores, e não como categorias definitivas dos estados: com 27 observações e silhueta de 0,24, as fronteiras entre grupos são pouco nítidas e algumas UFs ficam próximas de mais de um perfil. O Quadro 8 mostra a média de cada indicador por grupo, o que permite verificar quais variáveis sustentam a interpretação.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9 – Página Análises Avançadas no Power BI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22318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ainel_analises_avancad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23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8 – Perfis exploratórios de UFs identificados pelo K-Means: média dos indicadores por grupo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494"/>
        <w:gridCol w:w="2041"/>
        <w:gridCol w:w="1814"/>
        <w:gridCol w:w="1474"/>
        <w:gridCol w:w="1247"/>
      </w:tblGrid>
      <w:tr>
        <w:trPr>
          <w:tblHeader w:val="true"/>
        </w:trPr>
        <w:tc>
          <w:tcPr>
            <w:tcW w:type="dxa" w:w="249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Indicador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G1 – Diversificados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G2 – Commodities / China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G3 – EUA e UE</w:t>
            </w:r>
          </w:p>
        </w:tc>
        <w:tc>
          <w:tcPr>
            <w:tcW w:type="dxa" w:w="124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Média das 27 UFs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UFs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12 (AC, AM, BA, DF, MA, MG, MS, PE, PR, RS, SC, SP)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9 (AL, GO, MT, PA, PI, RJ, RO, RR, TO)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 (AP, CE, ES, PB, RN, SE)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Exportação 2022–26 (US$ bi)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980,7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593,7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67,3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1.641,6 (total)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Concentração de destinos (HHI, 0 a 1)*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0,12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0,24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0,13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0,16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China*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38%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23%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EUA*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9%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24%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11%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União Europeia*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14%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15%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29%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18%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Mercosul*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9%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5%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Concentração de produtos (HHI SH4, 0 a 1)*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0,12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0,37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0,24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0,23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produtos básicos (SH 01–27)*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60%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92%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61%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71%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Preço médio (US$/kg)*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1,04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0,54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0,51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0,76</w:t>
            </w:r>
          </w:p>
        </w:tc>
      </w:tr>
      <w:tr>
        <w:tc>
          <w:tcPr>
            <w:tcW w:type="dxa" w:w="249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% do 1º destino (descritivo)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26%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44%</w:t>
            </w:r>
          </w:p>
        </w:tc>
        <w:tc>
          <w:tcPr>
            <w:tcW w:type="dxa" w:w="147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28%</w:t>
            </w:r>
          </w:p>
        </w:tc>
        <w:tc>
          <w:tcPr>
            <w:tcW w:type="dxa" w:w="124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33%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 * = variável usada no agrupamento (o preço entrou em logaritmo). Médias simples das UFs de cada grupo; em negrito, o valor que mais distingue o grupo.</w:t>
      </w:r>
    </w:p>
    <w:p>
      <w:pPr>
        <w:spacing w:after="120"/>
        <w:jc w:val="both"/>
      </w:pPr>
      <w:r>
        <w:rPr>
          <w:i w:val="0"/>
        </w:rPr>
        <w:t>A interpretação de cada perfil se apoia nas variáveis que mais o diferenciam: o G2 combina a maior concentração de destinos e de produtos (HHI de 0,24 e 0,37), a maior participação da China (38%) e de produtos básicos (92%); o G3 tem a maior participação de EUA (24%) e União Europeia (29%) e quase nenhuma exposição à China (5%); o G1 tem as menores concentrações (HHI de 0,12 em destinos e produtos), o maior peso do Mercosul (9%) e o maior preço médio (US$ 1,04/kg).</w:t>
      </w:r>
    </w:p>
    <w:p>
      <w:pPr>
        <w:spacing w:after="120"/>
        <w:jc w:val="both"/>
      </w:pPr>
      <w:r>
        <w:rPr>
          <w:i w:val="0"/>
        </w:rPr>
        <w:t>O grupo G2 concentra o maior risco: em média, 44% das vendas vão para o principal destino e 92% são produtos básicos, com casos extremos como Piauí (62% para a China) e Tocantins (59%). O G1 reúne os maiores exportadores e é o único com peso relevante do Mercosul; o G3 reúne estados menores voltados a mercados do Norte, com quase nenhuma exposição à China.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10 – Projeção das UFs nos dois primeiros componentes principais, por grupo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_cluster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3309256C" w14:textId="46AE678B" w:rsidR="00136D11" w:rsidRPr="00B9677D" w:rsidRDefault="00136D11" w:rsidP="00BA0E35">
      <w:pPr>
        <w:pStyle w:val="Ttulo1"/>
        <w:pageBreakBefore/>
        <w:rPr>
          <w:lang w:eastAsia="pt-BR"/>
        </w:rPr>
      </w:pPr>
      <w:bookmarkStart w:id="16" w:name="_Toc74691378"/>
      <w:r>
        <w:rPr>
          <w:lang w:eastAsia="pt-BR"/>
        </w:rPr>
        <w:t>5.</w:t>
      </w:r>
      <w:r w:rsidRPr="000D402F">
        <w:rPr>
          <w:lang w:eastAsia="pt-BR"/>
        </w:rPr>
        <w:t xml:space="preserve"> </w:t>
      </w:r>
      <w:r w:rsidR="00BB58C7">
        <w:rPr>
          <w:lang w:eastAsia="pt-BR"/>
        </w:rPr>
        <w:t>Registros de Homologação</w:t>
      </w:r>
      <w:bookmarkEnd w:id="16"/>
    </w:p>
    <w:p>
      <w:pPr>
        <w:spacing w:after="120"/>
        <w:jc w:val="both"/>
      </w:pPr>
      <w:r>
        <w:rPr>
          <w:i w:val="0"/>
        </w:rPr>
        <w:t>A homologação foi feita em duas etapas: na carga, comparando os arquivos brutos do Comex Stat com a tabela fato; e na apresentação, comparando valores exibidos no painel com consultas independentes feitas em Python diretamente sobre a fonte.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Etapa 1 – Fonte × tabela fato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9 – Validação automática da carga (arquivos brutos × fato)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37"/>
        <w:gridCol w:w="1814"/>
        <w:gridCol w:w="1814"/>
        <w:gridCol w:w="1701"/>
        <w:gridCol w:w="1701"/>
        <w:gridCol w:w="623"/>
      </w:tblGrid>
      <w:tr>
        <w:trPr>
          <w:tblHeader w:val="true"/>
        </w:trPr>
        <w:tc>
          <w:tcPr>
            <w:tcW w:type="dxa" w:w="680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Ano</w:t>
            </w:r>
          </w:p>
        </w:tc>
        <w:tc>
          <w:tcPr>
            <w:tcW w:type="dxa" w:w="737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Fluxo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VL_FOB bruto (US$)</w:t>
            </w:r>
          </w:p>
        </w:tc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VL_FOB fato (US$)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KG bruto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KG fato</w:t>
            </w:r>
          </w:p>
        </w:tc>
        <w:tc>
          <w:tcPr>
            <w:tcW w:type="dxa" w:w="62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OK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2022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334.136.038.220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334.136.038.220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740.648.017.304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740.648.017.304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2022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272.610.686.946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272.610.686.946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173.484.872.428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173.484.872.428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2023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339.695.766.008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339.695.766.008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801.976.221.068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801.976.221.068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2023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240.792.839.224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240.792.839.224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169.352.712.990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169.352.712.990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337.046.161.710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337.046.161.710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809.834.588.105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809.834.588.105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2024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262.869.606.174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262.869.606.174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185.124.462.140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185.124.462.140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348.278.462.500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348.278.462.500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859.827.661.441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859.827.661.441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2025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280.208.433.825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280.208.433.825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186.874.476.050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186.874.476.050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284.654.368.793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284.654.368.793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642.350.469.728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642.350.469.728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  <w:tr>
        <w:tc>
          <w:tcPr>
            <w:tcW w:type="dxa" w:w="680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2026</w:t>
            </w:r>
          </w:p>
        </w:tc>
        <w:tc>
          <w:tcPr>
            <w:tcW w:type="dxa" w:w="737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222.258.509.601</w:t>
            </w:r>
          </w:p>
        </w:tc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222.258.509.601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130.846.746.155</w:t>
            </w:r>
          </w:p>
        </w:tc>
        <w:tc>
          <w:tcPr>
            <w:tcW w:type="dxa" w:w="170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130.846.746.155</w:t>
            </w:r>
          </w:p>
        </w:tc>
        <w:tc>
          <w:tcPr>
            <w:tcW w:type="dxa" w:w="62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Sim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execução do script etl_comex.py (Figura 4).</w:t>
      </w:r>
    </w:p>
    <w:p>
      <w:pPr>
        <w:spacing w:after="120"/>
        <w:jc w:val="both"/>
      </w:pPr>
      <w:r>
        <w:rPr>
          <w:i w:val="0"/>
        </w:rPr>
        <w:t>Os totais do Quadro 9 são os dos arquivos brutos, com todos os códigos de UF e de país. Os valores do painel e dos Quadros 7 e 10 excluem as UFs EX/ND e os países 100 e 105 (seção 3.1) e, por isso, são ligeiramente menores: em 2025, a exportação é de US$ 347,90 bi no painel contra US$ 348,28 bi nos arquivos brutos (diferença de US$ 0,38 bi, 0,1%); em 2024, de US$ 336,47 bi contra US$ 337,05 bi (US$ 0,58 bi, 0,2%); e em janeiro a setembro de 2026, de US$ 283,97 bi contra US$ 284,65 bi (US$ 0,68 bi, 0,2%). Em todos os anos e fluxos a diferença fica abaixo de 0,3% e vem quase toda dos códigos de país 100 e 105. A conferência do Quadro 10 aplica exatamente os mesmos filtros do painel.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Etapa 2 – Painel × consulta independente</w:t>
      </w:r>
    </w:p>
    <w:p>
      <w:pPr>
        <w:spacing w:after="120"/>
        <w:jc w:val="both"/>
      </w:pPr>
      <w:r>
        <w:rPr>
          <w:i w:val="0"/>
        </w:rPr>
        <w:t>Os valores do Quadro 10 foram lidos no Power BI e conferidos com consultas em Python sobre os mesmos arquivos, aplicando os filtros do painel (exclusão das UFs EX/ND e dos países 100/105).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10 – Conferência de valores do painel com a fonte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1871"/>
        <w:gridCol w:w="1927"/>
        <w:gridCol w:w="2097"/>
        <w:gridCol w:w="1134"/>
      </w:tblGrid>
      <w:tr>
        <w:trPr>
          <w:tblHeader w:val="true"/>
        </w:trPr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Verificação</w:t>
            </w:r>
          </w:p>
        </w:tc>
        <w:tc>
          <w:tcPr>
            <w:tcW w:type="dxa" w:w="187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Página / filtro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Valor no painel</w:t>
            </w:r>
          </w:p>
        </w:tc>
        <w:tc>
          <w:tcPr>
            <w:tcW w:type="dxa" w:w="2098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Consulta Python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6"/>
              </w:rPr>
              <w:t>Resultado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US$ 347,9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US$ 347,90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Importação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US$ 279,6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US$ 279,62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Var % exportação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ano 2025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3,4%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3,40% (347,90 ÷ 336,47)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2022–2026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Estratégico, todos os anos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US$ 1.641,6 bi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US$ 1.641,6 bi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Exportação por ano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Tático, matriz UF × ano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334,0 / 339,3 / 336,5 / 347,9 / 284,0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333,99 / 339,31 / 336,47 / 347,90 / 283,97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MT – exportação, importação e peso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Operacional, UF = MT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27.464,6 / 2.599,9 mi; 63.819.684 t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27.464,6 / 2.599,9 mi; 63.819.684 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  <w:tr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TO – exportação, importação e peso 2025</w:t>
            </w:r>
          </w:p>
        </w:tc>
        <w:tc>
          <w:tcPr>
            <w:tcW w:type="dxa" w:w="187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Operacional, UF = TO</w:t>
            </w:r>
          </w:p>
        </w:tc>
        <w:tc>
          <w:tcPr>
            <w:tcW w:type="dxa" w:w="192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2.959,5 / 348,0 mi; 5.649.893 t</w:t>
            </w:r>
          </w:p>
        </w:tc>
        <w:tc>
          <w:tcPr>
            <w:tcW w:type="dxa" w:w="2098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2.959,5 / 348,0 mi; 5.649.893 t</w:t>
            </w:r>
          </w:p>
        </w:tc>
        <w:tc>
          <w:tcPr>
            <w:tcW w:type="dxa" w:w="113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6"/>
              </w:rPr>
              <w:t>Igual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Figura 11 – Registro de homologação: Painel Operacional, Tocantins, 2025</w:t>
      </w:r>
    </w:p>
    <w:p>
      <w:pPr>
        <w:keepNext/>
        <w:spacing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361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homologacao_operacional_TO_202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3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Como verificação complementar, recomenda-se consultar os mesmos recortes no site do Comex Stat (comexstat.mdic.gov.br), lembrando que a consulta pública inclui todos os códigos de país e UF, sem os filtros aplicados no painel.</w:t>
      </w:r>
    </w:p>
    <w:p w14:paraId="61B20DB7" w14:textId="5318764B" w:rsidR="001A29F1" w:rsidRPr="003A1AD4" w:rsidRDefault="00BB58C7" w:rsidP="00BA0E35">
      <w:pPr>
        <w:pStyle w:val="Ttulo1"/>
        <w:pageBreakBefore/>
        <w:rPr>
          <w:rFonts w:cs="Times New Roman"/>
          <w:lang w:eastAsia="pt-BR"/>
        </w:rPr>
      </w:pPr>
      <w:bookmarkStart w:id="17" w:name="_Toc74691379"/>
      <w:r>
        <w:rPr>
          <w:lang w:eastAsia="pt-BR"/>
        </w:rPr>
        <w:t>6. Conclusões</w:t>
      </w:r>
      <w:bookmarkEnd w:id="17"/>
    </w:p>
    <w:p>
      <w:pPr>
        <w:keepNext/>
        <w:spacing w:after="80"/>
        <w:ind w:firstLine="0"/>
        <w:jc w:val="both"/>
      </w:pPr>
      <w:r>
        <w:rPr>
          <w:b/>
          <w:sz w:val="24"/>
        </w:rPr>
        <w:t>Análise crítica</w:t>
      </w:r>
    </w:p>
    <w:p>
      <w:pPr>
        <w:spacing w:after="120"/>
        <w:jc w:val="both"/>
      </w:pPr>
      <w:r>
        <w:rPr>
          <w:i w:val="0"/>
        </w:rPr>
        <w:t>A análise separa o que os dados mostram (resultados observados), o que esses resultados significam (interpretação) e o que se propõe a partir deles (recomendações). O principal resultado observado é que a inserção externa dos estados brasileiros é desigual e, em boa parte, concentrada: nove UFs exportam sobretudo commodities para poucos destinos, com destaque para a China.</w:t>
      </w:r>
    </w:p>
    <w:p>
      <w:pPr>
        <w:spacing w:after="120"/>
        <w:ind w:firstLine="0"/>
        <w:jc w:val="both"/>
      </w:pPr>
      <w:r>
        <w:rPr>
          <w:i w:val="0"/>
        </w:rPr>
        <w:t>Resultados observados: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Dependência da China. </w:t>
      </w:r>
      <w:r>
        <w:t>A China é o principal destino em 13 das 27 UFs em 2025. No grupo G2, quase metade do valor exportado vai para um único país; em 2025, US$ 52,2 bi dos US$ 124,8 bi exportados pelo grupo (42%) foram para a China.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Pauta primária. </w:t>
      </w:r>
      <w:r>
        <w:t>Produtos básicos representam de 60% a 92% das exportações, conforme o grupo, e o preço médio fica em torno de US$ 0,5/kg no G2 e no G3 e de US$ 1,0/kg no G1.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Diversificação acompanha escala. </w:t>
      </w:r>
      <w:r>
        <w:t>As UFs mais industrializadas (SP, SC, RS, PR) têm mais parceiros e mais produtos e são as únicas em que o Mercosul pesa (10% a 14%).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Nichos voltados ao Norte. </w:t>
      </w:r>
      <w:r>
        <w:t>ES, CE, SE, PB, RN e AP exportam sobretudo para EUA e União Europeia e ficam expostos a barreiras tarifárias e sanitárias desses mercados.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Sazonalidade e crescimento. </w:t>
      </w:r>
      <w:r>
        <w:t>As exportações seguem o calendário da safra e cresceram 10,3% em jan–set/2026 sobre o mesmo período de 2025.</w:t>
      </w:r>
    </w:p>
    <w:p>
      <w:pPr>
        <w:spacing w:after="120"/>
        <w:jc w:val="both"/>
      </w:pPr>
      <w:r>
        <w:rPr>
          <w:i w:val="0"/>
        </w:rPr>
        <w:t>Interpretação: a concentração em poucos destinos expõe as economias estaduais a choques de demanda, de preço ou de política comercial de um único parceiro. O preço médio baixo, somado à alta participação de produtos básicos, sugere predominância de produtos de menor valor unitário; o preço por quilo, sozinho, não mede valor agregado, pois varia muito entre tipos de mercadoria. Já os perfis do K-Means são exploratórios e servem para orientar investigações e políticas, não para prescrever uma estratégia única a todas as UFs de um grupo.</w:t>
      </w:r>
    </w:p>
    <w:p>
      <w:pPr>
        <w:spacing w:after="120"/>
        <w:jc w:val="both"/>
      </w:pPr>
      <w:r>
        <w:rPr>
          <w:i w:val="0"/>
        </w:rPr>
        <w:t>No desenvolvimento, a maior parte do esforço esteve na preparação dos dados: códigos administrativos, codificação Latin-1, zeros à esquerda nos códigos SH e convenções de separador decimal entre Python e o Power BI em português. A validação automática dos totais no ETL deu segurança para todas as etapas seguintes.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Proposta de intervenção</w:t>
      </w:r>
    </w:p>
    <w:p>
      <w:pPr>
        <w:spacing w:after="120"/>
        <w:jc w:val="both"/>
      </w:pPr>
      <w:r>
        <w:rPr>
          <w:i w:val="0"/>
        </w:rPr>
        <w:t>As recomendações do Quadro 11 são propostas deste projeto, a discutir com os gestores, e não consequências comprovadas pelas análises.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11 – Proposta de intervenção por grupo de UFs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2041"/>
        <w:gridCol w:w="3175"/>
        <w:gridCol w:w="2041"/>
      </w:tblGrid>
      <w:tr>
        <w:trPr>
          <w:tblHeader w:val="true"/>
        </w:trPr>
        <w:tc>
          <w:tcPr>
            <w:tcW w:type="dxa" w:w="1814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Grupo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Problema observado</w:t>
            </w:r>
          </w:p>
        </w:tc>
        <w:tc>
          <w:tcPr>
            <w:tcW w:type="dxa" w:w="317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Ações recomendadas</w:t>
            </w:r>
          </w:p>
        </w:tc>
        <w:tc>
          <w:tcPr>
            <w:tcW w:type="dxa" w:w="2041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Meta proposta / indicador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G2 – Commodities concentradas na China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44% das vendas para o 1º destino; 92% de produtos básicos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Prospecção de mercados alternativos (Sudeste Asiático, Oriente Médio, Índia); incentivo ao primeiro processamento local (farelo, óleo, carne processada)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Meta: % principal destino ≤ 35% em 3 anos; aumento do preço médio (US$/kg)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G1 – Pauta e destinos diversificados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Mercosul vulnerável a crises regionais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Uso do acordo Mercosul–UE para ampliar manufaturados; internacionalização de pequenas e médias empresas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Crescimento da exportação para a UE; nº de parceiros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G3 – Orientados a EUA e UE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Dependência de dois mercados e de barreiras sanitárias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Certificação sanitária e de origem; abertura de mercados na Ásia e América Latina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Meta: participação EUA + UE abaixo de 50% em SE e CE</w:t>
            </w:r>
          </w:p>
        </w:tc>
      </w:tr>
      <w:tr>
        <w:tc>
          <w:tcPr>
            <w:tcW w:type="dxa" w:w="1814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7"/>
              </w:rPr>
              <w:t>Todas as UFs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Falta de alerta antecipado</w:t>
            </w:r>
          </w:p>
        </w:tc>
        <w:tc>
          <w:tcPr>
            <w:tcW w:type="dxa" w:w="317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Monitoramento mensal com o painel; desvio acima de 10% entre o realizado e o previsto dispara análise</w:t>
            </w:r>
          </w:p>
        </w:tc>
        <w:tc>
          <w:tcPr>
            <w:tcW w:type="dxa" w:w="2041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7"/>
              </w:rPr>
              <w:t>Diferença real × previsto (Análises Avançadas)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>
      <w:pPr>
        <w:spacing w:after="120"/>
        <w:jc w:val="both"/>
      </w:pPr>
      <w:r>
        <w:rPr>
          <w:i w:val="0"/>
        </w:rPr>
        <w:t>Os limites foram definidos como referências iniciais: 35% fica entre a média nacional do principal destino (33%) e a média do G2 (44%), o que equivale a reduzir cerca de 9 pontos em 3 anos; 50% para EUA + UE fica pouco abaixo da média atual do G3 (53%); e o alerta de 10% fica acima do erro médio do modelo de previsão (MAPE de 7,5%), para disparar apenas desvios maiores que o erro esperado. Como as ações são definidas por grupo, cada UF deve ter seu plano ajustado à própria pauta.</w:t>
      </w:r>
    </w:p>
    <w:p>
      <w:pPr>
        <w:spacing w:after="120"/>
        <w:jc w:val="both"/>
      </w:pPr>
      <w:r>
        <w:rPr>
          <w:i w:val="0"/>
        </w:rPr>
        <w:t>A prioridade é o grupo G2, que reúne US$ 594 bi exportados no período e a maior concentração por destino: uma queda de 10% nas compras chinesas retiraria cerca de US$ 5,2 bi por ano das exportações desse grupo.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Lições aprendidas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Simplificar o escopo cedo. </w:t>
      </w:r>
      <w:r>
        <w:t>O tema inicial (Brasil × Portugal/UE com Comex Stat e Eurostat) exigiria harmonizar NCM e CN8; usar uma única fonte oficial reduziu o risco sem perder relevância.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Validar o ETL automaticamente. </w:t>
      </w:r>
      <w:r>
        <w:t>Comparar totais por ano e fluxo dentro do script gerou o registro de homologação e evitou retrabalho.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Tipos de dados importam. </w:t>
      </w:r>
      <w:r>
        <w:t>Códigos devem ser texto, e números exportados para o Power BI em português devem evitar ambiguidade de separador decimal.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Comparar com um baseline. </w:t>
      </w:r>
      <w:r>
        <w:t>O modelo sazonal ingênuo mostrou quanto os modelos mais elaborados realmente agregam (cerca de 2 pontos de MAPE).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Outliers distorcem o K-Means. </w:t>
      </w:r>
      <w:r>
        <w:t>O crescimento extremo de RN e SE criou um grupo artificial; a variável passou a ser apenas descritiva.</w:t>
      </w:r>
    </w:p>
    <w:p>
      <w:pPr>
        <w:spacing w:after="60"/>
        <w:ind w:left="567" w:hanging="283"/>
        <w:jc w:val="both"/>
      </w:pPr>
      <w:r>
        <w:t xml:space="preserve">–  </w:t>
      </w:r>
      <w:r>
        <w:rPr>
          <w:b/>
        </w:rPr>
        <w:t xml:space="preserve">Interpretação antes da métrica. </w:t>
      </w:r>
      <w:r>
        <w:t>A escolha de k precisa de regra explícita e documentada, além da silhueta.</w:t>
      </w:r>
    </w:p>
    <w:p>
      <w:pPr>
        <w:keepNext/>
        <w:spacing w:after="80"/>
        <w:ind w:firstLine="0"/>
        <w:jc w:val="both"/>
      </w:pPr>
      <w:r>
        <w:rPr>
          <w:b/>
          <w:sz w:val="24"/>
        </w:rPr>
        <w:t>Limitações e extensões</w:t>
      </w:r>
    </w:p>
    <w:p>
      <w:pPr>
        <w:spacing w:after="120"/>
        <w:jc w:val="both"/>
      </w:pPr>
      <w:r>
        <w:rPr>
          <w:i w:val="0"/>
        </w:rPr>
        <w:t>A previsão usa apenas o histórico da própria série e não incorpora preços de commodities, câmbio ou demanda externa; deve ser lida como cenário-base. Ela foi avaliada em uma única janela de teste (jan–set/2026), não houve análise formal dos resíduos da regressão (autocorrelação e normalidade), e a faixa de 95% é aproximada, baseada em apenas 9 erros de teste; uma validação com várias origens (rolling origin) daria evidência mais robusta. No agrupamento, as 27 observações limitam a generalização, e a silhueta de 0,24 indica grupos de fronteiras pouco nítidas. A UF da base é a do domicílio fiscal da empresa, e os valores estão em dólares correntes, sem deflacionamento.</w:t>
      </w:r>
    </w:p>
    <w:p>
      <w:pPr>
        <w:spacing w:after="120"/>
        <w:jc w:val="both"/>
      </w:pPr>
      <w:r>
        <w:rPr>
          <w:i w:val="0"/>
        </w:rPr>
        <w:t>Como extensões, sugere-se: incluir a base por NCM e UF de origem do produto; agregar séries de preços de commodities e câmbio como variáveis explicativas da previsão; deflacionar os valores; e acrescentar o Eurostat para comparar a visão brasileira com a dos parceiros europeus.</w:t>
      </w:r>
    </w:p>
    <w:p w14:paraId="61AE1591" w14:textId="2D21C018" w:rsidR="001A29F1" w:rsidRPr="003A1AD4" w:rsidRDefault="001A29F1" w:rsidP="00BA0E35">
      <w:pPr>
        <w:pStyle w:val="Ttulo1"/>
        <w:pageBreakBefore/>
        <w:rPr>
          <w:rFonts w:cs="Times New Roman"/>
          <w:lang w:eastAsia="pt-BR"/>
        </w:rPr>
      </w:pPr>
      <w:bookmarkStart w:id="18" w:name="_Toc74691380"/>
      <w:r>
        <w:rPr>
          <w:lang w:val="pt-BR" w:eastAsia="pt-BR"/>
        </w:rPr>
        <w:t>7. Links</w:t>
      </w:r>
      <w:bookmarkEnd w:id="18"/>
    </w:p>
    <w:p>
      <w:pPr>
        <w:spacing w:after="120"/>
        <w:jc w:val="both"/>
      </w:pPr>
      <w:r>
        <w:rPr>
          <w:i w:val="0"/>
        </w:rPr>
        <w:t>Os artefatos do projeto estão disponíveis nos endereços do Quadro 12.</w:t>
      </w:r>
    </w:p>
    <w:p>
      <w:pPr>
        <w:keepNext/>
        <w:spacing w:after="40"/>
        <w:ind w:firstLine="0"/>
        <w:jc w:val="center"/>
      </w:pPr>
      <w:r>
        <w:rPr>
          <w:i w:val="0"/>
          <w:sz w:val="20"/>
        </w:rPr>
        <w:t>Quadro 12 – Links dos artefatos</w:t>
      </w:r>
    </w:p>
    <w:tbl>
      <w:tblPr>
        <w:tblW w:type="dxa" w:w="9072"/>
        <w:jc w:val="center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Artefato</w:t>
            </w:r>
          </w:p>
        </w:tc>
        <w:tc>
          <w:tcPr>
            <w:tcW w:type="dxa" w:w="4535"/>
            <w:shd w:val="clear" w:color="auto" w:fill="DCE6F2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/>
                <w:sz w:val="18"/>
              </w:rPr>
              <w:t>Link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Repositório (scripts etl_comex.py e modulo_c.py, CSVs, imagens e relatório)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Dashboard Power BI (arquivo Parceiros_Comerciais_Estados_Brasileiros.pbix)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https://github.com/robsondoug1993-eng/tcc-parceiros-comerciais-estados/tree/main/dashboard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Vídeo de apresentação – Módulo B (até 5 min)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https://github.com/robsondoug1993-eng/tcc-parceiros-comerciais-estados/blob/main/videos/Video_Modulo_B_Dashboard.mp4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Vídeo de apresentação – Módulo C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https://github.com/robsondoug1993-eng/tcc-parceiros-comerciais-estados/blob/main/videos/Video_Modulo_C_Analises.mp4</w:t>
            </w:r>
          </w:p>
        </w:tc>
      </w:tr>
      <w:tr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Fonte de dados – Comex Stat, base de dados bruta (MDIC)</w:t>
            </w:r>
          </w:p>
        </w:tc>
        <w:tc>
          <w:tcPr>
            <w:tcW w:type="dxa" w:w="4535"/>
          </w:tcPr>
          <w:p>
            <w:pPr>
              <w:spacing w:after="20" w:before="20" w:line="240" w:lineRule="auto"/>
              <w:ind w:firstLine="0"/>
              <w:jc w:val="left"/>
            </w:pPr>
            <w:r/>
            <w:r>
              <w:rPr>
                <w:b w:val="0"/>
                <w:sz w:val="18"/>
              </w:rPr>
              <w:t>https://www.gov.br/mdic/pt-br/assuntos/comercio-exterior/estatisticas/base-de-dados-bruta</w:t>
            </w:r>
          </w:p>
        </w:tc>
      </w:tr>
    </w:tbl>
    <w:p>
      <w:pPr>
        <w:spacing w:after="200"/>
        <w:ind w:firstLine="0"/>
        <w:jc w:val="center"/>
      </w:pPr>
      <w:r>
        <w:rPr>
          <w:i w:val="0"/>
          <w:sz w:val="18"/>
        </w:rPr>
        <w:t>Fonte: elaborado pelo autor.</w:t>
      </w:r>
    </w:p>
    <w:p w14:paraId="7A6FB3D1" w14:textId="0A9F9A5D" w:rsidR="004D2758" w:rsidRPr="00071BC8" w:rsidRDefault="00B9677D" w:rsidP="00071BC8">
      <w:pPr>
        <w:pStyle w:val="Ttulo1"/>
      </w:pPr>
      <w:r>
        <w:br w:type="page"/>
      </w:r>
      <w:bookmarkStart w:id="21" w:name="_Toc74691381"/>
      <w:r w:rsidR="004D2758" w:rsidRPr="00071BC8">
        <w:lastRenderedPageBreak/>
        <w:t>REFERÊNCIAS</w:t>
      </w:r>
      <w:bookmarkEnd w:id="19"/>
      <w:bookmarkEnd w:id="20"/>
      <w:bookmarkEnd w:id="21"/>
    </w:p>
    <w:p>
      <w:pPr>
        <w:spacing w:after="120"/>
        <w:ind w:firstLine="0"/>
        <w:jc w:val="both"/>
      </w:pPr>
    </w:p>
    <w:p>
      <w:pPr>
        <w:spacing w:after="200" w:line="240" w:lineRule="auto"/>
        <w:ind w:firstLine="0"/>
      </w:pPr>
      <w:r>
        <w:rPr>
          <w:i w:val="0"/>
        </w:rPr>
        <w:t>BRASIL. Ministério do Desenvolvimento, Indústria, Comércio e Serviços. Estatísticas de comércio exterior em dados abertos: base de dados do Comex Stat. Brasília: MDIC, 2026. Disponível em: https://www.gov.br/mdic/pt-br/assuntos/comercio-exterior/estatisticas/base-de-dados-bruta. Acesso em: 10 out. 2026.</w:t>
      </w:r>
    </w:p>
    <w:p>
      <w:pPr>
        <w:spacing w:after="200" w:line="240" w:lineRule="auto"/>
        <w:ind w:firstLine="0"/>
      </w:pPr>
      <w:r>
        <w:rPr>
          <w:i w:val="0"/>
        </w:rPr>
        <w:t>HYNDMAN, Rob J.; ATHANASOPOULOS, George. Forecasting: principles and practice. 3. ed. Melbourne: OTexts, 2021. Disponível em: https://otexts.com/fpp3/.</w:t>
      </w:r>
    </w:p>
    <w:p>
      <w:pPr>
        <w:spacing w:after="200" w:line="240" w:lineRule="auto"/>
        <w:ind w:firstLine="0"/>
      </w:pPr>
      <w:r>
        <w:rPr>
          <w:i w:val="0"/>
        </w:rPr>
        <w:t>KIMBALL, Ralph; ROSS, Margy. The data warehouse toolkit: the definitive guide to dimensional modeling. 3. ed. Indianapolis: Wiley, 2013.</w:t>
      </w:r>
    </w:p>
    <w:p>
      <w:pPr>
        <w:spacing w:after="200" w:line="240" w:lineRule="auto"/>
        <w:ind w:firstLine="0"/>
      </w:pPr>
      <w:r>
        <w:rPr>
          <w:i w:val="0"/>
        </w:rPr>
        <w:t>PEDREGOSA, Fabian et al. Scikit-learn: machine learning in Python. Journal of Machine Learning Research, v. 12, p. 2825–2830, 2011.</w:t>
      </w:r>
    </w:p>
    <w:p>
      <w:pPr>
        <w:spacing w:after="200" w:line="240" w:lineRule="auto"/>
        <w:ind w:firstLine="0"/>
      </w:pPr>
      <w:r>
        <w:rPr>
          <w:i w:val="0"/>
        </w:rPr>
        <w:t>ROUSSEEUW, Peter J. Silhouettes: a graphical aid to the interpretation and validation of cluster analysis. Journal of Computational and Applied Mathematics, v. 20, p. 53–65, 1987.</w:t>
      </w:r>
    </w:p>
    <w:p>
      <w:pPr>
        <w:spacing w:after="200" w:line="240" w:lineRule="auto"/>
        <w:ind w:firstLine="0"/>
      </w:pPr>
      <w:r>
        <w:rPr>
          <w:i w:val="0"/>
        </w:rPr>
        <w:t>DATA DRIVEN CANVAS. Data Driven Canvas. São Paulo: iMaps, 2018. Disponível em: http://www.datadrivencanvas.org.</w:t>
      </w:r>
    </w:p>
    <w:sectPr w:rsidR="004D2758" w:rsidSect="00D3159F">
      <w:headerReference w:type="default" r:id="rId8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079D7F" w14:textId="77777777" w:rsidR="00001F71" w:rsidRDefault="00001F71" w:rsidP="00BA0E35">
      <w:r>
        <w:separator/>
      </w:r>
    </w:p>
  </w:endnote>
  <w:endnote w:type="continuationSeparator" w:id="0">
    <w:p w14:paraId="6E62F8B3" w14:textId="77777777" w:rsidR="00001F71" w:rsidRDefault="00001F71" w:rsidP="00BA0E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C5526F" w14:textId="77777777" w:rsidR="00001F71" w:rsidRDefault="00001F71" w:rsidP="00BA0E35">
      <w:r>
        <w:separator/>
      </w:r>
    </w:p>
  </w:footnote>
  <w:footnote w:type="continuationSeparator" w:id="0">
    <w:p w14:paraId="6199D48E" w14:textId="77777777" w:rsidR="00001F71" w:rsidRDefault="00001F71" w:rsidP="00BA0E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14652" w14:textId="77777777" w:rsidR="00136D11" w:rsidRDefault="00136D11" w:rsidP="00BA0E35">
    <w:pPr>
      <w:pStyle w:val="Cabealho"/>
    </w:pPr>
    <w:r>
      <w:fldChar w:fldCharType="begin"/>
    </w:r>
    <w:r>
      <w:instrText>PAGE   \* MERGEFORMAT</w:instrText>
    </w:r>
    <w:r>
      <w:fldChar w:fldCharType="separate"/>
    </w:r>
    <w:r w:rsidR="009376E7">
      <w:rPr>
        <w:noProof/>
      </w:rPr>
      <w:t>8</w:t>
    </w:r>
    <w:r>
      <w:fldChar w:fldCharType="end"/>
    </w:r>
  </w:p>
  <w:p w14:paraId="56B365A5" w14:textId="77777777" w:rsidR="00136D11" w:rsidRDefault="00136D11" w:rsidP="00BA0E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A2D0755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6B61806"/>
    <w:multiLevelType w:val="hybridMultilevel"/>
    <w:tmpl w:val="8AD6A214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C4B4B43"/>
    <w:multiLevelType w:val="hybridMultilevel"/>
    <w:tmpl w:val="FD9E300E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E76BF5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57234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F0584E"/>
    <w:multiLevelType w:val="hybridMultilevel"/>
    <w:tmpl w:val="6CBCF9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E3D2C"/>
    <w:multiLevelType w:val="hybridMultilevel"/>
    <w:tmpl w:val="FCB8AF5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D4FB1"/>
    <w:multiLevelType w:val="hybridMultilevel"/>
    <w:tmpl w:val="6B96D5F0"/>
    <w:lvl w:ilvl="0" w:tplc="61C2B578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D15E77"/>
    <w:multiLevelType w:val="hybridMultilevel"/>
    <w:tmpl w:val="83747CAE"/>
    <w:lvl w:ilvl="0" w:tplc="063680B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5F325C"/>
    <w:multiLevelType w:val="hybridMultilevel"/>
    <w:tmpl w:val="D1B45D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721539"/>
    <w:multiLevelType w:val="hybridMultilevel"/>
    <w:tmpl w:val="A3F42F92"/>
    <w:lvl w:ilvl="0" w:tplc="469889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3F2CB24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7234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1AD8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A02C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BC6B75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7CD41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A4CE2E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8DE37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C9641F"/>
    <w:multiLevelType w:val="hybridMultilevel"/>
    <w:tmpl w:val="2FC028D4"/>
    <w:lvl w:ilvl="0" w:tplc="9C2E2F7E">
      <w:start w:val="1"/>
      <w:numFmt w:val="lowerLetter"/>
      <w:lvlText w:val="%1)"/>
      <w:lvlJc w:val="left"/>
      <w:pPr>
        <w:ind w:left="502" w:hanging="360"/>
      </w:pPr>
      <w:rPr>
        <w:rFonts w:eastAsia="Calibri" w:hint="default"/>
        <w:u w:val="none"/>
      </w:rPr>
    </w:lvl>
    <w:lvl w:ilvl="1" w:tplc="04160019" w:tentative="1">
      <w:start w:val="1"/>
      <w:numFmt w:val="lowerLetter"/>
      <w:lvlText w:val="%2."/>
      <w:lvlJc w:val="left"/>
      <w:pPr>
        <w:ind w:left="1222" w:hanging="360"/>
      </w:pPr>
    </w:lvl>
    <w:lvl w:ilvl="2" w:tplc="0416001B" w:tentative="1">
      <w:start w:val="1"/>
      <w:numFmt w:val="lowerRoman"/>
      <w:lvlText w:val="%3."/>
      <w:lvlJc w:val="right"/>
      <w:pPr>
        <w:ind w:left="1942" w:hanging="180"/>
      </w:pPr>
    </w:lvl>
    <w:lvl w:ilvl="3" w:tplc="0416000F" w:tentative="1">
      <w:start w:val="1"/>
      <w:numFmt w:val="decimal"/>
      <w:lvlText w:val="%4."/>
      <w:lvlJc w:val="left"/>
      <w:pPr>
        <w:ind w:left="2662" w:hanging="360"/>
      </w:pPr>
    </w:lvl>
    <w:lvl w:ilvl="4" w:tplc="04160019" w:tentative="1">
      <w:start w:val="1"/>
      <w:numFmt w:val="lowerLetter"/>
      <w:lvlText w:val="%5."/>
      <w:lvlJc w:val="left"/>
      <w:pPr>
        <w:ind w:left="3382" w:hanging="360"/>
      </w:pPr>
    </w:lvl>
    <w:lvl w:ilvl="5" w:tplc="0416001B" w:tentative="1">
      <w:start w:val="1"/>
      <w:numFmt w:val="lowerRoman"/>
      <w:lvlText w:val="%6."/>
      <w:lvlJc w:val="right"/>
      <w:pPr>
        <w:ind w:left="4102" w:hanging="180"/>
      </w:pPr>
    </w:lvl>
    <w:lvl w:ilvl="6" w:tplc="0416000F" w:tentative="1">
      <w:start w:val="1"/>
      <w:numFmt w:val="decimal"/>
      <w:lvlText w:val="%7."/>
      <w:lvlJc w:val="left"/>
      <w:pPr>
        <w:ind w:left="4822" w:hanging="360"/>
      </w:pPr>
    </w:lvl>
    <w:lvl w:ilvl="7" w:tplc="04160019" w:tentative="1">
      <w:start w:val="1"/>
      <w:numFmt w:val="lowerLetter"/>
      <w:lvlText w:val="%8."/>
      <w:lvlJc w:val="left"/>
      <w:pPr>
        <w:ind w:left="5542" w:hanging="360"/>
      </w:pPr>
    </w:lvl>
    <w:lvl w:ilvl="8" w:tplc="0416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3B4D34D6"/>
    <w:multiLevelType w:val="hybridMultilevel"/>
    <w:tmpl w:val="D108C9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495F3E"/>
    <w:multiLevelType w:val="hybridMultilevel"/>
    <w:tmpl w:val="553EB76C"/>
    <w:lvl w:ilvl="0" w:tplc="4DF420E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FE49E7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6BAD9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A46942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CFEF3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CAF3F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0D279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F4A34F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09A33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52FBD"/>
    <w:multiLevelType w:val="hybridMultilevel"/>
    <w:tmpl w:val="6204B83A"/>
    <w:lvl w:ilvl="0" w:tplc="E4B4905A">
      <w:start w:val="1"/>
      <w:numFmt w:val="decimal"/>
      <w:lvlText w:val="%1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703331"/>
    <w:multiLevelType w:val="hybridMultilevel"/>
    <w:tmpl w:val="4E625CB2"/>
    <w:lvl w:ilvl="0" w:tplc="8154F406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30D1C3E"/>
    <w:multiLevelType w:val="hybridMultilevel"/>
    <w:tmpl w:val="6E58A216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8424091"/>
    <w:multiLevelType w:val="hybridMultilevel"/>
    <w:tmpl w:val="6B3C7274"/>
    <w:lvl w:ilvl="0" w:tplc="04160005">
      <w:start w:val="1"/>
      <w:numFmt w:val="bullet"/>
      <w:lvlText w:val=""/>
      <w:lvlJc w:val="left"/>
      <w:pPr>
        <w:ind w:left="1146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6" w15:restartNumberingAfterBreak="0">
    <w:nsid w:val="56594C0B"/>
    <w:multiLevelType w:val="hybridMultilevel"/>
    <w:tmpl w:val="4B008DB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962B6"/>
    <w:multiLevelType w:val="hybridMultilevel"/>
    <w:tmpl w:val="797C1F1C"/>
    <w:lvl w:ilvl="0" w:tplc="0416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64AE24EC"/>
    <w:multiLevelType w:val="hybridMultilevel"/>
    <w:tmpl w:val="688AF57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7643551"/>
    <w:multiLevelType w:val="multilevel"/>
    <w:tmpl w:val="388EFC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CE857FD"/>
    <w:multiLevelType w:val="hybridMultilevel"/>
    <w:tmpl w:val="DFB6CD36"/>
    <w:lvl w:ilvl="0" w:tplc="05FCD04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AF85B75"/>
    <w:multiLevelType w:val="hybridMultilevel"/>
    <w:tmpl w:val="A126A2C4"/>
    <w:lvl w:ilvl="0" w:tplc="011E29A0">
      <w:start w:val="1"/>
      <w:numFmt w:val="decimal"/>
      <w:lvlText w:val="%1."/>
      <w:lvlJc w:val="left"/>
      <w:pPr>
        <w:ind w:left="1428" w:hanging="360"/>
      </w:pPr>
      <w:rPr>
        <w:rFonts w:ascii="Arial" w:hAnsi="Arial" w:hint="default"/>
        <w:b/>
        <w:i w:val="0"/>
        <w:sz w:val="22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9"/>
  </w:num>
  <w:num w:numId="2">
    <w:abstractNumId w:val="18"/>
  </w:num>
  <w:num w:numId="3">
    <w:abstractNumId w:val="12"/>
  </w:num>
  <w:num w:numId="4">
    <w:abstractNumId w:val="20"/>
  </w:num>
  <w:num w:numId="5">
    <w:abstractNumId w:val="6"/>
  </w:num>
  <w:num w:numId="6">
    <w:abstractNumId w:val="15"/>
  </w:num>
  <w:num w:numId="7">
    <w:abstractNumId w:val="13"/>
  </w:num>
  <w:num w:numId="8">
    <w:abstractNumId w:val="21"/>
  </w:num>
  <w:num w:numId="9">
    <w:abstractNumId w:val="16"/>
  </w:num>
  <w:num w:numId="10">
    <w:abstractNumId w:val="1"/>
  </w:num>
  <w:num w:numId="11">
    <w:abstractNumId w:val="3"/>
  </w:num>
  <w:num w:numId="12">
    <w:abstractNumId w:val="9"/>
  </w:num>
  <w:num w:numId="13">
    <w:abstractNumId w:val="8"/>
  </w:num>
  <w:num w:numId="14">
    <w:abstractNumId w:val="11"/>
  </w:num>
  <w:num w:numId="15">
    <w:abstractNumId w:val="2"/>
  </w:num>
  <w:num w:numId="16">
    <w:abstractNumId w:val="10"/>
  </w:num>
  <w:num w:numId="17">
    <w:abstractNumId w:val="4"/>
  </w:num>
  <w:num w:numId="18">
    <w:abstractNumId w:val="5"/>
  </w:num>
  <w:num w:numId="19">
    <w:abstractNumId w:val="17"/>
  </w:num>
  <w:num w:numId="20">
    <w:abstractNumId w:val="14"/>
  </w:num>
  <w:num w:numId="21">
    <w:abstractNumId w:val="7"/>
  </w:num>
  <w:num w:numId="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oNotTrackMoves/>
  <w:documentProtection w:edit="readOnly" w:enforcement="0"/>
  <w:defaultTabStop w:val="709"/>
  <w:autoHyphenation/>
  <w:hyphenationZone w:val="425"/>
  <w:characterSpacingControl w:val="doNotCompress"/>
  <w:updateFields w:val="true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75B2"/>
    <w:rsid w:val="00001F71"/>
    <w:rsid w:val="000076C3"/>
    <w:rsid w:val="000171B1"/>
    <w:rsid w:val="000327AA"/>
    <w:rsid w:val="00037C88"/>
    <w:rsid w:val="00063B62"/>
    <w:rsid w:val="00071BC8"/>
    <w:rsid w:val="00073B73"/>
    <w:rsid w:val="000938B6"/>
    <w:rsid w:val="000D402F"/>
    <w:rsid w:val="000D5532"/>
    <w:rsid w:val="000E0775"/>
    <w:rsid w:val="000F45C0"/>
    <w:rsid w:val="00114AF7"/>
    <w:rsid w:val="001176B6"/>
    <w:rsid w:val="001176E7"/>
    <w:rsid w:val="00120038"/>
    <w:rsid w:val="00122F28"/>
    <w:rsid w:val="00124CF6"/>
    <w:rsid w:val="00136D11"/>
    <w:rsid w:val="0014458A"/>
    <w:rsid w:val="00152C6C"/>
    <w:rsid w:val="001563F1"/>
    <w:rsid w:val="00171B3B"/>
    <w:rsid w:val="001844CA"/>
    <w:rsid w:val="00196D69"/>
    <w:rsid w:val="001A0D4C"/>
    <w:rsid w:val="001A29F1"/>
    <w:rsid w:val="001A346C"/>
    <w:rsid w:val="001A7D20"/>
    <w:rsid w:val="001B29DF"/>
    <w:rsid w:val="001C02CE"/>
    <w:rsid w:val="001C2595"/>
    <w:rsid w:val="001D06B4"/>
    <w:rsid w:val="001E1AA1"/>
    <w:rsid w:val="001F701B"/>
    <w:rsid w:val="0021045E"/>
    <w:rsid w:val="00213CA0"/>
    <w:rsid w:val="00223E3C"/>
    <w:rsid w:val="002261D3"/>
    <w:rsid w:val="002314A2"/>
    <w:rsid w:val="00240793"/>
    <w:rsid w:val="002507E1"/>
    <w:rsid w:val="0025463C"/>
    <w:rsid w:val="002611B3"/>
    <w:rsid w:val="0027107F"/>
    <w:rsid w:val="002718E7"/>
    <w:rsid w:val="0027538B"/>
    <w:rsid w:val="0027605C"/>
    <w:rsid w:val="002912AB"/>
    <w:rsid w:val="0029392C"/>
    <w:rsid w:val="002B2518"/>
    <w:rsid w:val="002C02B9"/>
    <w:rsid w:val="002C10AF"/>
    <w:rsid w:val="002C4A27"/>
    <w:rsid w:val="002D2124"/>
    <w:rsid w:val="002E4099"/>
    <w:rsid w:val="002E6D99"/>
    <w:rsid w:val="002E769F"/>
    <w:rsid w:val="0034032B"/>
    <w:rsid w:val="00345F35"/>
    <w:rsid w:val="003474EE"/>
    <w:rsid w:val="0038316A"/>
    <w:rsid w:val="00383B1B"/>
    <w:rsid w:val="00385DB8"/>
    <w:rsid w:val="00391E23"/>
    <w:rsid w:val="003A1AD4"/>
    <w:rsid w:val="003A2206"/>
    <w:rsid w:val="003A3F1D"/>
    <w:rsid w:val="003C5CC7"/>
    <w:rsid w:val="003C684A"/>
    <w:rsid w:val="003D1C6C"/>
    <w:rsid w:val="003E28AD"/>
    <w:rsid w:val="003E52FA"/>
    <w:rsid w:val="003E642B"/>
    <w:rsid w:val="003F6B39"/>
    <w:rsid w:val="00400AFB"/>
    <w:rsid w:val="00410634"/>
    <w:rsid w:val="00412F61"/>
    <w:rsid w:val="0041637A"/>
    <w:rsid w:val="00424C94"/>
    <w:rsid w:val="00430F9A"/>
    <w:rsid w:val="00431E1C"/>
    <w:rsid w:val="00432139"/>
    <w:rsid w:val="00444DEA"/>
    <w:rsid w:val="00445F57"/>
    <w:rsid w:val="00447C97"/>
    <w:rsid w:val="004524BC"/>
    <w:rsid w:val="00453075"/>
    <w:rsid w:val="00460E5E"/>
    <w:rsid w:val="0046171B"/>
    <w:rsid w:val="00463BBB"/>
    <w:rsid w:val="00464CFC"/>
    <w:rsid w:val="0047572E"/>
    <w:rsid w:val="00490E01"/>
    <w:rsid w:val="004A7D71"/>
    <w:rsid w:val="004D2758"/>
    <w:rsid w:val="004D4331"/>
    <w:rsid w:val="004D5200"/>
    <w:rsid w:val="004D5B83"/>
    <w:rsid w:val="004E016B"/>
    <w:rsid w:val="004E052F"/>
    <w:rsid w:val="004E1F4A"/>
    <w:rsid w:val="004E317F"/>
    <w:rsid w:val="004F18B9"/>
    <w:rsid w:val="005016F1"/>
    <w:rsid w:val="00505C9A"/>
    <w:rsid w:val="00512503"/>
    <w:rsid w:val="00517696"/>
    <w:rsid w:val="00531A58"/>
    <w:rsid w:val="00532A0A"/>
    <w:rsid w:val="005401A9"/>
    <w:rsid w:val="00543887"/>
    <w:rsid w:val="005468C3"/>
    <w:rsid w:val="00562902"/>
    <w:rsid w:val="00564696"/>
    <w:rsid w:val="00566628"/>
    <w:rsid w:val="00571A40"/>
    <w:rsid w:val="00572AFA"/>
    <w:rsid w:val="00581B93"/>
    <w:rsid w:val="00584569"/>
    <w:rsid w:val="0058599F"/>
    <w:rsid w:val="00587E07"/>
    <w:rsid w:val="005937E5"/>
    <w:rsid w:val="005A1560"/>
    <w:rsid w:val="005A4766"/>
    <w:rsid w:val="005B53B9"/>
    <w:rsid w:val="005B7051"/>
    <w:rsid w:val="005C2B1B"/>
    <w:rsid w:val="005C60AA"/>
    <w:rsid w:val="005C6705"/>
    <w:rsid w:val="005E2CC0"/>
    <w:rsid w:val="005F0A99"/>
    <w:rsid w:val="005F4AED"/>
    <w:rsid w:val="005F5769"/>
    <w:rsid w:val="0060089D"/>
    <w:rsid w:val="0061731C"/>
    <w:rsid w:val="00622E91"/>
    <w:rsid w:val="0062454C"/>
    <w:rsid w:val="00627A7B"/>
    <w:rsid w:val="00627C9D"/>
    <w:rsid w:val="00632733"/>
    <w:rsid w:val="00635F94"/>
    <w:rsid w:val="00636A60"/>
    <w:rsid w:val="00643167"/>
    <w:rsid w:val="006503BE"/>
    <w:rsid w:val="00660188"/>
    <w:rsid w:val="0066706F"/>
    <w:rsid w:val="006671ED"/>
    <w:rsid w:val="00683072"/>
    <w:rsid w:val="00692D17"/>
    <w:rsid w:val="006A312C"/>
    <w:rsid w:val="006C4537"/>
    <w:rsid w:val="006E0815"/>
    <w:rsid w:val="006E7F46"/>
    <w:rsid w:val="006F6708"/>
    <w:rsid w:val="007011EC"/>
    <w:rsid w:val="007013BA"/>
    <w:rsid w:val="00704DDA"/>
    <w:rsid w:val="007109CA"/>
    <w:rsid w:val="007212CA"/>
    <w:rsid w:val="00721404"/>
    <w:rsid w:val="007254E0"/>
    <w:rsid w:val="00732962"/>
    <w:rsid w:val="00735214"/>
    <w:rsid w:val="00736F3B"/>
    <w:rsid w:val="00740212"/>
    <w:rsid w:val="007456D9"/>
    <w:rsid w:val="00750657"/>
    <w:rsid w:val="00751250"/>
    <w:rsid w:val="00765311"/>
    <w:rsid w:val="00765BC4"/>
    <w:rsid w:val="00765CE1"/>
    <w:rsid w:val="00775ACD"/>
    <w:rsid w:val="00782988"/>
    <w:rsid w:val="00785A5F"/>
    <w:rsid w:val="00790655"/>
    <w:rsid w:val="00792E7C"/>
    <w:rsid w:val="007B0084"/>
    <w:rsid w:val="007B54BA"/>
    <w:rsid w:val="007C2A6A"/>
    <w:rsid w:val="007C501A"/>
    <w:rsid w:val="007C5DAF"/>
    <w:rsid w:val="007E3010"/>
    <w:rsid w:val="007E652C"/>
    <w:rsid w:val="007E7432"/>
    <w:rsid w:val="0080050D"/>
    <w:rsid w:val="00800A41"/>
    <w:rsid w:val="00830285"/>
    <w:rsid w:val="008369F8"/>
    <w:rsid w:val="00852237"/>
    <w:rsid w:val="008628A4"/>
    <w:rsid w:val="008669C4"/>
    <w:rsid w:val="0087137A"/>
    <w:rsid w:val="00875F8B"/>
    <w:rsid w:val="00894552"/>
    <w:rsid w:val="00895CC9"/>
    <w:rsid w:val="008C1B86"/>
    <w:rsid w:val="008C4976"/>
    <w:rsid w:val="008C5DF8"/>
    <w:rsid w:val="008D0706"/>
    <w:rsid w:val="008D21EA"/>
    <w:rsid w:val="008E0B5E"/>
    <w:rsid w:val="008F629B"/>
    <w:rsid w:val="00903853"/>
    <w:rsid w:val="00910E0C"/>
    <w:rsid w:val="00911DAD"/>
    <w:rsid w:val="0091417F"/>
    <w:rsid w:val="00921BAA"/>
    <w:rsid w:val="009238D4"/>
    <w:rsid w:val="00925F99"/>
    <w:rsid w:val="00932793"/>
    <w:rsid w:val="0093659B"/>
    <w:rsid w:val="009376E7"/>
    <w:rsid w:val="00941C4B"/>
    <w:rsid w:val="0094743F"/>
    <w:rsid w:val="00950843"/>
    <w:rsid w:val="00956137"/>
    <w:rsid w:val="00961E57"/>
    <w:rsid w:val="0096435A"/>
    <w:rsid w:val="00976293"/>
    <w:rsid w:val="009775B2"/>
    <w:rsid w:val="0098661F"/>
    <w:rsid w:val="00987BAA"/>
    <w:rsid w:val="00994F42"/>
    <w:rsid w:val="009A1198"/>
    <w:rsid w:val="009A4A55"/>
    <w:rsid w:val="009B176B"/>
    <w:rsid w:val="009D049A"/>
    <w:rsid w:val="009D1278"/>
    <w:rsid w:val="009E0ABC"/>
    <w:rsid w:val="009F5267"/>
    <w:rsid w:val="009F6903"/>
    <w:rsid w:val="00A005DA"/>
    <w:rsid w:val="00A0244D"/>
    <w:rsid w:val="00A1274D"/>
    <w:rsid w:val="00A21BBE"/>
    <w:rsid w:val="00A2294D"/>
    <w:rsid w:val="00A2546D"/>
    <w:rsid w:val="00A600F2"/>
    <w:rsid w:val="00A67437"/>
    <w:rsid w:val="00A73C56"/>
    <w:rsid w:val="00A81E16"/>
    <w:rsid w:val="00AA0BAC"/>
    <w:rsid w:val="00AA4898"/>
    <w:rsid w:val="00AB0D2A"/>
    <w:rsid w:val="00AB3ECE"/>
    <w:rsid w:val="00AD1D48"/>
    <w:rsid w:val="00AD6A0A"/>
    <w:rsid w:val="00AE1160"/>
    <w:rsid w:val="00AF3286"/>
    <w:rsid w:val="00B05E41"/>
    <w:rsid w:val="00B10624"/>
    <w:rsid w:val="00B25C1A"/>
    <w:rsid w:val="00B25DC9"/>
    <w:rsid w:val="00B27E8E"/>
    <w:rsid w:val="00B30844"/>
    <w:rsid w:val="00B30AF5"/>
    <w:rsid w:val="00B4397E"/>
    <w:rsid w:val="00B75BFC"/>
    <w:rsid w:val="00B76765"/>
    <w:rsid w:val="00B81BC8"/>
    <w:rsid w:val="00B834FE"/>
    <w:rsid w:val="00B9677D"/>
    <w:rsid w:val="00BA04DD"/>
    <w:rsid w:val="00BA0E35"/>
    <w:rsid w:val="00BB58C7"/>
    <w:rsid w:val="00BC194D"/>
    <w:rsid w:val="00BC359F"/>
    <w:rsid w:val="00BD0722"/>
    <w:rsid w:val="00BD626B"/>
    <w:rsid w:val="00BE760E"/>
    <w:rsid w:val="00BF1EB1"/>
    <w:rsid w:val="00C02C03"/>
    <w:rsid w:val="00C108A9"/>
    <w:rsid w:val="00C110D5"/>
    <w:rsid w:val="00C120CF"/>
    <w:rsid w:val="00C12866"/>
    <w:rsid w:val="00C13870"/>
    <w:rsid w:val="00C142F3"/>
    <w:rsid w:val="00C20C7D"/>
    <w:rsid w:val="00C270AA"/>
    <w:rsid w:val="00C321BB"/>
    <w:rsid w:val="00C33B87"/>
    <w:rsid w:val="00C407C4"/>
    <w:rsid w:val="00C41BB6"/>
    <w:rsid w:val="00C45263"/>
    <w:rsid w:val="00C523B7"/>
    <w:rsid w:val="00C54EC5"/>
    <w:rsid w:val="00C64265"/>
    <w:rsid w:val="00C74531"/>
    <w:rsid w:val="00C75035"/>
    <w:rsid w:val="00C879B9"/>
    <w:rsid w:val="00C90C93"/>
    <w:rsid w:val="00C97B8F"/>
    <w:rsid w:val="00CA602E"/>
    <w:rsid w:val="00CB3164"/>
    <w:rsid w:val="00CD00A4"/>
    <w:rsid w:val="00CD7302"/>
    <w:rsid w:val="00CF044C"/>
    <w:rsid w:val="00CF7226"/>
    <w:rsid w:val="00D07143"/>
    <w:rsid w:val="00D13739"/>
    <w:rsid w:val="00D1640F"/>
    <w:rsid w:val="00D2571A"/>
    <w:rsid w:val="00D25CBE"/>
    <w:rsid w:val="00D27029"/>
    <w:rsid w:val="00D3159F"/>
    <w:rsid w:val="00D40A28"/>
    <w:rsid w:val="00D44FCF"/>
    <w:rsid w:val="00D4567F"/>
    <w:rsid w:val="00D5294C"/>
    <w:rsid w:val="00D61935"/>
    <w:rsid w:val="00D61CDF"/>
    <w:rsid w:val="00D63462"/>
    <w:rsid w:val="00D63A0B"/>
    <w:rsid w:val="00D67284"/>
    <w:rsid w:val="00D71BE8"/>
    <w:rsid w:val="00D87BFB"/>
    <w:rsid w:val="00DA23F4"/>
    <w:rsid w:val="00DA2832"/>
    <w:rsid w:val="00DA3017"/>
    <w:rsid w:val="00DB4819"/>
    <w:rsid w:val="00DB5CA5"/>
    <w:rsid w:val="00DC3E38"/>
    <w:rsid w:val="00DC5149"/>
    <w:rsid w:val="00DD695B"/>
    <w:rsid w:val="00DE2B20"/>
    <w:rsid w:val="00DE66B7"/>
    <w:rsid w:val="00DF16A0"/>
    <w:rsid w:val="00E140A4"/>
    <w:rsid w:val="00E21B1C"/>
    <w:rsid w:val="00E26B8B"/>
    <w:rsid w:val="00E31B94"/>
    <w:rsid w:val="00E41F6F"/>
    <w:rsid w:val="00E6098F"/>
    <w:rsid w:val="00E63E22"/>
    <w:rsid w:val="00E737BA"/>
    <w:rsid w:val="00E75E2B"/>
    <w:rsid w:val="00E7656D"/>
    <w:rsid w:val="00E84A8C"/>
    <w:rsid w:val="00E84B52"/>
    <w:rsid w:val="00E968B5"/>
    <w:rsid w:val="00EA3836"/>
    <w:rsid w:val="00EA4BC3"/>
    <w:rsid w:val="00EB725B"/>
    <w:rsid w:val="00ED1EA5"/>
    <w:rsid w:val="00EF6296"/>
    <w:rsid w:val="00F06E74"/>
    <w:rsid w:val="00F14847"/>
    <w:rsid w:val="00F16EF7"/>
    <w:rsid w:val="00F22DA6"/>
    <w:rsid w:val="00F34B27"/>
    <w:rsid w:val="00F361D7"/>
    <w:rsid w:val="00F37DEA"/>
    <w:rsid w:val="00F80456"/>
    <w:rsid w:val="00F8288C"/>
    <w:rsid w:val="00F8413E"/>
    <w:rsid w:val="00F90D5E"/>
    <w:rsid w:val="00F95964"/>
    <w:rsid w:val="00F96989"/>
    <w:rsid w:val="00FA091C"/>
    <w:rsid w:val="00FA3221"/>
    <w:rsid w:val="00FA38D5"/>
    <w:rsid w:val="00FD3ABB"/>
    <w:rsid w:val="00FF2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8249E"/>
  <w15:chartTrackingRefBased/>
  <w15:docId w15:val="{78425FC8-53FF-4D5D-93A8-683EAC3AF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35"/>
    <w:pPr>
      <w:suppressAutoHyphens/>
      <w:spacing w:line="360" w:lineRule="auto"/>
      <w:ind w:firstLine="709"/>
      <w:jc w:val="both"/>
    </w:pPr>
    <w:rPr>
      <w:rFonts w:ascii="Arial" w:hAnsi="Arial" w:cs="Arial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har1"/>
    <w:uiPriority w:val="9"/>
    <w:qFormat/>
    <w:rsid w:val="00DE2B20"/>
    <w:pPr>
      <w:keepNext/>
      <w:ind w:firstLine="0"/>
      <w:outlineLvl w:val="0"/>
    </w:pPr>
    <w:rPr>
      <w:rFonts w:eastAsia="Times New Roman"/>
      <w:b/>
      <w:bCs/>
      <w:kern w:val="32"/>
      <w:sz w:val="32"/>
      <w:szCs w:val="32"/>
      <w:lang w:val="x-none"/>
    </w:rPr>
  </w:style>
  <w:style w:type="paragraph" w:styleId="Ttulo2">
    <w:name w:val="heading 2"/>
    <w:basedOn w:val="Normal"/>
    <w:next w:val="Normal"/>
    <w:link w:val="Ttulo2Char"/>
    <w:uiPriority w:val="9"/>
    <w:qFormat/>
    <w:rsid w:val="00DE2B20"/>
    <w:pPr>
      <w:keepNext/>
      <w:ind w:firstLine="0"/>
      <w:outlineLvl w:val="1"/>
    </w:pPr>
    <w:rPr>
      <w:rFonts w:eastAsia="Times New Roman"/>
      <w:b/>
      <w:bCs/>
      <w:iCs/>
      <w:szCs w:val="28"/>
      <w:lang w:val="x-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ListaColorida-nfase11">
    <w:name w:val="Lista Colorida - Ênfase 11"/>
    <w:basedOn w:val="Normal"/>
    <w:uiPriority w:val="34"/>
    <w:qFormat/>
    <w:rsid w:val="009775B2"/>
    <w:pPr>
      <w:ind w:left="720"/>
      <w:contextualSpacing/>
    </w:pPr>
  </w:style>
  <w:style w:type="character" w:customStyle="1" w:styleId="longtext">
    <w:name w:val="long_text"/>
    <w:basedOn w:val="Fontepargpadro"/>
    <w:rsid w:val="0066706F"/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66706F"/>
    <w:pPr>
      <w:spacing w:line="240" w:lineRule="auto"/>
    </w:pPr>
    <w:rPr>
      <w:sz w:val="20"/>
      <w:szCs w:val="20"/>
      <w:lang w:val="x-none"/>
    </w:rPr>
  </w:style>
  <w:style w:type="character" w:customStyle="1" w:styleId="TextodenotaderodapChar">
    <w:name w:val="Texto de nota de rodapé Char"/>
    <w:link w:val="Textodenotaderodap"/>
    <w:uiPriority w:val="99"/>
    <w:semiHidden/>
    <w:rsid w:val="0066706F"/>
    <w:rPr>
      <w:rFonts w:ascii="Calibri" w:eastAsia="Calibri" w:hAnsi="Calibri" w:cs="Times New Roman"/>
      <w:lang w:eastAsia="en-US"/>
    </w:rPr>
  </w:style>
  <w:style w:type="character" w:styleId="Refdenotaderodap">
    <w:name w:val="footnote reference"/>
    <w:uiPriority w:val="99"/>
    <w:semiHidden/>
    <w:unhideWhenUsed/>
    <w:rsid w:val="0066706F"/>
    <w:rPr>
      <w:vertAlign w:val="superscript"/>
    </w:rPr>
  </w:style>
  <w:style w:type="paragraph" w:styleId="NormalWeb">
    <w:name w:val="Normal (Web)"/>
    <w:basedOn w:val="Normal"/>
    <w:uiPriority w:val="99"/>
    <w:unhideWhenUsed/>
    <w:rsid w:val="005A4766"/>
    <w:pPr>
      <w:spacing w:before="100" w:beforeAutospacing="1" w:after="100" w:afterAutospacing="1" w:line="240" w:lineRule="auto"/>
    </w:pPr>
    <w:rPr>
      <w:rFonts w:ascii="Times New Roman" w:eastAsia="Times New Roman" w:hAnsi="Times New Roman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5A4766"/>
    <w:rPr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rsid w:val="005A4766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5A4766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961E57"/>
    <w:rPr>
      <w:color w:val="0000FF"/>
      <w:u w:val="single"/>
    </w:rPr>
  </w:style>
  <w:style w:type="character" w:customStyle="1" w:styleId="Ttulo1Char">
    <w:name w:val="Título 1 Char"/>
    <w:rsid w:val="000E0775"/>
    <w:rPr>
      <w:rFonts w:ascii="Arial" w:hAnsi="Arial" w:cs="Arial"/>
      <w:b/>
      <w:bCs/>
      <w:kern w:val="1"/>
      <w:sz w:val="32"/>
      <w:szCs w:val="32"/>
      <w:lang w:val="pt-BR" w:eastAsia="ar-SA" w:bidi="ar-SA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34B27"/>
    <w:rPr>
      <w:sz w:val="20"/>
      <w:szCs w:val="20"/>
      <w:lang w:val="x-none"/>
    </w:rPr>
  </w:style>
  <w:style w:type="character" w:customStyle="1" w:styleId="TextodenotadefimChar">
    <w:name w:val="Texto de nota de fim Char"/>
    <w:link w:val="Textodenotadefim"/>
    <w:uiPriority w:val="99"/>
    <w:semiHidden/>
    <w:rsid w:val="00F34B27"/>
    <w:rPr>
      <w:lang w:eastAsia="en-US"/>
    </w:rPr>
  </w:style>
  <w:style w:type="character" w:styleId="Refdenotadefim">
    <w:name w:val="endnote reference"/>
    <w:uiPriority w:val="99"/>
    <w:semiHidden/>
    <w:unhideWhenUsed/>
    <w:rsid w:val="00F34B27"/>
    <w:rPr>
      <w:vertAlign w:val="superscript"/>
    </w:rPr>
  </w:style>
  <w:style w:type="character" w:customStyle="1" w:styleId="apple-converted-space">
    <w:name w:val="apple-converted-space"/>
    <w:basedOn w:val="Fontepargpadro"/>
    <w:rsid w:val="00BD0722"/>
  </w:style>
  <w:style w:type="character" w:customStyle="1" w:styleId="Ttulo1Char1">
    <w:name w:val="Título 1 Char1"/>
    <w:link w:val="Ttulo1"/>
    <w:uiPriority w:val="9"/>
    <w:rsid w:val="00DE2B20"/>
    <w:rPr>
      <w:rFonts w:ascii="Arial" w:eastAsia="Times New Roman" w:hAnsi="Arial" w:cs="Arial"/>
      <w:b/>
      <w:bCs/>
      <w:kern w:val="32"/>
      <w:sz w:val="32"/>
      <w:szCs w:val="32"/>
      <w:lang w:val="x-none" w:eastAsia="en-US"/>
    </w:rPr>
  </w:style>
  <w:style w:type="character" w:customStyle="1" w:styleId="Ttulo2Char">
    <w:name w:val="Título 2 Char"/>
    <w:link w:val="Ttulo2"/>
    <w:uiPriority w:val="9"/>
    <w:rsid w:val="00DE2B20"/>
    <w:rPr>
      <w:rFonts w:ascii="Arial" w:eastAsia="Times New Roman" w:hAnsi="Arial" w:cs="Arial"/>
      <w:b/>
      <w:bCs/>
      <w:iCs/>
      <w:sz w:val="24"/>
      <w:szCs w:val="28"/>
      <w:lang w:val="x-none" w:eastAsia="en-US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120CF"/>
    <w:pPr>
      <w:spacing w:line="240" w:lineRule="auto"/>
    </w:pPr>
    <w:rPr>
      <w:rFonts w:ascii="Tahoma" w:hAnsi="Tahoma"/>
      <w:sz w:val="16"/>
      <w:szCs w:val="16"/>
      <w:lang w:val="x-none"/>
    </w:rPr>
  </w:style>
  <w:style w:type="paragraph" w:styleId="Sumrio1">
    <w:name w:val="toc 1"/>
    <w:basedOn w:val="Normal"/>
    <w:next w:val="Normal"/>
    <w:autoRedefine/>
    <w:uiPriority w:val="39"/>
    <w:unhideWhenUsed/>
    <w:rsid w:val="00D1640F"/>
    <w:pPr>
      <w:tabs>
        <w:tab w:val="right" w:leader="dot" w:pos="9061"/>
      </w:tabs>
    </w:pPr>
    <w:rPr>
      <w:b/>
      <w:noProof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7254E0"/>
  </w:style>
  <w:style w:type="character" w:customStyle="1" w:styleId="TextodebaloChar">
    <w:name w:val="Texto de balão Char"/>
    <w:link w:val="Textodebalo"/>
    <w:uiPriority w:val="99"/>
    <w:semiHidden/>
    <w:rsid w:val="00C120CF"/>
    <w:rPr>
      <w:rFonts w:ascii="Tahoma" w:hAnsi="Tahoma" w:cs="Tahoma"/>
      <w:sz w:val="16"/>
      <w:szCs w:val="16"/>
      <w:lang w:eastAsia="en-US"/>
    </w:rPr>
  </w:style>
  <w:style w:type="character" w:styleId="HiperlinkVisitado">
    <w:name w:val="FollowedHyperlink"/>
    <w:uiPriority w:val="99"/>
    <w:semiHidden/>
    <w:unhideWhenUsed/>
    <w:rsid w:val="001176E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4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6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3565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2821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31608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253986">
          <w:marLeft w:val="43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8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2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2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928</Words>
  <Characters>5012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PUC-MG – PONTIFÍCIA UNIVERSIDADE CATÓLICA DE MINAS GERAIS</vt:lpstr>
      <vt:lpstr>PUC-MG – PONTIFÍCIA UNIVERSIDADE CATÓLICA DE MINAS GERAIS</vt:lpstr>
    </vt:vector>
  </TitlesOfParts>
  <Company>Sociedade Mineira de Cultura</Company>
  <LinksUpToDate>false</LinksUpToDate>
  <CharactersWithSpaces>5929</CharactersWithSpaces>
  <SharedDoc>false</SharedDoc>
  <HLinks>
    <vt:vector size="108" baseType="variant">
      <vt:variant>
        <vt:i4>1179709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_Toc445198589</vt:lpwstr>
      </vt:variant>
      <vt:variant>
        <vt:i4>1179709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_Toc445198588</vt:lpwstr>
      </vt:variant>
      <vt:variant>
        <vt:i4>1179709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_Toc445198587</vt:lpwstr>
      </vt:variant>
      <vt:variant>
        <vt:i4>1179709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_Toc445198586</vt:lpwstr>
      </vt:variant>
      <vt:variant>
        <vt:i4>1179709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_Toc445198585</vt:lpwstr>
      </vt:variant>
      <vt:variant>
        <vt:i4>1179709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_Toc445198584</vt:lpwstr>
      </vt:variant>
      <vt:variant>
        <vt:i4>1179709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_Toc445198583</vt:lpwstr>
      </vt:variant>
      <vt:variant>
        <vt:i4>1179709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_Toc445198582</vt:lpwstr>
      </vt:variant>
      <vt:variant>
        <vt:i4>1179709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_Toc445198581</vt:lpwstr>
      </vt:variant>
      <vt:variant>
        <vt:i4>1179709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_Toc445198580</vt:lpwstr>
      </vt:variant>
      <vt:variant>
        <vt:i4>1900605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_Toc445198579</vt:lpwstr>
      </vt:variant>
      <vt:variant>
        <vt:i4>1900605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_Toc445198578</vt:lpwstr>
      </vt:variant>
      <vt:variant>
        <vt:i4>1900605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_Toc445198577</vt:lpwstr>
      </vt:variant>
      <vt:variant>
        <vt:i4>1900605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_Toc445198576</vt:lpwstr>
      </vt:variant>
      <vt:variant>
        <vt:i4>1900605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_Toc445198575</vt:lpwstr>
      </vt:variant>
      <vt:variant>
        <vt:i4>1900605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_Toc445198574</vt:lpwstr>
      </vt:variant>
      <vt:variant>
        <vt:i4>1900605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_Toc445198573</vt:lpwstr>
      </vt:variant>
      <vt:variant>
        <vt:i4>1900605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_Toc445198572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PUC-MG – PONTIFÍCIA UNIVERSIDADE CATÓLICA DE MINAS GERAIS</dc:title>
  <dc:subject/>
  <dc:creator>Sociedade Mineira de Cultura</dc:creator>
  <cp:keywords/>
  <cp:lastModifiedBy>Rommel Vieira Carneiro</cp:lastModifiedBy>
  <cp:revision>13</cp:revision>
  <cp:lastPrinted>2013-03-18T18:49:00Z</cp:lastPrinted>
  <dcterms:created xsi:type="dcterms:W3CDTF">2019-06-10T02:33:00Z</dcterms:created>
  <dcterms:modified xsi:type="dcterms:W3CDTF">2021-06-16T02:16:00Z</dcterms:modified>
</cp:coreProperties>
</file>