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Consumo em Portugal 2010–2027: o que muda para o retalho</w:t>
      </w:r>
    </w:p>
    <w:p>
      <w:pPr/>
      <w:r>
        <w:t xml:space="preserve">Estudo de mercado para o setor de retalho · </w:t>
      </w:r>
      <w:r>
        <w:t xml:space="preserve">Oct 11, 2026</w:t>
      </w:r>
      <w:r>
        <w:t xml:space="preserve"> · </w:t>
      </w:r>
      <w:r>
        <w:t xml:space="preserve">@Robson Almeida</w:t>
      </w:r>
    </w:p>
    <w:p>
      <w:pPr>
        <w:pStyle w:val="Heading2"/>
      </w:pPr>
      <w:r>
        <w:t xml:space="preserve">Resumo executivo</w:t>
      </w:r>
    </w:p>
    <w:p>
      <w:pPr/>
      <w:r>
        <w:t xml:space="preserve">O retalho português cresceu acima da média europeia desde 2019, mas o crescimento concentrou-se nas grandes superfícies e abranda em 2027. O online é a maior oportunidade por explorar: há ainda 13 pontos percentuais de distância para a UE, e o fosso está quase todo nos clientes com mais de 55 anos, menos escolarizados e de zonas rurais.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Online por conquistar.</w:t>
      </w:r>
      <w:r>
        <w:t xml:space="preserve"> 61% das pessoas compraram online em 2025, contra 74% na UE; Portugal é 23.º em 27. No ritmo atual, só chega aos 74% por volta de 2030.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fosso não é dos jovens.</w:t>
      </w:r>
      <w:r>
        <w:t xml:space="preserve"> Dos 25 aos 34 anos, Portugal está ao nível da UE (87% contra 89%). Dos 65 aos 74 anos, compram online 20%, menos de metade dos 44% europeus.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Grandes superfícies ganham, comércio especializado perde.</w:t>
      </w:r>
      <w:r>
        <w:t xml:space="preserve"> Desde 2019, os super e hipermercados cresceram 19% em volume e as lojas alimentares especializadas caíram 5%. A previsão aponta para uma queda adicional de 3% em 2026 e 5% em 2027 neste canal.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Parte do crescimento é preço.</w:t>
      </w:r>
      <w:r>
        <w:t xml:space="preserve"> As vendas do retalho subiram 31% em euros e 15% em quantidade desde 2019. A inflação acumulada de 2021 a 2025 foi de 19%, e chegou a 31% na alimentação e a 38% na restauração.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setor concentra-se, mas menos do que na Europa.</w:t>
      </w:r>
      <w:r>
        <w:t xml:space="preserve"> As grandes empresas faturam 44% do retalho em Portugal, contra 51% na UE. Há menos 30 mil empresas do que em 2010, quase todas microempresas.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2027 abranda.</w:t>
      </w:r>
      <w:r>
        <w:t xml:space="preserve"> Prevê-se que o volume do retalho cresça 3,0% em 2026 e 1,5% em 2027. Em euros, o crescimento será de 4,3% em 2027.</w:t>
      </w:r>
    </w:p>
    <w:p>
      <w:pPr/>
      <w:r>
        <w:rPr>
          <w:b/>
        </w:rPr>
        <w:t xml:space="preserve">O que fazer:</w:t>
      </w:r>
      <w:r>
        <w:t xml:space="preserve"> tratar o online como o principal motor de crescimento, com foco em quem ainda não compra. Separar o crescimento em preço e em volume em todos os KPI. Rever o papel das lojas pequenas especializadas na rede.</w:t>
      </w:r>
    </w:p>
    <w:p>
      <w:pPr>
        <w:pStyle w:val="Heading2"/>
      </w:pPr>
      <w:r>
        <w:t xml:space="preserve">Âmbito e fontes</w:t>
      </w:r>
    </w:p>
    <w:p>
      <w:pPr/>
      <w:r>
        <w:t xml:space="preserve">Estudo de mercado para empresas de retalho que operam em Portugal. Compara Portugal com a média da UE27 entre 2010 e 2026, e projeta até dezembro de 2027.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Fonte (Eurostat)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Período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Compras online por perfil e categoria</w:t>
            </w:r>
          </w:p>
        </w:tc>
        <w:tc>
          <w:tcPr>
            <w:tcW w:w="3120" w:type="dxa"/>
          </w:tcPr>
          <w:p>
            <w:pPr/>
            <w:r>
              <w:t xml:space="preserve">isoc_ec_ibuy, isoc_ec_ib20, isoc_ec_ibgs</w:t>
            </w:r>
          </w:p>
        </w:tc>
        <w:tc>
          <w:tcPr>
            <w:tcW w:w="3120" w:type="dxa"/>
          </w:tcPr>
          <w:p>
            <w:pPr/>
            <w:r>
              <w:t xml:space="preserve">2010–2025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Vendas do retalho por canal (mensal)</w:t>
            </w:r>
          </w:p>
        </w:tc>
        <w:tc>
          <w:tcPr>
            <w:tcW w:w="3120" w:type="dxa"/>
          </w:tcPr>
          <w:p>
            <w:pPr/>
            <w:r>
              <w:t xml:space="preserve">sts_trtu_m</w:t>
            </w:r>
          </w:p>
        </w:tc>
        <w:tc>
          <w:tcPr>
            <w:tcW w:w="3120" w:type="dxa"/>
          </w:tcPr>
          <w:p>
            <w:pPr/>
            <w:r>
              <w:t xml:space="preserve">jan/2010–ago/2026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Empresas, emprego e faturação por dimensão</w:t>
            </w:r>
          </w:p>
        </w:tc>
        <w:tc>
          <w:tcPr>
            <w:tcW w:w="3120" w:type="dxa"/>
          </w:tcPr>
          <w:p>
            <w:pPr/>
            <w:r>
              <w:t xml:space="preserve">sbs_sc_dt_r2, sbs_sc_ovw</w:t>
            </w:r>
          </w:p>
        </w:tc>
        <w:tc>
          <w:tcPr>
            <w:tcW w:w="3120" w:type="dxa"/>
          </w:tcPr>
          <w:p>
            <w:pPr/>
            <w:r>
              <w:t xml:space="preserve">2010–2024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Inflação por categoria</w:t>
            </w:r>
          </w:p>
        </w:tc>
        <w:tc>
          <w:tcPr>
            <w:tcW w:w="3120" w:type="dxa"/>
          </w:tcPr>
          <w:p>
            <w:pPr/>
            <w:r>
              <w:t xml:space="preserve">prc_hicp_aind</w:t>
            </w:r>
          </w:p>
        </w:tc>
        <w:tc>
          <w:tcPr>
            <w:tcW w:w="3120" w:type="dxa"/>
          </w:tcPr>
          <w:p>
            <w:pPr/>
            <w:r>
              <w:t xml:space="preserve">2010–2025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Despesa das famílias por categoria</w:t>
            </w:r>
          </w:p>
        </w:tc>
        <w:tc>
          <w:tcPr>
            <w:tcW w:w="3120" w:type="dxa"/>
          </w:tcPr>
          <w:p>
            <w:pPr/>
            <w:r>
              <w:t xml:space="preserve">nama_10_co3_p3</w:t>
            </w:r>
          </w:p>
        </w:tc>
        <w:tc>
          <w:tcPr>
            <w:tcW w:w="3120" w:type="dxa"/>
          </w:tcPr>
          <w:p>
            <w:pPr/>
            <w:r>
              <w:t xml:space="preserve">2010–2022</w:t>
            </w:r>
          </w:p>
        </w:tc>
      </w:tr>
    </w:tbl>
    <w:p>
      <w:pPr/>
      <w:r>
        <w:t xml:space="preserve">Cada secção seguinte responde a uma pergunta de um departamento: o que os dados mostram, o que significa e o que fazer. Os números vêm do dashboard Power BI do projeto, e a metodologia está no fim do documento.</w:t>
      </w:r>
    </w:p>
    <w:p>
      <w:pPr>
        <w:pStyle w:val="Heading2"/>
      </w:pPr>
      <w:r>
        <w:t xml:space="preserve">Direção / Estratégia: onde está o crescimento</w:t>
      </w:r>
    </w:p>
    <w:p>
      <w:pPr/>
      <w:r>
        <w:rPr>
          <w:b/>
        </w:rPr>
        <w:t xml:space="preserve">Pergunta:</w:t>
      </w:r>
      <w:r>
        <w:t xml:space="preserve"> onde está o crescimento do consumo nos próximos anos?</w:t>
      </w:r>
    </w:p>
    <w:p>
      <w:pPr/>
      <w:r>
        <w:rPr>
          <w:b/>
        </w:rPr>
        <w:t xml:space="preserve">O que os dados mostram:</w:t>
      </w:r>
      <w:r>
        <w:t xml:space="preserve"> a percentagem de pessoas que compram online quadruplicou, de 15% em 2010 para 61% em 2025. Mesmo assim, Portugal continua 13 pontos percentuais abaixo da UE e é o 23.º de 27 países. A distância encurtou pouco desde 2021: de 15,5 pp para 13,1 pp.</w:t>
      </w:r>
    </w:p>
    <w:p>
      <w:pPr/>
      <w:r>
        <w:rPr>
          <w:b/>
        </w:rPr>
        <w:t xml:space="preserve">O que significa:</w:t>
      </w:r>
      <w:r>
        <w:t xml:space="preserve"> o online em Portugal ainda está na fase de crescimento, enquanto na UE já abranda. A população que falta conquistar é grande: cada ponto percentual equivale a cerca de 75 mil pessoas dos 16 aos 74 anos (estimativa com base em ~7,5 milhões de residentes nessa faixa).</w:t>
      </w:r>
    </w:p>
    <w:p>
      <w:pPr/>
      <w:r>
        <w:rPr>
          <w:b/>
        </w:rPr>
        <w:t xml:space="preserve">O que fazer:</w:t>
      </w:r>
    </w:p>
    <w:p>
      <w:pPr>
        <w:pStyle w:val="ListParagraph"/>
        <w:numPr>
          <w:ilvl w:val="0"/>
          <w:numId w:val="3"/>
        </w:numPr>
      </w:pPr>
      <w:r>
        <w:t xml:space="preserve">Assumir o online como um canal de crescimento com metas próprias, não como complemento das lojas.</w:t>
      </w:r>
    </w:p>
    <w:p>
      <w:pPr>
        <w:pStyle w:val="ListParagraph"/>
        <w:numPr>
          <w:ilvl w:val="0"/>
          <w:numId w:val="3"/>
        </w:numPr>
      </w:pPr>
      <w:r>
        <w:t xml:space="preserve">Investir onde o fosso face à UE é maior (ver Marketing), em vez de disputar os clientes jovens, que já compram ao nível europeu.</w:t>
      </w:r>
    </w:p>
    <w:p>
      <w:pPr/>
      <w:r>
        <w:rPr>
          <w:b/>
        </w:rPr>
        <w:t xml:space="preserve">KPI a acompanhar:</w:t>
      </w:r>
      <w:r>
        <w:t xml:space="preserve"> quota de clientes que compram online; peso do online nas vendas totais.</w:t>
      </w:r>
    </w:p>
    <w:p>
      <w:pPr>
        <w:pStyle w:val="Heading2"/>
      </w:pPr>
      <w:r>
        <w:t xml:space="preserve">Expansão / Comercial: formatos que ganham e perdem</w:t>
      </w:r>
    </w:p>
    <w:p>
      <w:pPr/>
      <w:r>
        <w:rPr>
          <w:b/>
        </w:rPr>
        <w:t xml:space="preserve">Pergunta:</w:t>
      </w:r>
      <w:r>
        <w:t xml:space="preserve"> que formatos de loja estão a ganhar clientes?</w:t>
      </w:r>
    </w:p>
    <w:p>
      <w:pPr/>
      <w:r>
        <w:rPr>
          <w:b/>
        </w:rPr>
        <w:t xml:space="preserve">O que os dados mostram:</w:t>
      </w:r>
      <w:r>
        <w:t xml:space="preserve"> entre 2019 e 2025, o volume vendido pelo retalho cresceu 15%. Cresceram muito acima disso as lojas de informática e telecomunicações (+71%), as lojas de departamento (+47%) e a venda online (+42%). Os super e hipermercados cresceram 19%. As lojas alimentares especializadas (mercearias, talhos, padarias) foram o único formato a perder volume (−5%).</w:t>
      </w:r>
    </w:p>
    <w:p>
      <w:pPr/>
      <w:r>
        <w:rPr>
          <w:b/>
        </w:rPr>
        <w:t xml:space="preserve">O que significa:</w:t>
      </w:r>
      <w:r>
        <w:t xml:space="preserve"> na alimentação, o cliente trocou a loja tradicional pela grande superfície, que oferece sortido, preço e uma só deslocação. Isto acelerou com a inflação de 2022–2023. Fora da alimentação, os formatos de maior dimensão e especializados em tecnologia ganharam espaço.</w:t>
      </w:r>
    </w:p>
    <w:p>
      <w:pPr/>
      <w:r>
        <w:rPr>
          <w:b/>
        </w:rPr>
        <w:t xml:space="preserve">O que fazer:</w:t>
      </w:r>
    </w:p>
    <w:p>
      <w:pPr>
        <w:pStyle w:val="ListParagraph"/>
        <w:numPr>
          <w:ilvl w:val="0"/>
          <w:numId w:val="4"/>
        </w:numPr>
      </w:pPr>
      <w:r>
        <w:t xml:space="preserve">Priorizar a abertura e remodelação de lojas de maior dimensão ou de proximidade com sortido alargado.</w:t>
      </w:r>
    </w:p>
    <w:p>
      <w:pPr>
        <w:pStyle w:val="ListParagraph"/>
        <w:numPr>
          <w:ilvl w:val="0"/>
          <w:numId w:val="4"/>
        </w:numPr>
      </w:pPr>
      <w:r>
        <w:t xml:space="preserve">Avaliar a rentabilidade das lojas alimentares pequenas e especializadas; onde se mantêm, diferenciar pela qualidade, frescos e serviço, não pelo preço.</w:t>
      </w:r>
    </w:p>
    <w:p>
      <w:pPr/>
      <w:r>
        <w:rPr>
          <w:b/>
        </w:rPr>
        <w:t xml:space="preserve">KPI a acompanhar:</w:t>
      </w:r>
      <w:r>
        <w:t xml:space="preserve"> vendas por m² e por formato de loja; quota de visitas à loja física face ao online.</w:t>
      </w:r>
    </w:p>
    <w:p>
      <w:pPr>
        <w:pStyle w:val="Heading2"/>
      </w:pPr>
      <w:r>
        <w:t xml:space="preserve">Marketing: quem compra online e quem falta conquistar</w:t>
      </w:r>
    </w:p>
    <w:p>
      <w:pPr/>
      <w:r>
        <w:rPr>
          <w:b/>
        </w:rPr>
        <w:t xml:space="preserve">Pergunta:</w:t>
      </w:r>
      <w:r>
        <w:t xml:space="preserve"> quem é o cliente online e onde estão os clientes por conquistar?</w:t>
      </w:r>
    </w:p>
    <w:p>
      <w:pPr/>
      <w:r>
        <w:drawing>
          <wp:inline distT="0" distB="0" distL="0" distR="0">
            <wp:extent cx="5486400" cy="4180114"/>
            <wp:docPr id="1" name="image1" descr="Eurostat isoc_ec_ib20 · indivíduos 16-74 anos · 2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urostat isoc_ec_ib20 · indivíduos 16-74 anos · 202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Eurostat isoc_ec_ib20 · indivíduos 16-74 anos · 2025</w:t>
      </w:r>
    </w:p>
    <w:p>
      <w:pPr/>
      <w:r>
        <w:rPr>
          <w:b/>
        </w:rPr>
        <w:t xml:space="preserve">O que os dados mostram:</w:t>
      </w:r>
      <w:r>
        <w:t xml:space="preserve"> os portugueses até aos 54 anos e os que têm o secundário ou o ensino superior compram online quase tanto como a média europeia. O fosso está dos 55 anos para cima, na escolaridade baixa, nas zonas rurais e nos reformados, com diferenças de 17 a 27 pontos percentuais. Dos 65 aos 74 anos, só 1 em cada 5 portugueses compra online, contra quase metade na UE.</w:t>
      </w:r>
    </w:p>
    <w:p>
      <w:pPr/>
      <w:r>
        <w:rPr>
          <w:b/>
        </w:rPr>
        <w:t xml:space="preserve">O que significa:</w:t>
      </w:r>
      <w:r>
        <w:t xml:space="preserve"> o crescimento do online em Portugal já não virá dos jovens, que estão perto do teto. Virá de clientes mais velhos e de fora dos grandes centros, que hoje compram sobretudo na loja física e podem ter barreiras de confiança, de pagamento ou de entrega.</w:t>
      </w:r>
    </w:p>
    <w:p>
      <w:pPr/>
      <w:r>
        <w:rPr>
          <w:b/>
        </w:rPr>
        <w:t xml:space="preserve">O que fazer:</w:t>
      </w:r>
    </w:p>
    <w:p>
      <w:pPr>
        <w:pStyle w:val="ListParagraph"/>
        <w:numPr>
          <w:ilvl w:val="0"/>
          <w:numId w:val="5"/>
        </w:numPr>
      </w:pPr>
      <w:r>
        <w:t xml:space="preserve">Campanhas de primeira compra online dirigidas a clientes com mais de 55 anos, com apoio na loja (registo assistido, pagamento na entrega ou na loja).</w:t>
      </w:r>
    </w:p>
    <w:p>
      <w:pPr>
        <w:pStyle w:val="ListParagraph"/>
        <w:numPr>
          <w:ilvl w:val="0"/>
          <w:numId w:val="5"/>
        </w:numPr>
      </w:pPr>
      <w:r>
        <w:t xml:space="preserve">Recolha em loja e entrega em pontos de proximidade nas zonas rurais, onde a entrega ao domicílio é mais cara.</w:t>
      </w:r>
    </w:p>
    <w:p>
      <w:pPr>
        <w:pStyle w:val="ListParagraph"/>
        <w:numPr>
          <w:ilvl w:val="0"/>
          <w:numId w:val="5"/>
        </w:numPr>
      </w:pPr>
      <w:r>
        <w:t xml:space="preserve">Comunicação simples sobre segurança e devoluções, que pesam mais na decisão de quem ainda não compra.</w:t>
      </w:r>
    </w:p>
    <w:p>
      <w:pPr/>
      <w:r>
        <w:rPr>
          <w:b/>
        </w:rPr>
        <w:t xml:space="preserve">KPI a acompanhar:</w:t>
      </w:r>
      <w:r>
        <w:t xml:space="preserve"> novos clientes online por faixa etária; taxa de conversão da primeira para a segunda compra.</w:t>
      </w:r>
    </w:p>
    <w:p>
      <w:pPr>
        <w:pStyle w:val="Heading2"/>
      </w:pPr>
      <w:r>
        <w:t xml:space="preserve">E-commerce / Digital: categorias e ritmo do online</w:t>
      </w:r>
    </w:p>
    <w:p>
      <w:pPr/>
      <w:r>
        <w:rPr>
          <w:b/>
        </w:rPr>
        <w:t xml:space="preserve">Pergunta:</w:t>
      </w:r>
      <w:r>
        <w:t xml:space="preserve"> que categorias levar primeiro para o online e a que ritmo está o canal a crescer?</w:t>
      </w:r>
    </w:p>
    <w:p>
      <w:pPr/>
      <w:r>
        <w:rPr>
          <w:b/>
        </w:rPr>
        <w:t xml:space="preserve">O que os dados mostram:</w:t>
      </w:r>
      <w:r>
        <w:t xml:space="preserve"> em 2024, 48% dos portugueses compraram algum bem físico online, mais 13 pp do que em 2020. As categorias com mais compradores são: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Categoria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% da população que comprou online (últimos 3 meses)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Variação desde 2020 (pp)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Roupa, calçado e acessórios</w:t>
            </w:r>
          </w:p>
        </w:tc>
        <w:tc>
          <w:tcPr>
            <w:tcW w:w="3120" w:type="dxa"/>
          </w:tcPr>
          <w:p>
            <w:pPr/>
            <w:r>
              <w:t xml:space="preserve">35,8% (2024)</w:t>
            </w:r>
          </w:p>
        </w:tc>
        <w:tc>
          <w:tcPr>
            <w:tcW w:w="3120" w:type="dxa"/>
          </w:tcPr>
          <w:p>
            <w:pPr/>
            <w:r>
              <w:t xml:space="preserve">+14,5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Serviços de transporte</w:t>
            </w:r>
          </w:p>
        </w:tc>
        <w:tc>
          <w:tcPr>
            <w:tcW w:w="3120" w:type="dxa"/>
          </w:tcPr>
          <w:p>
            <w:pPr/>
            <w:r>
              <w:t xml:space="preserve">21,0% (2025)</w:t>
            </w:r>
          </w:p>
        </w:tc>
        <w:tc>
          <w:tcPr>
            <w:tcW w:w="3120" w:type="dxa"/>
          </w:tcPr>
          <w:p>
            <w:pPr/>
            <w:r>
              <w:t xml:space="preserve">+14,0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Entregas de restaurantes e fast-food</w:t>
            </w:r>
          </w:p>
        </w:tc>
        <w:tc>
          <w:tcPr>
            <w:tcW w:w="3120" w:type="dxa"/>
          </w:tcPr>
          <w:p>
            <w:pPr/>
            <w:r>
              <w:t xml:space="preserve">19,4% (2024)</w:t>
            </w:r>
          </w:p>
        </w:tc>
        <w:tc>
          <w:tcPr>
            <w:tcW w:w="3120" w:type="dxa"/>
          </w:tcPr>
          <w:p>
            <w:pPr/>
            <w:r>
              <w:t xml:space="preserve">+5,9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Alojamento</w:t>
            </w:r>
          </w:p>
        </w:tc>
        <w:tc>
          <w:tcPr>
            <w:tcW w:w="3120" w:type="dxa"/>
          </w:tcPr>
          <w:p>
            <w:pPr/>
            <w:r>
              <w:t xml:space="preserve">19,0% (2025)</w:t>
            </w:r>
          </w:p>
        </w:tc>
        <w:tc>
          <w:tcPr>
            <w:tcW w:w="3120" w:type="dxa"/>
          </w:tcPr>
          <w:p>
            <w:pPr/>
            <w:r>
              <w:t xml:space="preserve">+11,5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Cosmética, beleza e bem-estar</w:t>
            </w:r>
          </w:p>
        </w:tc>
        <w:tc>
          <w:tcPr>
            <w:tcW w:w="3120" w:type="dxa"/>
          </w:tcPr>
          <w:p>
            <w:pPr/>
            <w:r>
              <w:t xml:space="preserve">15,4% (2024)</w:t>
            </w:r>
          </w:p>
        </w:tc>
        <w:tc>
          <w:tcPr>
            <w:tcW w:w="3120" w:type="dxa"/>
          </w:tcPr>
          <w:p>
            <w:pPr/>
            <w:r>
              <w:t xml:space="preserve">+4,9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Mobiliário, decoração e jardim</w:t>
            </w:r>
          </w:p>
        </w:tc>
        <w:tc>
          <w:tcPr>
            <w:tcW w:w="3120" w:type="dxa"/>
          </w:tcPr>
          <w:p>
            <w:pPr/>
            <w:r>
              <w:t xml:space="preserve">13,7% (2024)</w:t>
            </w:r>
          </w:p>
        </w:tc>
        <w:tc>
          <w:tcPr>
            <w:tcW w:w="3120" w:type="dxa"/>
          </w:tcPr>
          <w:p>
            <w:pPr/>
            <w:r>
              <w:t xml:space="preserve">+6,6</w:t>
            </w:r>
          </w:p>
        </w:tc>
      </w:tr>
    </w:tbl>
    <w:p>
      <w:pPr/>
      <w:r>
        <w:t xml:space="preserve">O volume vendido pelo comércio online e por correspondência cresceu 42% entre 2019 e 2025, abaixo dos 55% da UE. É também o canal mais volátil: a previsão para 2027 vai de −9% a +11%.</w:t>
      </w:r>
    </w:p>
    <w:p>
      <w:pPr/>
      <w:r>
        <w:rPr>
          <w:b/>
        </w:rPr>
        <w:t xml:space="preserve">O que significa:</w:t>
      </w:r>
      <w:r>
        <w:t xml:space="preserve"> o online português é liderado pela moda e pelos serviços (viagens, alojamento, restauração). A alimentação de lojas ainda é pequena (8% da população) e cresce devagar, o que deixa espaço a quem resolver bem a entrega de frescos.</w:t>
      </w:r>
    </w:p>
    <w:p>
      <w:pPr/>
      <w:r>
        <w:rPr>
          <w:b/>
        </w:rPr>
        <w:t xml:space="preserve">O que fazer:</w:t>
      </w:r>
    </w:p>
    <w:p>
      <w:pPr>
        <w:pStyle w:val="ListParagraph"/>
        <w:numPr>
          <w:ilvl w:val="0"/>
          <w:numId w:val="6"/>
        </w:numPr>
      </w:pPr>
      <w:r>
        <w:t xml:space="preserve">Abrir o canal pelas categorias onde o cliente já compra online: moda, beleza, casa e decoração.</w:t>
      </w:r>
    </w:p>
    <w:p>
      <w:pPr>
        <w:pStyle w:val="ListParagraph"/>
        <w:numPr>
          <w:ilvl w:val="0"/>
          <w:numId w:val="6"/>
        </w:numPr>
      </w:pPr>
      <w:r>
        <w:t xml:space="preserve">Testar a entrega rápida e a recolha em loja para alimentação, onde a concorrência online é menor.</w:t>
      </w:r>
    </w:p>
    <w:p>
      <w:pPr>
        <w:pStyle w:val="ListParagraph"/>
        <w:numPr>
          <w:ilvl w:val="0"/>
          <w:numId w:val="6"/>
        </w:numPr>
      </w:pPr>
      <w:r>
        <w:t xml:space="preserve">Planear o online com cenários (base, baixo, alto), porque a variabilidade do canal é alta.</w:t>
      </w:r>
    </w:p>
    <w:p>
      <w:pPr/>
      <w:r>
        <w:rPr>
          <w:b/>
        </w:rPr>
        <w:t xml:space="preserve">KPI a acompanhar:</w:t>
      </w:r>
      <w:r>
        <w:t xml:space="preserve"> vendas online por categoria; custo de entrega por encomenda; taxa de recolha em loja.</w:t>
      </w:r>
    </w:p>
    <w:p>
      <w:pPr>
        <w:pStyle w:val="Heading2"/>
      </w:pPr>
      <w:r>
        <w:t xml:space="preserve">Pricing / Compras: quanto do crescimento é preço</w:t>
      </w:r>
    </w:p>
    <w:p>
      <w:pPr/>
      <w:r>
        <w:rPr>
          <w:b/>
        </w:rPr>
        <w:t xml:space="preserve">Pergunta:</w:t>
      </w:r>
      <w:r>
        <w:t xml:space="preserve"> quanto do crescimento das vendas é preço e quanto é quantidade?</w:t>
      </w:r>
    </w:p>
    <w:p>
      <w:pPr/>
      <w:r>
        <w:rPr>
          <w:b/>
        </w:rPr>
        <w:t xml:space="preserve">O que os dados mostram:</w:t>
      </w:r>
      <w:r>
        <w:t xml:space="preserve"> desde 2019, as vendas do retalho subiram 31% em euros mas só 15% em quantidade. Nos super e hipermercados, 49% em euros contra 19% em volume. A subida de preços foi muito desigual entre categorias:</w:t>
      </w:r>
    </w:p>
    <w:p>
      <w:pPr/>
      <w:r>
        <w:drawing>
          <wp:inline distT="0" distB="0" distL="0" distR="0">
            <wp:extent cx="5486400" cy="3535135"/>
            <wp:docPr id="2" name="image2" descr="Eurostat prc_hicp_aind · índice médio anual 2021 e 2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urostat prc_hicp_aind · índice médio anual 2021 e 20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Eurostat prc_hicp_aind · índice médio anual 2021 e 2025</w:t>
      </w:r>
    </w:p>
    <w:p>
      <w:pPr/>
      <w:r>
        <w:t xml:space="preserve">Para o último trimestre de 2026, a previsão aponta para volumes próximos dos de 2025: +0,6% no retalho total, +0,7% nos super e hipermercados, +2,8% no online e −2,6% no comércio alimentar especializado.</w:t>
      </w:r>
    </w:p>
    <w:p>
      <w:pPr/>
      <w:r>
        <w:rPr>
          <w:b/>
        </w:rPr>
        <w:t xml:space="preserve">O que significa:</w:t>
      </w:r>
      <w:r>
        <w:t xml:space="preserve"> uma parte relevante do crescimento recente em euros é inflação, não mais clientes nem mais unidades vendidas. Nas categorias que mais subiram (restauração e alimentação), o cliente é mais sensível ao preço e troca de marca ou de loja com facilidade.</w:t>
      </w:r>
    </w:p>
    <w:p>
      <w:pPr/>
      <w:r>
        <w:rPr>
          <w:b/>
        </w:rPr>
        <w:t xml:space="preserve">O que fazer:</w:t>
      </w:r>
    </w:p>
    <w:p>
      <w:pPr>
        <w:pStyle w:val="ListParagraph"/>
        <w:numPr>
          <w:ilvl w:val="0"/>
          <w:numId w:val="7"/>
        </w:numPr>
      </w:pPr>
      <w:r>
        <w:t xml:space="preserve">Medir sempre o desempenho em volume e em valor, e explicar a diferença (efeito preço) nos relatórios de gestão.</w:t>
      </w:r>
    </w:p>
    <w:p>
      <w:pPr>
        <w:pStyle w:val="ListParagraph"/>
        <w:numPr>
          <w:ilvl w:val="0"/>
          <w:numId w:val="7"/>
        </w:numPr>
      </w:pPr>
      <w:r>
        <w:t xml:space="preserve">Reforçar a marca própria e as gamas de entrada nas categorias alimentares, onde a sensibilidade ao preço é maior.</w:t>
      </w:r>
    </w:p>
    <w:p>
      <w:pPr>
        <w:pStyle w:val="ListParagraph"/>
        <w:numPr>
          <w:ilvl w:val="0"/>
          <w:numId w:val="7"/>
        </w:numPr>
      </w:pPr>
      <w:r>
        <w:t xml:space="preserve">Planear as compras de Natal de 2026 para volumes semelhantes aos de 2025, sem contar com crescimento forte.</w:t>
      </w:r>
    </w:p>
    <w:p>
      <w:pPr/>
      <w:r>
        <w:rPr>
          <w:b/>
        </w:rPr>
        <w:t xml:space="preserve">KPI a acompanhar:</w:t>
      </w:r>
      <w:r>
        <w:t xml:space="preserve"> vendas em volume e em valor; preço médio por cesto; peso da marca própria.</w:t>
      </w:r>
    </w:p>
    <w:p>
      <w:pPr>
        <w:pStyle w:val="Heading2"/>
      </w:pPr>
      <w:r>
        <w:t xml:space="preserve">Finanças / Risco: concentração do setor</w:t>
      </w:r>
    </w:p>
    <w:p>
      <w:pPr/>
      <w:r>
        <w:rPr>
          <w:b/>
        </w:rPr>
        <w:t xml:space="preserve">Pergunta:</w:t>
      </w:r>
      <w:r>
        <w:t xml:space="preserve"> como está a concorrência a evoluir e que escala é necessária?</w:t>
      </w:r>
    </w:p>
    <w:p>
      <w:pPr/>
      <w:r>
        <w:rPr>
          <w:b/>
        </w:rPr>
        <w:t xml:space="preserve">O que os dados mostram:</w:t>
      </w:r>
      <w:r>
        <w:t xml:space="preserve"> o retalho português tinha 154 467 empresas em 2010 e 123 721 em 2024 (−20%). A queda foi quase toda nas microempresas, que continuam a ser 96% das empresas mas faturam apenas 24% do total. No outro extremo, as 97 empresas com mais de 250 pessoas faturam 44%, contra 36% em 2010. Cada grande empresa fatura em média 336 milhões de euros, e cada microempresa 151 mil euros.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Volume de negócios do retalho por dimensão, 2024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Micro (0-9)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Pequena (10-49)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Média (50-249)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Grande (250+)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Portugal</w:t>
            </w:r>
          </w:p>
        </w:tc>
        <w:tc>
          <w:tcPr>
            <w:tcW w:w="1872" w:type="dxa"/>
          </w:tcPr>
          <w:p>
            <w:pPr/>
            <w:r>
              <w:t xml:space="preserve">24,3%</w:t>
            </w:r>
          </w:p>
        </w:tc>
        <w:tc>
          <w:tcPr>
            <w:tcW w:w="1872" w:type="dxa"/>
          </w:tcPr>
          <w:p>
            <w:pPr/>
            <w:r>
              <w:t xml:space="preserve">20,3%</w:t>
            </w:r>
          </w:p>
        </w:tc>
        <w:tc>
          <w:tcPr>
            <w:tcW w:w="1872" w:type="dxa"/>
          </w:tcPr>
          <w:p>
            <w:pPr/>
            <w:r>
              <w:t xml:space="preserve">11,0%</w:t>
            </w:r>
          </w:p>
        </w:tc>
        <w:tc>
          <w:tcPr>
            <w:tcW w:w="1872" w:type="dxa"/>
          </w:tcPr>
          <w:p>
            <w:pPr/>
            <w:r>
              <w:t xml:space="preserve">44,3%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UE27</w:t>
            </w:r>
          </w:p>
        </w:tc>
        <w:tc>
          <w:tcPr>
            <w:tcW w:w="1872" w:type="dxa"/>
          </w:tcPr>
          <w:p>
            <w:pPr/>
            <w:r>
              <w:t xml:space="preserve">21,5%</w:t>
            </w:r>
          </w:p>
        </w:tc>
        <w:tc>
          <w:tcPr>
            <w:tcW w:w="1872" w:type="dxa"/>
          </w:tcPr>
          <w:p>
            <w:pPr/>
            <w:r>
              <w:t xml:space="preserve">16,1%</w:t>
            </w:r>
          </w:p>
        </w:tc>
        <w:tc>
          <w:tcPr>
            <w:tcW w:w="1872" w:type="dxa"/>
          </w:tcPr>
          <w:p>
            <w:pPr/>
            <w:r>
              <w:t xml:space="preserve">11,3%</w:t>
            </w:r>
          </w:p>
        </w:tc>
        <w:tc>
          <w:tcPr>
            <w:tcW w:w="1872" w:type="dxa"/>
          </w:tcPr>
          <w:p>
            <w:pPr/>
            <w:r>
              <w:t xml:space="preserve">51,0%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Espanha</w:t>
            </w:r>
          </w:p>
        </w:tc>
        <w:tc>
          <w:tcPr>
            <w:tcW w:w="1872" w:type="dxa"/>
          </w:tcPr>
          <w:p>
            <w:pPr/>
            <w:r>
              <w:t xml:space="preserve">28,9%</w:t>
            </w:r>
          </w:p>
        </w:tc>
        <w:tc>
          <w:tcPr>
            <w:tcW w:w="1872" w:type="dxa"/>
          </w:tcPr>
          <w:p>
            <w:pPr/>
            <w:r>
              <w:t xml:space="preserve">12,2%</w:t>
            </w:r>
          </w:p>
        </w:tc>
        <w:tc>
          <w:tcPr>
            <w:tcW w:w="1872" w:type="dxa"/>
          </w:tcPr>
          <w:p>
            <w:pPr/>
            <w:r>
              <w:t xml:space="preserve">5,2%</w:t>
            </w:r>
          </w:p>
        </w:tc>
        <w:tc>
          <w:tcPr>
            <w:tcW w:w="1872" w:type="dxa"/>
          </w:tcPr>
          <w:p>
            <w:pPr/>
            <w:r>
              <w:t xml:space="preserve">53,7%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França</w:t>
            </w:r>
          </w:p>
        </w:tc>
        <w:tc>
          <w:tcPr>
            <w:tcW w:w="1872" w:type="dxa"/>
          </w:tcPr>
          <w:p>
            <w:pPr/>
            <w:r>
              <w:t xml:space="preserve">19,5%</w:t>
            </w:r>
          </w:p>
        </w:tc>
        <w:tc>
          <w:tcPr>
            <w:tcW w:w="1872" w:type="dxa"/>
          </w:tcPr>
          <w:p>
            <w:pPr/>
            <w:r>
              <w:t xml:space="preserve">14,9%</w:t>
            </w:r>
          </w:p>
        </w:tc>
        <w:tc>
          <w:tcPr>
            <w:tcW w:w="1872" w:type="dxa"/>
          </w:tcPr>
          <w:p>
            <w:pPr/>
            <w:r>
              <w:t xml:space="preserve">16,0%</w:t>
            </w:r>
          </w:p>
        </w:tc>
        <w:tc>
          <w:tcPr>
            <w:tcW w:w="1872" w:type="dxa"/>
          </w:tcPr>
          <w:p>
            <w:pPr/>
            <w:r>
              <w:t xml:space="preserve">49,6%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Alemanha</w:t>
            </w:r>
          </w:p>
        </w:tc>
        <w:tc>
          <w:tcPr>
            <w:tcW w:w="1872" w:type="dxa"/>
          </w:tcPr>
          <w:p>
            <w:pPr/>
            <w:r>
              <w:t xml:space="preserve">12,7%</w:t>
            </w:r>
          </w:p>
        </w:tc>
        <w:tc>
          <w:tcPr>
            <w:tcW w:w="1872" w:type="dxa"/>
          </w:tcPr>
          <w:p>
            <w:pPr/>
            <w:r>
              <w:t xml:space="preserve">17,5%</w:t>
            </w:r>
          </w:p>
        </w:tc>
        <w:tc>
          <w:tcPr>
            <w:tcW w:w="1872" w:type="dxa"/>
          </w:tcPr>
          <w:p>
            <w:pPr/>
            <w:r>
              <w:t xml:space="preserve">12,3%</w:t>
            </w:r>
          </w:p>
        </w:tc>
        <w:tc>
          <w:tcPr>
            <w:tcW w:w="1872" w:type="dxa"/>
          </w:tcPr>
          <w:p>
            <w:pPr/>
            <w:r>
              <w:t xml:space="preserve">57,5%</w:t>
            </w:r>
          </w:p>
        </w:tc>
      </w:tr>
    </w:tbl>
    <w:p>
      <w:pPr/>
      <w:r>
        <w:rPr>
          <w:b/>
        </w:rPr>
        <w:t xml:space="preserve">O que significa:</w:t>
      </w:r>
      <w:r>
        <w:t xml:space="preserve"> o setor está a concentrar-se, e a escala é uma vantagem clara em compras, logística e investimento digital. Portugal ainda é menos concentrado do que a média europeia, por isso a consolidação deve continuar. A pressão sobre margens recai sobretudo nos operadores pequenos.</w:t>
      </w:r>
    </w:p>
    <w:p>
      <w:pPr/>
      <w:r>
        <w:rPr>
          <w:b/>
        </w:rPr>
        <w:t xml:space="preserve">O que fazer:</w:t>
      </w:r>
    </w:p>
    <w:p>
      <w:pPr>
        <w:pStyle w:val="ListParagraph"/>
        <w:numPr>
          <w:ilvl w:val="0"/>
          <w:numId w:val="8"/>
        </w:numPr>
      </w:pPr>
      <w:r>
        <w:t xml:space="preserve">Avaliar parcerias ou aquisições de operadores pequenos e médios com boa localização, que podem ficar disponíveis a preços atrativos.</w:t>
      </w:r>
    </w:p>
    <w:p>
      <w:pPr>
        <w:pStyle w:val="ListParagraph"/>
        <w:numPr>
          <w:ilvl w:val="0"/>
          <w:numId w:val="8"/>
        </w:numPr>
      </w:pPr>
      <w:r>
        <w:t xml:space="preserve">Para operadores de menor dimensão: centrais de compras e parcerias logísticas para ganhar escala sem crescer em lojas.</w:t>
      </w:r>
    </w:p>
    <w:p>
      <w:pPr/>
      <w:r>
        <w:rPr>
          <w:b/>
        </w:rPr>
        <w:t xml:space="preserve">KPI a acompanhar:</w:t>
      </w:r>
      <w:r>
        <w:t xml:space="preserve"> quota de mercado por região; margem bruta face aos maiores concorrentes.</w:t>
      </w:r>
    </w:p>
    <w:p>
      <w:pPr>
        <w:pStyle w:val="Heading2"/>
      </w:pPr>
      <w:r>
        <w:t xml:space="preserve">Perspetivas 2026–2027</w:t>
      </w:r>
    </w:p>
    <w:p>
      <w:pPr/>
      <w:r>
        <w:t xml:space="preserve">O volume do retalho deve crescer 3,0% em 2026 e abrandar para 1,5% em 2027, ainda acima da UE (+1,4% e +0,4%). Em euros, o crescimento previsto é de 6,7% em 2026 e 4,3% em 2027: a diferença face ao volume é o efeito preço que continua.</w:t>
      </w:r>
    </w:p>
    <w:p>
      <w:pPr/>
      <w:r>
        <w:drawing>
          <wp:inline distT="0" distB="0" distL="0" distR="0">
            <wp:extent cx="5486400" cy="3477985"/>
            <wp:docPr id="3" name="image3" descr="Previsão própria sobre Eurostat sts_trtu_m (dados até ago/2026) · modelo escolhido por menor erro no tes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revisão própria sobre Eurostat sts_trtu_m (dados até ago/2026) · modelo escolhido por menor erro no tes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Previsão própria sobre Eurostat sts_trtu_m (dados até ago/2026) · modelo escolhido por menor erro no teste</w:t>
      </w:r>
    </w:p>
    <w:p>
      <w:pPr/>
      <w:r>
        <w:t xml:space="preserve">O crescimento de 2026 está quase garantido, porque oito meses já são reais. Para 2027 a incerteza é maior, sobretudo no online, onde o intervalo vai de −9% a +11%. O comércio alimentar especializado é o único canal com previsão de queda nos dois anos.</w:t>
      </w:r>
    </w:p>
    <w:p>
      <w:pPr/>
      <w:r>
        <w:rPr>
          <w:b/>
        </w:rPr>
        <w:t xml:space="preserve">Cenário para a adoção do online:</w:t>
      </w:r>
      <w:r>
        <w:t xml:space="preserve"> se a tendência de 2010–2025 se mantiver, 68% dos portugueses comprarão online em 2027 e 75% em 2030. Portugal só chegará ao nível atual da UE (74%) por volta de 2030, quando a UE já estará perto dos 83%. Sem ação dirigida aos segmentos em atraso, a distância de cerca de 8 pp mantém-se.</w:t>
      </w:r>
    </w:p>
    <w:p>
      <w:pPr>
        <w:pStyle w:val="Heading2"/>
      </w:pPr>
      <w:r>
        <w:t xml:space="preserve">Recomendações e KPIs por departamento</w:t>
      </w:r>
    </w:p>
    <w:p>
      <w:pPr/>
      <w:r>
        <w:t xml:space="preserve">Três prioridades atravessam todas as áreas: crescer no online junto de quem ainda não compra, medir o negócio em volume e não só em euros, e ganhar escala num setor que se concentra.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Departamento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Recomendação principal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KPI a acompanhar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Horizonte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Direção / Estratégia</w:t>
            </w:r>
          </w:p>
        </w:tc>
        <w:tc>
          <w:tcPr>
            <w:tcW w:w="2340" w:type="dxa"/>
          </w:tcPr>
          <w:p>
            <w:pPr/>
            <w:r>
              <w:t xml:space="preserve">Assumir o online como motor de crescimento, com metas próprias</w:t>
            </w:r>
          </w:p>
        </w:tc>
        <w:tc>
          <w:tcPr>
            <w:tcW w:w="2340" w:type="dxa"/>
          </w:tcPr>
          <w:p>
            <w:pPr/>
            <w:r>
              <w:t xml:space="preserve">Peso do online nas vendas; % de clientes que compram online</w:t>
            </w:r>
          </w:p>
        </w:tc>
        <w:tc>
          <w:tcPr>
            <w:tcW w:w="2340" w:type="dxa"/>
          </w:tcPr>
          <w:p>
            <w:pPr/>
            <w:r>
              <w:t xml:space="preserve">2026–2027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Expansão / Comercial</w:t>
            </w:r>
          </w:p>
        </w:tc>
        <w:tc>
          <w:tcPr>
            <w:tcW w:w="2340" w:type="dxa"/>
          </w:tcPr>
          <w:p>
            <w:pPr/>
            <w:r>
              <w:t xml:space="preserve">Priorizar formatos de maior dimensão; rever lojas alimentares pequenas</w:t>
            </w:r>
          </w:p>
        </w:tc>
        <w:tc>
          <w:tcPr>
            <w:tcW w:w="2340" w:type="dxa"/>
          </w:tcPr>
          <w:p>
            <w:pPr/>
            <w:r>
              <w:t xml:space="preserve">Vendas por m² e por formato</w:t>
            </w:r>
          </w:p>
        </w:tc>
        <w:tc>
          <w:tcPr>
            <w:tcW w:w="2340" w:type="dxa"/>
          </w:tcPr>
          <w:p>
            <w:pPr/>
            <w:r>
              <w:t xml:space="preserve">Próximos 12 meses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Marketing</w:t>
            </w:r>
          </w:p>
        </w:tc>
        <w:tc>
          <w:tcPr>
            <w:tcW w:w="2340" w:type="dxa"/>
          </w:tcPr>
          <w:p>
            <w:pPr/>
            <w:r>
              <w:t xml:space="preserve">Campanhas de primeira compra online para clientes com 55+ anos e de zonas rurais</w:t>
            </w:r>
          </w:p>
        </w:tc>
        <w:tc>
          <w:tcPr>
            <w:tcW w:w="2340" w:type="dxa"/>
          </w:tcPr>
          <w:p>
            <w:pPr/>
            <w:r>
              <w:t xml:space="preserve">Novos clientes online por idade; recompra</w:t>
            </w:r>
          </w:p>
        </w:tc>
        <w:tc>
          <w:tcPr>
            <w:tcW w:w="2340" w:type="dxa"/>
          </w:tcPr>
          <w:p>
            <w:pPr/>
            <w:r>
              <w:t xml:space="preserve">Próximos 6 meses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E-commerce / Digital</w:t>
            </w:r>
          </w:p>
        </w:tc>
        <w:tc>
          <w:tcPr>
            <w:tcW w:w="2340" w:type="dxa"/>
          </w:tcPr>
          <w:p>
            <w:pPr/>
            <w:r>
              <w:t xml:space="preserve">Começar por moda, beleza e casa; testar entrega rápida e recolha em loja na alimentação</w:t>
            </w:r>
          </w:p>
        </w:tc>
        <w:tc>
          <w:tcPr>
            <w:tcW w:w="2340" w:type="dxa"/>
          </w:tcPr>
          <w:p>
            <w:pPr/>
            <w:r>
              <w:t xml:space="preserve">Vendas online por categoria; custo por entrega</w:t>
            </w:r>
          </w:p>
        </w:tc>
        <w:tc>
          <w:tcPr>
            <w:tcW w:w="2340" w:type="dxa"/>
          </w:tcPr>
          <w:p>
            <w:pPr/>
            <w:r>
              <w:t xml:space="preserve">Próximos 6 meses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Pricing / Compras</w:t>
            </w:r>
          </w:p>
        </w:tc>
        <w:tc>
          <w:tcPr>
            <w:tcW w:w="2340" w:type="dxa"/>
          </w:tcPr>
          <w:p>
            <w:pPr/>
            <w:r>
              <w:t xml:space="preserve">Separar volume e valor nos relatórios; reforçar marca própria na alimentação; planear o Natal de 2026 sem crescimento forte</w:t>
            </w:r>
          </w:p>
        </w:tc>
        <w:tc>
          <w:tcPr>
            <w:tcW w:w="2340" w:type="dxa"/>
          </w:tcPr>
          <w:p>
            <w:pPr/>
            <w:r>
              <w:t xml:space="preserve">Volume vs. valor; preço médio por cesto</w:t>
            </w:r>
          </w:p>
        </w:tc>
        <w:tc>
          <w:tcPr>
            <w:tcW w:w="2340" w:type="dxa"/>
          </w:tcPr>
          <w:p>
            <w:pPr/>
            <w:r>
              <w:t xml:space="preserve">4.º trimestre de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Finanças / Risco</w:t>
            </w:r>
          </w:p>
        </w:tc>
        <w:tc>
          <w:tcPr>
            <w:tcW w:w="2340" w:type="dxa"/>
          </w:tcPr>
          <w:p>
            <w:pPr/>
            <w:r>
              <w:t xml:space="preserve">Avaliar parcerias ou aquisições de operadores pequenos e médios</w:t>
            </w:r>
          </w:p>
        </w:tc>
        <w:tc>
          <w:tcPr>
            <w:tcW w:w="2340" w:type="dxa"/>
          </w:tcPr>
          <w:p>
            <w:pPr/>
            <w:r>
              <w:t xml:space="preserve">Quota de mercado regional; margem bruta</w:t>
            </w:r>
          </w:p>
        </w:tc>
        <w:tc>
          <w:tcPr>
            <w:tcW w:w="2340" w:type="dxa"/>
          </w:tcPr>
          <w:p>
            <w:pPr/>
            <w:r>
              <w:t xml:space="preserve">2026–2027</w:t>
            </w:r>
          </w:p>
        </w:tc>
      </w:tr>
    </w:tbl>
    <w:p>
      <w:pPr>
        <w:pStyle w:val="Heading2"/>
      </w:pPr>
      <w:r>
        <w:t xml:space="preserve">Metodologia e limitações</w:t>
      </w:r>
    </w:p>
    <w:p>
      <w:pPr/>
      <w:r>
        <w:t xml:space="preserve">Os dados foram descarregados do Eurostat a 11/10/2026, tratados em Python (ETL próprio) e analisados num modelo estrela em Power BI, com 6 tabelas de factos, 8 dimensões, 4 tabelas de previsão e 51 medidas DAX.</w:t>
      </w:r>
    </w:p>
    <w:p>
      <w:pPr/>
      <w:r>
        <w:rPr>
          <w:b/>
        </w:rPr>
        <w:t xml:space="preserve">Previsão.</w:t>
      </w:r>
      <w:r>
        <w:t xml:space="preserve"> Para cada canal foram comparados três modelos: suavização exponencial com tendência amortecida (ETS), um modelo autorregressivo com sazonalidade (AR) e um modelo ingénuo de referência. Ficou o de menor erro médio (MAPE) no teste de set/2025 a ago/2026: 0,7% no retalho total, 0,9% nos super e hipermercados, 1,9% no comércio alimentar especializado e 4,7% no online. Os meses de confinamento de 2020 e 2021 foram tratados como atípicos. Os intervalos de 80% resultam de 2000 simulações. A adoção do online foi projetada com uma curva logística, apresentada como cenário.</w:t>
      </w:r>
    </w:p>
    <w:p>
      <w:pPr/>
      <w:r>
        <w:rPr>
          <w:b/>
        </w:rPr>
        <w:t xml:space="preserve">Limitações:</w:t>
      </w:r>
    </w:p>
    <w:p>
      <w:pPr>
        <w:pStyle w:val="ListParagraph"/>
        <w:numPr>
          <w:ilvl w:val="0"/>
          <w:numId w:val="9"/>
        </w:numPr>
      </w:pPr>
      <w:r>
        <w:t xml:space="preserve">São dados agregados do setor, não de uma empresa. Indicam tendências, não o desempenho de uma marca.</w:t>
      </w:r>
    </w:p>
    <w:p>
      <w:pPr>
        <w:pStyle w:val="ListParagraph"/>
        <w:numPr>
          <w:ilvl w:val="0"/>
          <w:numId w:val="9"/>
        </w:numPr>
      </w:pPr>
      <w:r>
        <w:t xml:space="preserve">Os canais seguem a classificação de atividades (NACE) da empresa vendedora: uma cadeia de supermercados que vende online conta como supermercado.</w:t>
      </w:r>
    </w:p>
    <w:p>
      <w:pPr>
        <w:pStyle w:val="ListParagraph"/>
        <w:numPr>
          <w:ilvl w:val="0"/>
          <w:numId w:val="9"/>
        </w:numPr>
      </w:pPr>
      <w:r>
        <w:t xml:space="preserve">Há quebras de série: compras online em 2020 (novo inquérito) e estrutura empresarial em 2021 (novo regulamento). Algumas células são confidenciais, por isso as somas por dimensão podem ficar abaixo do total.</w:t>
      </w:r>
    </w:p>
    <w:p>
      <w:pPr>
        <w:pStyle w:val="ListParagraph"/>
        <w:numPr>
          <w:ilvl w:val="0"/>
          <w:numId w:val="9"/>
        </w:numPr>
      </w:pPr>
      <w:r>
        <w:t xml:space="preserve">A série do online em Portugal é pequena e muito volátil, o que alarga a incerteza da sua previsão.</w:t>
      </w:r>
    </w:p>
    <w:p>
      <w:pPr>
        <w:pStyle w:val="ListParagraph"/>
        <w:numPr>
          <w:ilvl w:val="0"/>
          <w:numId w:val="9"/>
        </w:numPr>
      </w:pPr>
      <w:r>
        <w:t xml:space="preserve">As previsões não antecipam choques futuros (crises, alterações fiscais, mudanças de taxas de juro).</w:t>
      </w:r>
    </w:p>
    <w:p>
      <w:pPr/>
      <w:r>
        <w:t xml:space="preserve">Análise e tratamento de dados: Robson Douglas de Almeida.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Consumo em Portugal 2010–2027 o que muda para o retalho</dc:title>
  <dc:description>Claude Docs node/f0604368-8d57@14 docx-w6</dc:description>
  <cp:revision>14</cp:revision>
</cp:coreProperties>
</file>