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 xmlns:pic="http://schemas.openxmlformats.org/drawingml/2006/picture">
      <w:pPr>
        <w:pStyle w:val="Heading1"/>
      </w:pPr>
      <w:r>
        <w:t xml:space="preserve">Arquitetura do novo Console Azion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Nova geração do Console Azion em Nuxt, construída junto com o novo Design System, com arquitetura desenhada para manutenibilidade, performance e segurança.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266"/>
        <w:gridCol w:w="7933"/>
      </w:tblGrid>
      <w:tr>
        <w:trPr>
          <w:tblHeader w:val="true"/>
          <w:cantSplit/>
        </w:trPr>
        <w:tc>
          <w:tcPr>
            <w:tcW w:type="dxa" w:w="226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Campo</w:t>
            </w:r>
          </w:p>
        </w:tc>
        <w:tc>
          <w:tcPr>
            <w:tcW w:type="dxa" w:w="793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26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Natureza</w:t>
            </w:r>
          </w:p>
        </w:tc>
        <w:tc>
          <w:tcPr>
            <w:tcW w:type="dxa" w:w="79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Arquitetura-alvo para um Console novo. Não descreve o azion-console-kit.</w:t>
            </w:r>
          </w:p>
        </w:tc>
      </w:tr>
      <w:tr>
        <w:trPr>
          <w:cantSplit/>
        </w:trPr>
        <w:tc>
          <w:tcPr>
            <w:tcW w:type="dxa" w:w="226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Motivador</w:t>
            </w:r>
          </w:p>
        </w:tc>
        <w:tc>
          <w:tcPr>
            <w:tcW w:type="dxa" w:w="79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novo Design System exige reconstruir a camada de apresentação de todo o Console. É a janela para corrigir o que nunca foi desenhado.</w:t>
            </w:r>
          </w:p>
        </w:tc>
      </w:tr>
      <w:tr>
        <w:trPr>
          <w:cantSplit/>
        </w:trPr>
        <w:tc>
          <w:tcPr>
            <w:tcW w:type="dxa" w:w="226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Problema</w:t>
            </w:r>
          </w:p>
        </w:tc>
        <w:tc>
          <w:tcPr>
            <w:tcW w:type="dxa" w:w="79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projeto atual não foi pensado para manutenibilidade, performance nem segurança. Cresceu por convenção, e convenção sem enforcement diverge.</w:t>
            </w:r>
          </w:p>
        </w:tc>
      </w:tr>
      <w:tr>
        <w:trPr>
          <w:cantSplit/>
        </w:trPr>
        <w:tc>
          <w:tcPr>
            <w:tcW w:type="dxa" w:w="226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Papel do kit</w:t>
            </w:r>
          </w:p>
        </w:tc>
        <w:tc>
          <w:tcPr>
            <w:tcW w:type="dxa" w:w="79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Baseline medida. Cada afirmação da seção 1 tem contagem no repositório.</w:t>
            </w:r>
          </w:p>
        </w:tc>
      </w:tr>
      <w:tr>
        <w:trPr>
          <w:cantSplit/>
        </w:trPr>
        <w:tc>
          <w:tcPr>
            <w:tcW w:type="dxa" w:w="226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Fora de escopo</w:t>
            </w:r>
          </w:p>
        </w:tc>
        <w:tc>
          <w:tcPr>
            <w:tcW w:type="dxa" w:w="79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Contratos finais de backend, fornecedor de flags, migração de dados.</w:t>
            </w:r>
          </w:p>
        </w:tc>
      </w:tr>
      <w:tr>
        <w:trPr>
          <w:cantSplit/>
        </w:trPr>
        <w:tc>
          <w:tcPr>
            <w:tcW w:type="dxa" w:w="226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Convenção</w:t>
            </w:r>
          </w:p>
        </w:tc>
        <w:tc>
          <w:tcPr>
            <w:tcW w:type="dxa" w:w="79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Blocos marcados [PROPOSTO] são desenho. [OBSERVADO] descreve o kit atual, verificado em código. [PENDENTE] marca decisão em aberto.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4ED" w:val="clear"/>
            <w:tcBorders>
              <w:top w:val="single" w:sz="10" w:color="F3652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F3652B"/>
                <w:sz w:val="15"/>
              </w:rPr>
              <w:t>TESE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Manutenibilidade, performance e segurança são propriedades de arquitetura, não de esforço individual. Nenhuma das três se obtém por convenção: hoje a camada de serviços tem três padrões coexistindo e cada tela remonta a própria moldura. A arquitetura proposta dá a cada decisão um dono, um lugar, e um teste que falha no CI quando a decisão é contornada.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1. Por que estamos indo por este caminho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gatilho é o novo Design System: ele exige reconstruir a camada de apresentação de todo o Console. Isso abre a janela para corrigir a causa raiz, que não está em nenhuma feature.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projeto atual não foi desenhado para manutenibilidade, performance e segurança. Cresceu por convenção, e convenção sem verificação automática diverge. As quatro subseções abaixo medem essa divergência em quatro subsistemas, e indicam qual dos três atributos cada achado compromete.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651"/>
        <w:gridCol w:w="4895"/>
        <w:gridCol w:w="2653"/>
      </w:tblGrid>
      <w:tr>
        <w:trPr>
          <w:tblHeader w:val="true"/>
          <w:cantSplit/>
        </w:trPr>
        <w:tc>
          <w:tcPr>
            <w:tcW w:type="dxa" w:w="265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Subsistema</w:t>
            </w:r>
          </w:p>
        </w:tc>
        <w:tc>
          <w:tcPr>
            <w:tcW w:type="dxa" w:w="489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mede</w:t>
            </w:r>
          </w:p>
        </w:tc>
        <w:tc>
          <w:tcPr>
            <w:tcW w:type="dxa" w:w="265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Atributos afetados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1.1 Camada de serviços</w:t>
            </w:r>
          </w:p>
        </w:tc>
        <w:tc>
          <w:tcPr>
            <w:tcW w:type="dxa" w:w="489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Como uma chamada de dados é escrita.</w:t>
            </w:r>
          </w:p>
        </w:tc>
        <w:tc>
          <w:tcPr>
            <w:tcW w:type="dxa" w:w="26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manutenibilidade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1.2 Apresentação e ações</w:t>
            </w:r>
          </w:p>
        </w:tc>
        <w:tc>
          <w:tcPr>
            <w:tcW w:type="dxa" w:w="489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Como uma tela é montada e como as ações aparecem.</w:t>
            </w:r>
          </w:p>
        </w:tc>
        <w:tc>
          <w:tcPr>
            <w:tcW w:type="dxa" w:w="26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manutenibilidade e performance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1.3 Credencial e sessão</w:t>
            </w:r>
          </w:p>
        </w:tc>
        <w:tc>
          <w:tcPr>
            <w:tcW w:type="dxa" w:w="489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Como a identidade do usuário viaja e é validada.</w:t>
            </w:r>
          </w:p>
        </w:tc>
        <w:tc>
          <w:tcPr>
            <w:tcW w:type="dxa" w:w="26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segurança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1.4 Roteamento de rede</w:t>
            </w:r>
          </w:p>
        </w:tc>
        <w:tc>
          <w:tcPr>
            <w:tcW w:type="dxa" w:w="489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Como a URL de uma chamada é composta.</w:t>
            </w:r>
          </w:p>
        </w:tc>
        <w:tc>
          <w:tcPr>
            <w:tcW w:type="dxa" w:w="26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manutenibilidade e segurança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O VERSIONAMENTO É A PROVA, NÃO O ALVO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Entregue recentemente, resolveu suportar ciclo de vida versionado em todos os resources com esforço mínimo e sem drift, e cumpriu o papel. É o único subsistema que já tem dono único, contrato explícito e verificação automática — e por isso não divergiu. Serve de modelo para os quatro subsistemas abaixo.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1.1 Camada de serviços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549"/>
        <w:gridCol w:w="3726"/>
        <w:gridCol w:w="3924"/>
      </w:tblGrid>
      <w:tr>
        <w:trPr>
          <w:tblHeader w:val="true"/>
          <w:cantSplit/>
        </w:trPr>
        <w:tc>
          <w:tcPr>
            <w:tcW w:type="dxa" w:w="254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Achado</w:t>
            </w:r>
          </w:p>
        </w:tc>
        <w:tc>
          <w:tcPr>
            <w:tcW w:type="dxa" w:w="372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Medida no repositório</w:t>
            </w:r>
          </w:p>
        </w:tc>
        <w:tc>
          <w:tcPr>
            <w:tcW w:type="dxa" w:w="392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Três padrões coexistindo</w:t>
            </w:r>
          </w:p>
        </w:tc>
        <w:tc>
          <w:tcPr>
            <w:tcW w:type="dxa" w:w="372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145 arquivos no padrão funcional legado, 63 classes estendendo a base, 6 híbridos que vivem na v2 mas exportam função solta</w:t>
            </w:r>
          </w:p>
        </w:tc>
        <w:tc>
          <w:tcPr>
            <w:tcW w:type="dxa" w:w="39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Quem escreve um resource novo escolhe entre três estilos. Nenhum é errado, então todos persistem, e a escolha depende de qual arquivo foi aberto primeiro.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Acesso a dados dentro do componente</w:t>
            </w:r>
          </w:p>
        </w:tc>
        <w:tc>
          <w:tcPr>
            <w:tcW w:type="dxa" w:w="372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206 views importam service diretamente; as dez maiores views têm de 814 a 1.456 linhas</w:t>
            </w:r>
          </w:p>
        </w:tc>
        <w:tc>
          <w:tcPr>
            <w:tcW w:type="dxa" w:w="39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Formulário, validação, chamada de API e regra de exibição no mesmo arquivo. Não existe unidade testável menor que a tela.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Invalidação de cache espalhada</w:t>
            </w:r>
          </w:p>
        </w:tc>
        <w:tc>
          <w:tcPr>
            <w:tcW w:type="dxa" w:w="372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invalidações manuais distribuídas pelo código, sem dono</w:t>
            </w:r>
          </w:p>
        </w:tc>
        <w:tc>
          <w:tcPr>
            <w:tcW w:type="dxa" w:w="39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Refetch redundante, e nenhuma camada sabe o que precisa ser invalidado depois de uma mutação.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1.2 Apresentação e ações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549"/>
        <w:gridCol w:w="3726"/>
        <w:gridCol w:w="3924"/>
      </w:tblGrid>
      <w:tr>
        <w:trPr>
          <w:tblHeader w:val="true"/>
          <w:cantSplit/>
        </w:trPr>
        <w:tc>
          <w:tcPr>
            <w:tcW w:type="dxa" w:w="254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Achado</w:t>
            </w:r>
          </w:p>
        </w:tc>
        <w:tc>
          <w:tcPr>
            <w:tcW w:type="dxa" w:w="372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Medida no repositório</w:t>
            </w:r>
          </w:p>
        </w:tc>
        <w:tc>
          <w:tcPr>
            <w:tcW w:type="dxa" w:w="392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Cada tela remonta a própria moldura</w:t>
            </w:r>
          </w:p>
        </w:tc>
        <w:tc>
          <w:tcPr>
            <w:tcW w:type="dxa" w:w="372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29 ListViews importam o mesmo par de templates de chrome; 114 de 437 views montam ContentBlock diretamente</w:t>
            </w:r>
          </w:p>
        </w:tc>
        <w:tc>
          <w:tcPr>
            <w:tcW w:type="dxa" w:w="39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Cabeçalho, navegação e barra de ações divergem por tela, e corrigir exige tocar em todas. Navegar remonta chrome que deveria permanecer estável.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Ações declaradas tela por tela</w:t>
            </w:r>
          </w:p>
        </w:tc>
        <w:tc>
          <w:tcPr>
            <w:tcW w:type="dxa" w:w="372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45 views declaram o próprio array de ações; 44 reimplementam a exclusão; 25 embutem o service dentro do objeto da ação</w:t>
            </w:r>
          </w:p>
        </w:tc>
        <w:tc>
          <w:tcPr>
            <w:tcW w:type="dxa" w:w="39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mesma ação é reescrita por resource, com rótulo e comportamento ligeiramente diferentes.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Ações não derivadas de estado nem de permissão</w:t>
            </w:r>
          </w:p>
        </w:tc>
        <w:tc>
          <w:tcPr>
            <w:tcW w:type="dxa" w:w="372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conjunto completo é montado independentemente do que pode ser executado</w:t>
            </w:r>
          </w:p>
        </w:tc>
        <w:tc>
          <w:tcPr>
            <w:tcW w:type="dxa" w:w="39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Custo pago no bundle e no primeiro render para ações que o usuário não pode acionar.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1.3 Credencial e sessão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4079"/>
        <w:gridCol w:w="6120"/>
      </w:tblGrid>
      <w:tr>
        <w:trPr>
          <w:tblHeader w:val="true"/>
          <w:cantSplit/>
        </w:trPr>
        <w:tc>
          <w:tcPr>
            <w:tcW w:type="dxa" w:w="407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Achado</w:t>
            </w:r>
          </w:p>
        </w:tc>
        <w:tc>
          <w:tcPr>
            <w:tcW w:type="dxa" w:w="612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 reescrita de cookie na borda descarta o atributo HttpOnly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Credencial de longa duração fica legível por JavaScript.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Credencial escolhida por efeito colateral em estado global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cliente HTTP é reconfigurado a cada requisição, e o modo ativo não é auditável.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Ausência de interceptor de resposta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expiração só é percebida quando o usuário navega.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Booleano em armazenamento local como porteiro de rota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Controle de acesso apoiado em valor que o próprio cliente controla.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Logout não limpa cache nem estado do cliente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Dados da sessão anterior permanecem acessíveis depois de sair.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Identidade e feature flag resolvidas no cliente, em cascata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Requisições bloqueantes antes do primeiro pixel, porque nada chega resolvido no HTML.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1.4 Roteamento de rede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Os três subsistemas anteriores divergem dentro da aplicação. Este divergiu na URL — a fronteira com o edge e com o backend. A pergunta que a subseção responde é: quantos lugares podem decidir para onde uma chamada vai, e o que acontece quando eles discordam.</w:t>
      </w:r>
    </w:p>
    <w:p xmlns:a="http://schemas.openxmlformats.org/drawingml/2006/main" xmlns:pic="http://schemas.openxmlformats.org/drawingml/2006/picture">
      <w:pPr>
        <w:spacing w:after="60" w:before="100"/>
        <w:jc w:val="center"/>
      </w:pPr>
      <w:r>
        <w:rPr>
          <w:rFonts w:ascii="Arial" w:hAnsi="Arial" w:eastAsia="Arial" w:cs="Arial"/>
          <w:color w:val="243041"/>
          <w:sz w:val="20"/>
        </w:rPr>
        <w:drawing>
          <wp:inline>
            <wp:extent cx="6355080" cy="2824480"/>
            <wp:docPr id="11" name="Picture 11" title="Diagrama de arquitetura" descr="Montagem de URL: cliente HTTP, service e edge, sem coorden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_ur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2448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spacing w:after="180" w:before="0"/>
        <w:jc w:val="center"/>
      </w:pPr>
      <w:r>
        <w:rPr>
          <w:rFonts w:ascii="Arial" w:hAnsi="Arial" w:eastAsia="Arial" w:cs="Arial"/>
          <w:i/>
          <w:color w:val="667085"/>
          <w:sz w:val="17"/>
        </w:rPr>
        <w:t xml:space="preserve">Figura 1 — As três decisões que compõem uma URL hoje, e as contagens de cada uma.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875"/>
        <w:gridCol w:w="6324"/>
      </w:tblGrid>
      <w:tr>
        <w:trPr>
          <w:tblHeader w:val="true"/>
          <w:cantSplit/>
        </w:trPr>
        <w:tc>
          <w:tcPr>
            <w:tcW w:type="dxa" w:w="387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Achado</w:t>
            </w:r>
          </w:p>
        </w:tc>
        <w:tc>
          <w:tcPr>
            <w:tcW w:type="dxa" w:w="632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Sete mecanismos podem definir o prefixo de uma chamada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Quem escreve um service novo escolhe entre sete lugares. Nenhum é errado, então todos persistem.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Oito formas de URL, nenhuma canônica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existe forma correta a copiar. A escolha depende de qual arquivo foi aberto primeiro.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Tabela de roteamento duplicada, com precedência oposta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prefixo novo precisa ser escrito duas vezes, em posições invertidas, e nenhum teste falha se só uma for editada.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Quatro prefixos alcançam o mesmo host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destino de uma chamada não é legível na própria chamada.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Versão declarada três vezes, em desacordo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chamada a v4 sai e chega afirmando versão 3.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Host de infraestrutura dentro do código de domínio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Trocar um host exige editar arquivos de service.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mesmo domínio alcançado por três URLs, em dois backends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Saber onde uma chamada chega exige conhecer regras de edge que não estão escritas no repositório.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O PADRÃO SE REPETE NOS QUATRO SUBSISTEMAS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Em todos os casos a decisão certa existe em algum lugar do código — mas sem dono único e sem enforcement. Então cada feature re-decide, e o sistema diverge. Não é falta de cuidado: é ausência de arquitetura que torne a decisão obrigatória.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2. Arquitetura-alvo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Console novo é uma aplicação Nuxt consumindo o Azion WebKit como foundation visual. A AppShell deixa de ser algo que cada tela remonta e passa a ser a moldura única: ela resolve sessão, navegação e contexto, e é ela que carrega a Shell de resource — Default ou Version. As Shells não são o topo da hierarquia; são conteúdo da AppShell.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Isso inverte a ordem atual. Hoje a tela é a unidade e o chrome é detalhe dela. No alvo, a moldura é a unidade e a tela é conteúdo. Como a moldura é a mesma, as duas Shells podem ter a mesma estrutura interna e diferir apenas na máquina de estados e no conjunto de ações.</w:t>
      </w:r>
    </w:p>
    <w:p xmlns:a="http://schemas.openxmlformats.org/drawingml/2006/main" xmlns:pic="http://schemas.openxmlformats.org/drawingml/2006/picture">
      <w:pPr>
        <w:spacing w:after="60" w:before="100"/>
        <w:jc w:val="center"/>
      </w:pPr>
      <w:r>
        <w:rPr>
          <w:rFonts w:ascii="Arial" w:hAnsi="Arial" w:eastAsia="Arial" w:cs="Arial"/>
          <w:color w:val="243041"/>
          <w:sz w:val="20"/>
        </w:rPr>
        <w:drawing>
          <wp:inline>
            <wp:extent cx="6355080" cy="3530600"/>
            <wp:docPr id="12" name="Picture 12" title="Diagrama de arquitetura" descr="Fases de execução: bootstrap, navegação, abertura do resource e inter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pha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spacing w:after="180" w:before="0"/>
        <w:jc w:val="center"/>
      </w:pPr>
      <w:r>
        <w:rPr>
          <w:rFonts w:ascii="Arial" w:hAnsi="Arial" w:eastAsia="Arial" w:cs="Arial"/>
          <w:i/>
          <w:color w:val="667085"/>
          <w:sz w:val="17"/>
        </w:rPr>
        <w:t xml:space="preserve">Figura 2 — As quatro fases de execução e o que é decidido em cada uma.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aplicação tem quatro andares. No topo o domínio, uma pasta por seção do Console. Abaixo o módulo core, com todas as capacidades compartilhadas. Depois a fundação — design system, cache e servidor. Na base, as APIs. O módulo versioning fica ao lado do core, consumindo os mesmos contratos. São diretórios com fronteira de lint, não Nuxt Layers.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599"/>
        <w:gridCol w:w="4599"/>
        <w:gridCol w:w="3001"/>
      </w:tblGrid>
      <w:tr>
        <w:trPr>
          <w:tblHeader w:val="true"/>
          <w:cantSplit/>
        </w:trPr>
        <w:tc>
          <w:tcPr>
            <w:tcW w:type="dxa" w:w="25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Andar</w:t>
            </w:r>
          </w:p>
        </w:tc>
        <w:tc>
          <w:tcPr>
            <w:tcW w:type="dxa" w:w="45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contém</w:t>
            </w:r>
          </w:p>
        </w:tc>
        <w:tc>
          <w:tcPr>
            <w:tcW w:type="dxa" w:w="300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Domínio — app/resources/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Editor, schema de validação e adapters por versão de API — uma pasta por seção.</w:t>
            </w:r>
          </w:p>
        </w:tc>
        <w:tc>
          <w:tcPr>
            <w:tcW w:type="dxa" w:w="30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Conhece apenas os contratos do core e o design system.</w:t>
            </w:r>
          </w:p>
        </w:tc>
      </w:tr>
      <w:tr>
        <w:trPr>
          <w:cantSplit/>
        </w:trPr>
        <w:tc>
          <w:tcPr>
            <w:tcW w:type="dxa" w:w="2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Módulo core — app/core/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AppShell, ShellResolver, DefaultShell, contratos tipados, ResourceService, cliente HTTP, AuthStrategy, guards e constantes de configuração.</w:t>
            </w:r>
          </w:p>
        </w:tc>
        <w:tc>
          <w:tcPr>
            <w:tcW w:type="dxa" w:w="30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Nunca importa domínio. O lint quebra o build.</w:t>
            </w:r>
          </w:p>
        </w:tc>
      </w:tr>
      <w:tr>
        <w:trPr>
          <w:cantSplit/>
        </w:trPr>
        <w:tc>
          <w:tcPr>
            <w:tcW w:type="dxa" w:w="2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Módulo versioning — app/versioning/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VersionShell, a matriz de estados como módulo puro, e os componentes de ação: barra, diálogos e badge de estado.</w:t>
            </w:r>
          </w:p>
        </w:tc>
        <w:tc>
          <w:tcPr>
            <w:tcW w:type="dxa" w:w="30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Pluga nos mesmos contratos, sem tocar o core.</w:t>
            </w:r>
          </w:p>
        </w:tc>
      </w:tr>
      <w:tr>
        <w:trPr>
          <w:cantSplit/>
        </w:trPr>
        <w:tc>
          <w:tcPr>
            <w:tcW w:type="dxa" w:w="2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Fundação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@aziontech/webkit com theme e icons, TanStack Query, Nitro na Azion Edge.</w:t>
            </w:r>
          </w:p>
        </w:tc>
        <w:tc>
          <w:tcPr>
            <w:tcW w:type="dxa" w:w="30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conhece resource nem sessão.</w:t>
            </w:r>
          </w:p>
        </w:tc>
      </w:tr>
      <w:tr>
        <w:trPr>
          <w:cantSplit/>
        </w:trPr>
        <w:tc>
          <w:tcPr>
            <w:tcW w:type="dxa" w:w="2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Externo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API da plataforma em v3, v4 e v6; API de autenticação e SSO.</w:t>
            </w:r>
          </w:p>
        </w:tc>
        <w:tc>
          <w:tcPr>
            <w:tcW w:type="dxa" w:w="30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Alcançada somente por apiFetch.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4ED" w:val="clear"/>
            <w:tcBorders>
              <w:top w:val="single" w:sz="10" w:color="F3652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F3652B"/>
                <w:sz w:val="15"/>
              </w:rPr>
              <w:t>AS DUAS DECISÕES CENTRAIS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resolveMode() decide o modo e o ShellResolver o aplica; AuthStrategy define onde a credencial é colocada na requisição. Tudo o mais é consequência de uma dessas duas. A única ligação do core com o domínio e ambas passam a ter um único lugar, em vez de serem re-decididas por feature.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2.1 Os componentes do core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399"/>
        <w:gridCol w:w="4599"/>
        <w:gridCol w:w="3201"/>
      </w:tblGrid>
      <w:tr>
        <w:trPr>
          <w:tblHeader w:val="true"/>
          <w:cantSplit/>
        </w:trPr>
        <w:tc>
          <w:tcPr>
            <w:tcW w:type="dxa" w:w="23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Componente</w:t>
            </w:r>
          </w:p>
        </w:tc>
        <w:tc>
          <w:tcPr>
            <w:tcW w:type="dxa" w:w="45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Responsabilidade</w:t>
            </w:r>
          </w:p>
        </w:tc>
        <w:tc>
          <w:tcPr>
            <w:tcW w:type="dxa" w:w="320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Não pode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AppShell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Moldura das telas de navegação: header, menu, sessão e contexto de conta.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Conhecer o ciclo de vida de um resource.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DefaultShell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Modos new e default: criar, editar e salvar direto.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Assumir que é um caminho legado — é modo permanente.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ShellResolver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Aplica resolveMode() e monta a Shell correspondente. Único ponto onde a decisão é aplicada.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Montar URL ou conhecer endpoint.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VersionShell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Ciclo de vida da versão, no modo versioned.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Viver no core; vive em app/versioning.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contratos tipados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fachada canônica que todo serviço satisfaz.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Conter lógica.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ResourceService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Fluxo fixo: chama a API, passa pelo adapter, invalida o cache.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Conhecer Shell, componente ou feature flag.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apiFetch + ApiError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Único cliente HTTP: URL por versão, credencial e correlação.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Ser chamado por uma tela.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AuthStrategy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Interface única de credencial; implementação escolhida por constante.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Ser estado global mutável.</w:t>
            </w:r>
          </w:p>
        </w:tc>
      </w:tr>
      <w:tr>
        <w:trPr>
          <w:cantSplit/>
        </w:trPr>
        <w:tc>
          <w:tcPr>
            <w:tcW w:type="dxa" w:w="23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constantes de config</w:t>
            </w:r>
          </w:p>
        </w:tc>
        <w:tc>
          <w:tcPr>
            <w:tcW w:type="dxa" w:w="45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Todo default num só lugar: estratégia de auth, cache, limites.</w:t>
            </w:r>
          </w:p>
        </w:tc>
        <w:tc>
          <w:tcPr>
            <w:tcW w:type="dxa" w:w="32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Rodar em runtime.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3. Modo e contexto do resource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Toda a diferença entre operar no modo default e operar sobre uma versão cabe num tipo. O modo é passado ao serviço como parâmetro, e o serviço deriva a URL, a chave de cache e o payload a partir dele.</w:t>
      </w:r>
    </w:p>
    <w:p xmlns:a="http://schemas.openxmlformats.org/drawingml/2006/main" xmlns:pic="http://schemas.openxmlformats.org/drawingml/2006/picture">
      <w:pPr>
        <w:spacing w:after="60" w:before="100"/>
        <w:jc w:val="center"/>
      </w:pPr>
      <w:r>
        <w:rPr>
          <w:rFonts w:ascii="Arial" w:hAnsi="Arial" w:eastAsia="Arial" w:cs="Arial"/>
          <w:color w:val="243041"/>
          <w:sz w:val="20"/>
        </w:rPr>
        <w:drawing>
          <wp:inline>
            <wp:extent cx="6355080" cy="3283458"/>
            <wp:docPr id="13" name="Picture 13" title="Diagrama de arquitetura" descr="Modo como discriminante entre modo default e version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m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83458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spacing w:after="180" w:before="0"/>
        <w:jc w:val="center"/>
      </w:pPr>
      <w:r>
        <w:rPr>
          <w:rFonts w:ascii="Arial" w:hAnsi="Arial" w:eastAsia="Arial" w:cs="Arial"/>
          <w:i/>
          <w:color w:val="667085"/>
          <w:sz w:val="17"/>
        </w:rPr>
        <w:t xml:space="preserve">Figura 3 — Um contrato de serviço, dois modos, consumidores agnósticos.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O modo é um tipo, não um booleano espalhado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Dois eixos separados. O modo decide a Shell; a referencia identifica.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type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'create'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'default'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'versioned'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interface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resourceId?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ausente em create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versionId?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presente somente em versioned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 Shell e DERIVADA do modo. Duas Shells para tres modos.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shellFor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'versioned'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VersionShell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DefaultShell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 URL, a queryKey e o payload derivam de modo + referencia,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em um lugar so.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resourcePath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string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'versioned'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`${base}/${ref.resourceId}/versions/${ref.versionId}`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`${base}/${ref.resourceId ?? ''}`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As capacidades caem do modo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Criar nao e uma Shell: e um modo. O editor, o schema e a validacao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sao os mesmos; o que muda e a acao disponivel.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  'create'     -&gt; { create 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  'default'    -&gt; { save, remove? 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  'versioned'  -&gt; o ciclo completo, por estado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POR QUE NÃO EXISTE UMA SHELL DE CRIAÇÃO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Uma tela de criação usa o mesmo editor, o mesmo schema e a mesma validação de uma tela de edição. A única diferença é a ação: create em vez de save, e ausência de estado e histórico. Uma Shell só para isso teria a mesma anatomia da DefaultShell com uma ação diferente, e passaria a existir um terceiro componente para manter em sincronia com os outros dois.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E POR QUE LOGIN NÃO É UMA SHELL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Login acontece fora da AppShell: não há sessão, não há conta, não há navegação. É ausência de moldura, não uma moldura diferente — em Nuxt, uma página com outro layout.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UM TIPO E NÃO UM BOOLEANO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 booleano isVersioned espalha a decisão por cada chamada e não diz qual Shell montar. Um enum de três valores concentra a decisão num lugar, é exaustivo para o compilador — esquecer um modo é erro de compilação — e shellFor(mode) fica uma linha.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3.1 O contexto que a Shell provê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modo não é passado de mão em mão. Ele é um campo do contexto do resource — um único contrato que a Shell provê e o miolo consome. Miolo aqui é o que está sendo operado: o editor, as tabs, as listagens de sub-recurso. A Shell troca o miolo mantendo o contrato.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Um símbolo, um contrato, defaults seguros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RESOURCE_CONTEXT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Symbol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'resourceContext'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interface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ResourceContext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TEntity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 que a Shell decidiu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 que esta sendo operado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TEntity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null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 miolo em operacao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ResourceService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TEntity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com modo e referencia ja fixados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um estado na Default, o ciclo na Version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boolean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Readonly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estado ∩ capacidade declarada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permissions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PermissionContext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dispatch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unknown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Defaults seguros: o componente funciona fora de uma Shell.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useResourceContext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inject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ResourceContext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RESOURCE_CONTEXT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DEFAULT_CONTEXT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1799"/>
        <w:gridCol w:w="3999"/>
        <w:gridCol w:w="4401"/>
      </w:tblGrid>
      <w:tr>
        <w:trPr>
          <w:tblHeader w:val="true"/>
          <w:cantSplit/>
        </w:trPr>
        <w:tc>
          <w:tcPr>
            <w:tcW w:type="dxa" w:w="17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Campo</w:t>
            </w:r>
          </w:p>
        </w:tc>
        <w:tc>
          <w:tcPr>
            <w:tcW w:type="dxa" w:w="39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DefaultShell provê</w:t>
            </w:r>
          </w:p>
        </w:tc>
        <w:tc>
          <w:tcPr>
            <w:tcW w:type="dxa" w:w="440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VersionShell provê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mode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'create' ou 'default'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'versioned'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ref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{ resourceId } — ausente em create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{ resourceId, versionId }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resource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entidade efetiva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versão em foco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service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 modo default fixado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 modo versionado fixado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state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estado editável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ciclo de vida completo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readOnly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falso, exceto sem permissão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derivado do estado da versão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actions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create no modo 'create'; save no 'default'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estado ∩ capacidade declarada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dispatch</w:t>
            </w:r>
          </w:p>
        </w:tc>
        <w:tc>
          <w:tcPr>
            <w:tcW w:type="dxa" w:w="39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executa e reflete o resultado</w:t>
            </w:r>
          </w:p>
        </w:tc>
        <w:tc>
          <w:tcPr>
            <w:tcW w:type="dxa" w:w="44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executa, acompanha job e recomputa estado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UM SÍMBOLO E NÃO UMA CHAVE POR RESOURCE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No Console atual o resource é provido por string — uma chave diferente por seção — então o componente precisa saber de qual resource é filho para injetar. Com um símbolo único, o miolo consome o contexto sem saber em qual resource nem em qual Shell está.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O QUE O CONTEXTO RESOLVE ALÉM DA SIMETRIA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Trocar de versão, ou de conta, passa a ser prover um contexto novo — não remontar a árvore. No Console atual o remount forçado por chave é obrigatório porque os identificadores são capturados por valor na montagem, e o custo é perder o estado da interface.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DEFAULTS SEGUROS SÃO O CAMINHO DE MIGRAÇÃO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 componente que consome o contexto fora de qualquer Shell recebe estado editável e nenhuma ação. Isso permite migrar tela por tela sem quebrar o que ainda não foi migrado — é a mesma propriedade que o versionamento usou para conviver com o fluxo legado.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1"/>
      </w:pPr>
      <w:r>
        <w:t xml:space="preserve">4. Contrato de serviço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Todo serviço de resource satisfaz o mesmo contrato. O que muda entre um resource e outro é o transform de payload; o que muda entre modos é a URL e a chave de cache — e ambos derivam do modo, não de código duplicado.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Um contrato; modo e referência são os dois primeiros parâmetros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interface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ResourceService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unknown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list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params?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ListParams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Page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load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edit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remove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consumidor não passa modo nem referência: o core os fixa uma vez, na montagem, e devolve a mesma fachada sem os dois primeiros parâmetros. É isso que permite a mesma listagem de sub-recurso funcionar na DefaultShell e na VersionShell sem uma linha de diferença.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O core fixa; o consumidor apenas chama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core: fixa modo e referencia uma vez, na montagem.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useResourceService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ResourceService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ResourceRef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list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params?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ListParams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list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params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load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load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edit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P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edit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remove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remove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Consumidor, dentro de qualquer Shell: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rules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useResourceService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rulesEngineService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await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rules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list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page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1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 URL sai certa nos tres modos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await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rules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payload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POR QUE NÃO EXISTE UM TIPO PARA A FACHADA LIGADA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Uma versão anterior deste documento chamava o retorno acima de BoundService, com tipo próprio. Foi removido: o nome descrevia a técnica — aplicação parcial — e não um papel, e sugeria que existem duas classes de service quando existe uma. Se for necessário nomear o tipo, ele é derivado do contrato e é utilitário de TypeScript, não peça de arquitetura.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4.1 A URL é declaração, não literal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subseção 1.4 mede sete mecanismos capazes de definir o prefixo de uma chamada. A resposta não é escolher um dos sete: é remover a possibilidade de escrever URL. O resource declara de qual serviço depende; quem monta o caminho é o cliente HTTP, num lugar só.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Um registro de serviços; o resource referencia, não escreve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app/core/config/services.ts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Fonte unica. Cada entrada e um servico de backend, com seu contrato.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SERVICES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platform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origem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NUXT_PUBLIC_PLATFORM_BASE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exemplo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'https://api.exemplo.com'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Contrato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aceito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por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este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Vai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cabecalho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path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contract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deployment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contract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identity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contract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type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ServiceKey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keyof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typeof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SERVICES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O resource referencia o serviço e o recurso — nada mais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app/resources/applications/application-service.ts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applicationService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defineResourceService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'platform'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chave do registro, nao URL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'applications'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nome do recurso, nao caminho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transform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applicationTransform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 cliente HTTP monta: base do servico + contrato + recurso + modo/referencia.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Nenhum arquivo de resource concatena string de caminho.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875"/>
        <w:gridCol w:w="6324"/>
      </w:tblGrid>
      <w:tr>
        <w:trPr>
          <w:tblHeader w:val="true"/>
          <w:cantSplit/>
        </w:trPr>
        <w:tc>
          <w:tcPr>
            <w:tcW w:type="dxa" w:w="387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Regra</w:t>
            </w:r>
          </w:p>
        </w:tc>
        <w:tc>
          <w:tcPr>
            <w:tcW w:type="dxa" w:w="632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ela elimina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Nenhum arquivo fora de config declara base ou prefixo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As 87 declarações em quatro grafias e os 70 overrides no call site.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Nenhum arquivo de resource concatena caminho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Os 49 helpers de base e as oito formas de URL.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contrato vai no cabeçalho, declarado por serviço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versão repetida no caminho em 70 arquivos e o desacordo entre as três declarações.</w:t>
            </w:r>
          </w:p>
        </w:tc>
      </w:tr>
      <w:tr>
        <w:trPr>
          <w:cantSplit/>
        </w:trPr>
        <w:tc>
          <w:tcPr>
            <w:tcW w:type="dxa" w:w="387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Host de infraestrutura só existe no registro</w:t>
            </w:r>
          </w:p>
        </w:tc>
        <w:tc>
          <w:tcPr>
            <w:tcW w:type="dxa" w:w="632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Prefixo de serviço embutido em string de domínio.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POR QUE O CONTRATO VAI NO CABEÇALHO E NÃO NO CAMINHO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Hoje a versão é afirmada no caminho, no cabeçalho padrão do cliente e numa regra de edge — e as três discordam. Declarar por serviço, num lugar, e enviar como cabeçalho torna o desacordo impossível: existe uma única afirmação. E o caminho volta a identificar o recurso, não a geração de código que o escreveu.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4.2 Uma fonte para a tabela de roteamento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Hoje a tradução de prefixo para origem existe duas vezes, escrita à mão, com precedência oposta entre desenvolvimento e produção. Nenhum teste falha se apenas uma for editada.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4283"/>
        <w:gridCol w:w="5916"/>
      </w:tblGrid>
      <w:tr>
        <w:trPr>
          <w:tblHeader w:val="true"/>
          <w:cantSplit/>
        </w:trPr>
        <w:tc>
          <w:tcPr>
            <w:tcW w:type="dxa" w:w="428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Hoje</w:t>
            </w:r>
          </w:p>
        </w:tc>
        <w:tc>
          <w:tcPr>
            <w:tcW w:type="dxa" w:w="591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428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Duas tabelas escritas à mão, em arquivos diferentes</w:t>
            </w:r>
          </w:p>
        </w:tc>
        <w:tc>
          <w:tcPr>
            <w:tcW w:type="dxa" w:w="591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fonte: o registro de serviços. As duas configs passam a ser artefato gerado.</w:t>
            </w:r>
          </w:p>
        </w:tc>
      </w:tr>
      <w:tr>
        <w:trPr>
          <w:cantSplit/>
        </w:trPr>
        <w:tc>
          <w:tcPr>
            <w:tcW w:type="dxa" w:w="428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Precedência invertida entre os ambientes, como conhecimento tácito</w:t>
            </w:r>
          </w:p>
        </w:tc>
        <w:tc>
          <w:tcPr>
            <w:tcW w:type="dxa" w:w="591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geração ordena cada arquivo conforme a semântica dele. A ordem deixa de ser responsabilidade de quem edita.</w:t>
            </w:r>
          </w:p>
        </w:tc>
      </w:tr>
      <w:tr>
        <w:trPr>
          <w:cantSplit/>
        </w:trPr>
        <w:tc>
          <w:tcPr>
            <w:tcW w:type="dxa" w:w="428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Nenhuma verificação de acordo entre as duas</w:t>
            </w:r>
          </w:p>
        </w:tc>
        <w:tc>
          <w:tcPr>
            <w:tcW w:type="dxa" w:w="591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Teste que compara o artefato gerado com o versionado e falha no CI se divergirem.</w:t>
            </w:r>
          </w:p>
        </w:tc>
      </w:tr>
      <w:tr>
        <w:trPr>
          <w:cantSplit/>
        </w:trPr>
        <w:tc>
          <w:tcPr>
            <w:tcW w:type="dxa" w:w="428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Entradas mortas mantidas como se estivessem ativas</w:t>
            </w:r>
          </w:p>
        </w:tc>
        <w:tc>
          <w:tcPr>
            <w:tcW w:type="dxa" w:w="591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Entrada sem serviço correspondente no registro não é gerada.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POR QUE GERAR EM VEZ DE DOCUMENTAR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Documentar a precedência invertida transforma o problema em conhecimento que alguém precisa lembrar. Gerar os dois arquivos a partir de uma fonte torna o erro inexprimível — e a verificação no CI garante que ninguém edite o artefato em vez da fonte.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DEPENDÊNCIA COM O REPOSITÓRIO DE INFRAESTRUTURA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 config de produção pertence ao deploy, que vive em outro repositório. Então o registro de serviços é a fonte, e o repositório de infraestrutura consome o artefato gerado — não o contrário. Isso precisa ser acordado com infraestrutura antes da fase 3 do plano.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EXTENSÕES SÃO DECLARADAS, NÃO IMPROVISADAS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Sub-recursos com operações fora do CRUD — reordenar, mover de fase, publicar em lote — declaram uma extensão tipada do contrato em vez de ganharem métodos com assinatura própria. No Console atual existe um sub-recurso com seis métodos de assinatura própria, e é nele que a facade genérica deixa de funcionar: aquele ponto voltou a ser tradução manual de assinaturas.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5. As duas Shells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Shell é responsável por três coisas: prover o modo, expor as ações válidas para o estado atual, e hospedar o editor do resource. As duas implementações compartilham a anatomia e diferem apenas na máquina de estados e no conjunto de capacidades.</w:t>
      </w:r>
    </w:p>
    <w:p xmlns:a="http://schemas.openxmlformats.org/drawingml/2006/main" xmlns:pic="http://schemas.openxmlformats.org/drawingml/2006/picture">
      <w:pPr>
        <w:spacing w:after="60" w:before="100"/>
        <w:jc w:val="center"/>
      </w:pPr>
      <w:r>
        <w:rPr>
          <w:rFonts w:ascii="Arial" w:hAnsi="Arial" w:eastAsia="Arial" w:cs="Arial"/>
          <w:color w:val="243041"/>
          <w:sz w:val="20"/>
        </w:rPr>
        <w:drawing>
          <wp:inline>
            <wp:extent cx="6355080" cy="3848354"/>
            <wp:docPr id="14" name="Picture 14" title="Diagrama de arquitetura" descr="Comparação entre DefaultShell e VersionShel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shel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48354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spacing w:after="180" w:before="0"/>
        <w:jc w:val="center"/>
      </w:pPr>
      <w:r>
        <w:rPr>
          <w:rFonts w:ascii="Arial" w:hAnsi="Arial" w:eastAsia="Arial" w:cs="Arial"/>
          <w:i/>
          <w:color w:val="667085"/>
          <w:sz w:val="17"/>
        </w:rPr>
        <w:t xml:space="preserve">Figura 4 — Anatomia compartilhada e o que efetivamente difere entre as Shells.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651"/>
        <w:gridCol w:w="3671"/>
        <w:gridCol w:w="3877"/>
      </w:tblGrid>
      <w:tr>
        <w:trPr>
          <w:tblHeader w:val="true"/>
          <w:cantSplit/>
        </w:trPr>
        <w:tc>
          <w:tcPr>
            <w:tcW w:type="dxa" w:w="265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Aspecto</w:t>
            </w:r>
          </w:p>
        </w:tc>
        <w:tc>
          <w:tcPr>
            <w:tcW w:type="dxa" w:w="367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DefaultShell</w:t>
            </w:r>
          </w:p>
        </w:tc>
        <w:tc>
          <w:tcPr>
            <w:tcW w:type="dxa" w:w="387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VersionShell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Modos que atende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create e default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versioned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Modo provido no contexto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'create' ou 'default'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'versioned', mais o versionId na referência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Modelos de configuração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v3 e v4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v6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Máquina de estados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trivial: um estado editável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draft, build, ready e derivados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Ações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save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por estado e por capability do resource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Semântica de save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efetiva a configuração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grava rascunho da versão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Histórico e diff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expõe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expõe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Editor do resource</w:t>
            </w:r>
          </w:p>
        </w:tc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mesmo componente</w:t>
            </w:r>
          </w:p>
        </w:tc>
        <w:tc>
          <w:tcPr>
            <w:tcW w:type="dxa" w:w="387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mesmo componente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A MÁQUINA DE ESTADOS É PARÂMETRO, NÃO BIFURCAÇÃO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 DefaultShell não é um caso especial nem um caminho legado: é a Shell cuja máquina de estados tem um único estado. Isso mantém uma anatomia só e impede que as duas experiências divirjam com o tempo.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6. Como a Shell sabe quais ações mostrar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Uma Shell só pode oferecer ações válidas. Duas coisas determinam validade, e são independentes: o estado em que a coisa está, e se o resource de fato implementa aquela ação. Uma versão em build não aceita edição por causa do estado; um resource sem suporte a arquivamento não oferece Archive por causa da implementação.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dificuldade é que a Shell é genérica e o resource é específico. A Shell não pode importar código de resource — se pudesse, cada resource novo mexeria na Shell. Então ela precisa descobrir o que o resource sabe fazer sem conhecê-lo.</w:t>
      </w:r>
    </w:p>
    <w:p xmlns:a="http://schemas.openxmlformats.org/drawingml/2006/main" xmlns:pic="http://schemas.openxmlformats.org/drawingml/2006/picture">
      <w:pPr>
        <w:pStyle w:val="Heading2"/>
      </w:pPr>
      <w:r>
        <w:t xml:space="preserve">6.1 Como o Console atual resolve — e o que é um barramento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Console atual usa um barramento de comandos. Vale explicar, porque é o mecanismo que vamos substituir e o termo não é autoexplicativo.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Um barramento de comandos é um objeto central onde um componente interno registra funções sob um nome — "SAVE", "ARCHIVE" — e onde outro componente dispara aquele nome sem saber quem vai atender. A Shell emite "ARCHIVE"; quem registrou responde. É uma inversão de dependência: a Shell depende do barramento, nunca do resource.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Shell então cruza duas listas: as ações que o estado atual permite e as que foram registradas no barramento. O que estiver nas duas é o que aparece na tela. Esse cruzamento é a ideia certa e nós mantemos. O barramento por nome é o que trocamos.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138"/>
        <w:gridCol w:w="4314"/>
        <w:gridCol w:w="2747"/>
      </w:tblGrid>
      <w:tr>
        <w:trPr>
          <w:tblHeader w:val="true"/>
          <w:cantSplit/>
        </w:trPr>
        <w:tc>
          <w:tcPr>
            <w:tcW w:type="dxa" w:w="313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Problema do barramento por nome</w:t>
            </w:r>
          </w:p>
        </w:tc>
        <w:tc>
          <w:tcPr>
            <w:tcW w:type="dxa" w:w="431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</w:t>
            </w:r>
          </w:p>
        </w:tc>
        <w:tc>
          <w:tcPr>
            <w:tcW w:type="dxa" w:w="27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Na fundação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registro é uma tabela reativa cujo comportamento é sutil</w:t>
            </w:r>
          </w:p>
        </w:tc>
        <w:tc>
          <w:tcPr>
            <w:tcW w:type="dxa" w:w="43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Trocar o tipo de reatividade inverte o resultado: formulário válido fica com o botão desabilitado. O Console atual documenta isso como armadilha conhecida.</w:t>
            </w:r>
          </w:p>
        </w:tc>
        <w:tc>
          <w:tcPr>
            <w:tcW w:type="dxa" w:w="27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Objeto comum, sem estado reativo intermediário.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Disparar um nome sem quem atenda só falha executando</w:t>
            </w:r>
          </w:p>
        </w:tc>
        <w:tc>
          <w:tcPr>
            <w:tcW w:type="dxa" w:w="43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erro aparece para o usuário, não para quem escreveu o código.</w:t>
            </w:r>
          </w:p>
        </w:tc>
        <w:tc>
          <w:tcPr>
            <w:tcW w:type="dxa" w:w="27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Método ausente é erro de compilação no ponto de uso.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Ação de navegação precisou virar comando com função vazia</w:t>
            </w:r>
          </w:p>
        </w:tc>
        <w:tc>
          <w:tcPr>
            <w:tcW w:type="dxa" w:w="43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Existe um comando que não faz nada, só para o cruzamento incluir o botão. O significado da ação fica espalhado em três arquivos.</w:t>
            </w:r>
          </w:p>
        </w:tc>
        <w:tc>
          <w:tcPr>
            <w:tcW w:type="dxa" w:w="27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Navegação não é capacidade e sai do conjunto.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Um nome por comando, validado só em execução</w:t>
            </w:r>
          </w:p>
        </w:tc>
        <w:tc>
          <w:tcPr>
            <w:tcW w:type="dxa" w:w="43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Renomear um comando não quebra o build; quebra a tela.</w:t>
            </w:r>
          </w:p>
        </w:tc>
        <w:tc>
          <w:tcPr>
            <w:tcW w:type="dxa" w:w="27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nome é o nome do método, verificado pelo compilador.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6.2 Onde vive o controle de estado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conjunto de ações visíveis é o cruzamento de quatro coisas, e cada uma tem um dono diferente. Tratá-las como uma só é o que produz condicional espalhada.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1821"/>
        <w:gridCol w:w="2914"/>
        <w:gridCol w:w="2367"/>
        <w:gridCol w:w="3097"/>
      </w:tblGrid>
      <w:tr>
        <w:trPr>
          <w:tblHeader w:val="true"/>
          <w:cantSplit/>
        </w:trPr>
        <w:tc>
          <w:tcPr>
            <w:tcW w:type="dxa" w:w="182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Elemento</w:t>
            </w:r>
          </w:p>
        </w:tc>
        <w:tc>
          <w:tcPr>
            <w:tcW w:type="dxa" w:w="291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é</w:t>
            </w:r>
          </w:p>
        </w:tc>
        <w:tc>
          <w:tcPr>
            <w:tcW w:type="dxa" w:w="236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Onde vive</w:t>
            </w:r>
          </w:p>
        </w:tc>
        <w:tc>
          <w:tcPr>
            <w:tcW w:type="dxa" w:w="309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Origem do valor</w:t>
            </w:r>
          </w:p>
        </w:tc>
      </w:tr>
      <w:tr>
        <w:trPr>
          <w:cantSplit/>
        </w:trPr>
        <w:tc>
          <w:tcPr>
            <w:tcW w:type="dxa" w:w="182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estado</w:t>
            </w:r>
          </w:p>
        </w:tc>
        <w:tc>
          <w:tcPr>
            <w:tcW w:type="dxa" w:w="29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draft, building, ready — ou novo e salvo</w:t>
            </w:r>
          </w:p>
        </w:tc>
        <w:tc>
          <w:tcPr>
            <w:tcW w:type="dxa" w:w="23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campo do ResourceContext</w:t>
            </w:r>
          </w:p>
        </w:tc>
        <w:tc>
          <w:tcPr>
            <w:tcW w:type="dxa" w:w="309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da API no modo versionado; do formulário no modo default</w:t>
            </w:r>
          </w:p>
        </w:tc>
      </w:tr>
      <w:tr>
        <w:trPr>
          <w:cantSplit/>
        </w:trPr>
        <w:tc>
          <w:tcPr>
            <w:tcW w:type="dxa" w:w="182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máquina de estados</w:t>
            </w:r>
          </w:p>
        </w:tc>
        <w:tc>
          <w:tcPr>
            <w:tcW w:type="dxa" w:w="29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função pura: estado → ações permitidas</w:t>
            </w:r>
          </w:p>
        </w:tc>
        <w:tc>
          <w:tcPr>
            <w:tcW w:type="dxa" w:w="23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módulo do dono da Shell</w:t>
            </w:r>
          </w:p>
        </w:tc>
        <w:tc>
          <w:tcPr>
            <w:tcW w:type="dxa" w:w="309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código, sem Vue e sem I/O</w:t>
            </w:r>
          </w:p>
        </w:tc>
      </w:tr>
      <w:tr>
        <w:trPr>
          <w:cantSplit/>
        </w:trPr>
        <w:tc>
          <w:tcPr>
            <w:tcW w:type="dxa" w:w="182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capacidades</w:t>
            </w:r>
          </w:p>
        </w:tc>
        <w:tc>
          <w:tcPr>
            <w:tcW w:type="dxa" w:w="29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que o resource implementa</w:t>
            </w:r>
          </w:p>
        </w:tc>
        <w:tc>
          <w:tcPr>
            <w:tcW w:type="dxa" w:w="23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Adapter .vue do resource</w:t>
            </w:r>
          </w:p>
        </w:tc>
        <w:tc>
          <w:tcPr>
            <w:tcW w:type="dxa" w:w="309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presença do método no objeto</w:t>
            </w:r>
          </w:p>
        </w:tc>
      </w:tr>
      <w:tr>
        <w:trPr>
          <w:cantSplit/>
        </w:trPr>
        <w:tc>
          <w:tcPr>
            <w:tcW w:type="dxa" w:w="182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permissões</w:t>
            </w:r>
          </w:p>
        </w:tc>
        <w:tc>
          <w:tcPr>
            <w:tcW w:type="dxa" w:w="29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que o usuário pode executar</w:t>
            </w:r>
          </w:p>
        </w:tc>
        <w:tc>
          <w:tcPr>
            <w:tcW w:type="dxa" w:w="23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AppContext.session</w:t>
            </w:r>
          </w:p>
        </w:tc>
        <w:tc>
          <w:tcPr>
            <w:tcW w:type="dxa" w:w="309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resolvido no bootstrap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Cada Shell traz a sua máquina, e o módulo que possui a Shell é o que possui a máquina. A DefaultShell não é caso especial: é a Shell cuja máquina tem dois estados.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Uma máquina por Shell, mesmo contrato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app/core/contracts/machine.ts — o contrato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interface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extends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string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initial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allowedActions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estado desconhecido -&gt; []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isEditable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boolean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app/core/shells/default/machine.ts — dois estados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StateMachine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'saved'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initial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allowedActions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'create'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isEditable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true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app/versioning/machine.ts — o ciclo completo, modulo puro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StateMachine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initial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'draft'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allowedActions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STATE_ACTIONS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FAIL-CLOSED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isEditable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'draft'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'canceled'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'error'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20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cruzamento é um só, compartilhado no core, e nenhuma Shell o reimplementa. Ele também separa o que não existe do que está momentaneamente impedido.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O cruzamento, e a diferença entre ausente e desabilitado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app/core/shells/resolve-actions.ts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resolveActions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extends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string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StateMachine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caps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ResourceCapabilities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permissions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PermissionContext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blocked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impedimentos momentaneos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VISIVEL: o estado permite E o resource implementa E o usuario pode.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available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machine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allowedActions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filter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typeof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caps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'function'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filter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permissions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permissionOf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HABILITADO: visivel e sem impedimento momentaneo.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return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available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enabled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available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filter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!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blocked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includes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651"/>
        <w:gridCol w:w="2447"/>
        <w:gridCol w:w="5101"/>
      </w:tblGrid>
      <w:tr>
        <w:trPr>
          <w:tblHeader w:val="true"/>
          <w:cantSplit/>
        </w:trPr>
        <w:tc>
          <w:tcPr>
            <w:tcW w:type="dxa" w:w="265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Situação</w:t>
            </w:r>
          </w:p>
        </w:tc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Botão</w:t>
            </w:r>
          </w:p>
        </w:tc>
        <w:tc>
          <w:tcPr>
            <w:tcW w:type="dxa" w:w="510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estado não permite a ação</w:t>
            </w:r>
          </w:p>
        </w:tc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é renderizado</w:t>
            </w:r>
          </w:p>
        </w:tc>
        <w:tc>
          <w:tcPr>
            <w:tcW w:type="dxa" w:w="51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Em building não existe Save. Mostrar desabilitado sugeriria que voltará a existir naquele estado.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resource não implementa a ação</w:t>
            </w:r>
          </w:p>
        </w:tc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é renderizado</w:t>
            </w:r>
          </w:p>
        </w:tc>
        <w:tc>
          <w:tcPr>
            <w:tcW w:type="dxa" w:w="51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Network List não tem promote. Não é impedimento — a ação não existe.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usuário não tem permissão</w:t>
            </w:r>
          </w:p>
        </w:tc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é renderizado</w:t>
            </w:r>
          </w:p>
        </w:tc>
        <w:tc>
          <w:tcPr>
            <w:tcW w:type="dxa" w:w="51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Coerente com o menu: o que não pode ser feito não é oferecido.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Formulário inválido</w:t>
            </w:r>
          </w:p>
        </w:tc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renderizado e desabilitado</w:t>
            </w:r>
          </w:p>
        </w:tc>
        <w:tc>
          <w:tcPr>
            <w:tcW w:type="dxa" w:w="51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ação existe e o estado permite; falta o usuário corrigir. Esconder o botão faria o formulário parecer quebrado.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Operação assíncrona em curso</w:t>
            </w:r>
          </w:p>
        </w:tc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renderizado e desabilitado</w:t>
            </w:r>
          </w:p>
        </w:tc>
        <w:tc>
          <w:tcPr>
            <w:tcW w:type="dxa" w:w="51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Evita disparo duplicado sem alterar o conjunto de ações.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ESSA SEPARAÇÃO IMPORTA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Sem ela, um formulário inválido faria o botão Save desaparecer — pior do que desabilitá-lo. E um resource sem determinada ação apareceria com botão morto. São causas diferentes e merecem tratamento visual diferente; o Console atual usa a mesma lista para as duas.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O ESTADO É DADO, A MÁQUINA É FUNÇÃO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 máquina não guarda estado: ela responde o que é permitido a partir de um estado que vem de fora. Isso a torna testável por enumeração — todos os estados contra todos os resources — sem montar componente e sem simular API.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6.3 A matriz: a fonte única do que é permitido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máquina do modo versionado é uma tabela. Cada linha é um estado, cada linha lista as ações permitidas naquele estado, e nada fora da tabela decide. É a única fonte — a barra de ações, o menu da versão e o cabeçalho leem dela.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039"/>
        <w:gridCol w:w="6527"/>
        <w:gridCol w:w="1633"/>
      </w:tblGrid>
      <w:tr>
        <w:trPr>
          <w:tblHeader w:val="true"/>
          <w:cantSplit/>
        </w:trPr>
        <w:tc>
          <w:tcPr>
            <w:tcW w:type="dxa" w:w="203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Estado</w:t>
            </w:r>
          </w:p>
        </w:tc>
        <w:tc>
          <w:tcPr>
            <w:tcW w:type="dxa" w:w="652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Ações permitidas</w:t>
            </w:r>
          </w:p>
        </w:tc>
        <w:tc>
          <w:tcPr>
            <w:tcW w:type="dxa" w:w="163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Editável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draft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save · saveAndBuild · newVersionFrom · remove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queued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cancelBuild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building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cancelBuild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ready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newVersionFrom · archive · remove · promote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active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newVersionFrom · archive · remove · promote · rollback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archived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newVersionFrom · remove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canceled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save · saveAndBuild · newVersionFrom · remove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error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save · saveAndBuild · newVersionFrom · remove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desconhecido</w:t>
            </w:r>
          </w:p>
        </w:tc>
        <w:tc>
          <w:tcPr>
            <w:tcW w:type="dxa" w:w="652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nenhuma</w:t>
            </w:r>
          </w:p>
        </w:tc>
        <w:tc>
          <w:tcPr>
            <w:tcW w:type="dxa" w:w="163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draft NÃO PODE SOFRER DEPLOY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Porque promote não está na linha de draft. O botão não é renderizado — não existe desabilitado, não existe condicional na Shell, não existe verificação no componente. A ausência na tabela é o controle.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UMA VERSÃO EM ready NÃO PODE MAIS SER ALTERADA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Por dois controles independentes. isEditable(ready) é falso, então readOnly entra no ResourceContext e todo campo do editor fica desabilitado. E save não está na linha de ready, então não existe ação que persista. O primeiro impede digitar; o segundo impede gravar. Um só não bastaria.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A matriz e os dois predicados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app/versioning/machine.ts — modulo puro: constantes e funcoes.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STATE_ACTIONS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Record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VersionState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draft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'saveAndBuild'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queued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'cancelBuild'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building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'cancelBuild'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ready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'archive'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'promote'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active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'archive'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'promote'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'rollback'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archived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canceled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'saveAndBuild'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error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'saveAndBuild'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EDITABLE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VersionState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'draft'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'canceled'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'error'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StateMachine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initial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'draft'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Estado desconhecido devolve lista vazia, nunca a lista completa.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allowedActions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STATE_ACTIONS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isEditable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EDITABLE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includes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20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A MÁQUINA É PORTEIRO, NÃO EXECUTOR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 matriz diz o que pode ser oferecido; ela não faz a transição. Quem muda o estado é o backend — o cliente executa a ação, o serviço invalida o cache e o novo estado chega no refetch. Por isso a Shell nunca escreve estado, e por isso a validação no backend não é redundante: é a autoridade.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6.4 Como acrescentar uma ação nova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Este é o teste de extensibilidade: acrescentar uma ação não deve tocar Shell, resolver nem outros resources. São quatro passos, e todos ficam em lugares previsíveis.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596"/>
        <w:gridCol w:w="2596"/>
        <w:gridCol w:w="5007"/>
      </w:tblGrid>
      <w:tr>
        <w:trPr>
          <w:tblHeader w:val="true"/>
          <w:cantSplit/>
        </w:trPr>
        <w:tc>
          <w:tcPr>
            <w:tcW w:type="dxa" w:w="259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Passo</w:t>
            </w:r>
          </w:p>
        </w:tc>
        <w:tc>
          <w:tcPr>
            <w:tcW w:type="dxa" w:w="259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Onde</w:t>
            </w:r>
          </w:p>
        </w:tc>
        <w:tc>
          <w:tcPr>
            <w:tcW w:type="dxa" w:w="500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1. Nomear a ação</w:t>
            </w:r>
          </w:p>
        </w:tc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app/core/contracts</w:t>
            </w:r>
          </w:p>
        </w:tc>
        <w:tc>
          <w:tcPr>
            <w:tcW w:type="dxa" w:w="500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Acrescentar a chave ao union ActionKey. O compilador passa a exigir tratamento nos lugares que dependem dele.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2. Declarar em que estados vale</w:t>
            </w:r>
          </w:p>
        </w:tc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app/versioning/machine.ts</w:t>
            </w:r>
          </w:p>
        </w:tc>
        <w:tc>
          <w:tcPr>
            <w:tcW w:type="dxa" w:w="500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Acrescentar a chave nas linhas da matriz onde a ação é permitida. Se não entrar em nenhuma linha, ela nunca aparece.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3. Abrir espaço no contrato</w:t>
            </w:r>
          </w:p>
        </w:tc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app/core/contracts</w:t>
            </w:r>
          </w:p>
        </w:tc>
        <w:tc>
          <w:tcPr>
            <w:tcW w:type="dxa" w:w="500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Acrescentar o método opcional a ResourceCapabilities. Opcional porque nem todo resource vai implementar.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4. Implementar onde existe</w:t>
            </w:r>
          </w:p>
        </w:tc>
        <w:tc>
          <w:tcPr>
            <w:tcW w:type="dxa" w:w="259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Adapter .vue do resource</w:t>
            </w:r>
          </w:p>
        </w:tc>
        <w:tc>
          <w:tcPr>
            <w:tcW w:type="dxa" w:w="500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Só nos resources que suportam. Quem não implementar não expõe a ação, sem configuração e sem condicional.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467"/>
        <w:gridCol w:w="6732"/>
      </w:tblGrid>
      <w:tr>
        <w:trPr>
          <w:tblHeader w:val="true"/>
          <w:cantSplit/>
        </w:trPr>
        <w:tc>
          <w:tcPr>
            <w:tcW w:type="dxa" w:w="346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NÃO se toca</w:t>
            </w:r>
          </w:p>
        </w:tc>
        <w:tc>
          <w:tcPr>
            <w:tcW w:type="dxa" w:w="673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DefaultShell e VersionShell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Elas leem a matriz e o objeto de capacidades; não enumeram ações.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ShellResolver e resolveMode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Decidem modo e Shell, não ações.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Outros resources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implementar é a declaração de que a ação não existe ali.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Rotas e middleware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Ação não é navegação.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Exemplo: acrescentar "duplicate"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1. core/contracts/actions.ts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type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'saveAndBuild'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...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'duplicate'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2. versioning/machine.ts — em quais estados faz sentido duplicar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ready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'archive'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'promote'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'duplicate'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active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'newVersionFrom'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'archive'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'remove'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'promote'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'rollback'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'duplicate'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3. core/contracts/capabilities.ts (o contrato)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duplicate?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4. no Adapter do resource que suporta — so onde existe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duplicate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duplicate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Firewall nao implementa: o botao nunca aparece para Firewall.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Nenhuma Shell foi alterada.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O QUE GARANTE QUE NINGUÉM CONTORNE A MATRIZ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 teste de enumeração: para cada estado e cada resource, comparar o conjunto de ações resolvido com o esperado. Como o cruzamento é função pura, o teste não monta componente nem simula API — e falha no CI se alguém acrescentar condicional dentro de uma Shell.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6.5 Na fundação: a presença do método é o registro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resource entrega à Shell um objeto cujos métodos são as ações que ele sabe executar. Método presente significa capacidade existente; método ausente significa que aquela ação não existe para esse resource. Não há registro, não há nome solto, e o compilador verifica.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O contrato de capacidades e o cruzamento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Opcional (?) significa: este resource pode nao implementar esta acao.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interface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ResourceCapabilities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save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build?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Job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cancelBuild?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newVersionFrom?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archive?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comment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string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Job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remove?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 cruzamento que a Shell faz, agora verificavel em compilacao: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o estado permite  E  o resource implementa.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availableActions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caps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ResourceCapabilities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ActionKey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allowedActions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state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filter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typeof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caps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'function'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POR QUE ISSO É MAIS FORTE QUE O BARRAMENTO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Com nomes soltos, um erro de digitação ou um comando renomeado só aparece quando o usuário clica. Com métodos, o compilador recusa antes do build. O comportamento na tela é o mesmo; o que muda é quando o erro é descoberto.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O QUE NÃO MUDA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O cruzamento entre estado e capacidade continua sendo a regra, e continua sendo falha fechada: estado desconhecido produz lista vazia de ações, nunca a lista completa. Essa é a decisão do Console atual que mais vale preservar.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7. Resolução do modelo de configuração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escolha entre operar em v3, v4 ou v6 é resolvida uma vez, no bootstrap, e exposta por um acessor único. Nenhuma outra camada lê feature flag.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Um flag string, um acessor, três consumidores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type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ConfigurationModel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'v6'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Um unico flag, com valor de tres opcoes — nao duas booleanas independentes.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client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getStringDetails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'configuration-model'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useConfigurationModel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value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ConfigurationModel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isVersioned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value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===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'v6'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evaluation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variant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variant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059"/>
        <w:gridCol w:w="7140"/>
      </w:tblGrid>
      <w:tr>
        <w:trPr>
          <w:tblHeader w:val="true"/>
          <w:cantSplit/>
        </w:trPr>
        <w:tc>
          <w:tcPr>
            <w:tcW w:type="dxa" w:w="305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Consumidor</w:t>
            </w:r>
          </w:p>
        </w:tc>
        <w:tc>
          <w:tcPr>
            <w:tcW w:type="dxa" w:w="714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faz com o valor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Middleware de rota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Libera, nega ou normaliza rotas de versão.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Resolução de modo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Produz { mode: 'versioned' } apenas em v6.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Seleção de serviço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Escolhe a implementação do contrato para o modelo ativo.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UM FLAG COM VALOR, E NÃO DUAS BOOLEANAS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Duas flags independentes produzem quatro combinações para três estados válidos, e no Console atual não existe exclusão mútua entre elas. Um flag com valor torna o estado inválido inexprimível na origem.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8. Credencial — três modos, um por constante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Console atual não tem três formas alternativas de autenticar: tem três mecanismos que coexistem, e a combinação é decidida em tempo de build. Verificado no cliente HTTP: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[OBSERVADO] Cookie e header vão juntos, decididos no build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makeApi.js — os dois mecanismos na MESMA requisicao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delete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axios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headers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common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'Authorization'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axios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withCredentials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true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cookie transportando o JWT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personalToken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axios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headers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common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'Authorization'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`token ${personalToken}`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AxiosHttpClientAdapter.js — a decisao vem de variavel de BUILD,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lida em escopo de modulo a cada requisicao.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axios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defaultApi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import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meta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env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VITE_PERSONAL_TOKEN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243"/>
        <w:gridCol w:w="5099"/>
        <w:gridCol w:w="2857"/>
      </w:tblGrid>
      <w:tr>
        <w:trPr>
          <w:tblHeader w:val="true"/>
          <w:cantSplit/>
        </w:trPr>
        <w:tc>
          <w:tcPr>
            <w:tcW w:type="dxa" w:w="224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</w:t>
            </w:r>
          </w:p>
        </w:tc>
        <w:tc>
          <w:tcPr>
            <w:tcW w:type="dxa" w:w="50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é</w:t>
            </w:r>
          </w:p>
        </w:tc>
        <w:tc>
          <w:tcPr>
            <w:tcW w:type="dxa" w:w="285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Onde é colocado</w:t>
            </w:r>
          </w:p>
        </w:tc>
      </w:tr>
      <w:tr>
        <w:trPr>
          <w:cantSplit/>
        </w:trPr>
        <w:tc>
          <w:tcPr>
            <w:tcW w:type="dxa" w:w="224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JWT</w:t>
            </w:r>
          </w:p>
        </w:tc>
        <w:tc>
          <w:tcPr>
            <w:tcW w:type="dxa" w:w="50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emitido por POST /token, renovado por POST /token/refresh</w:t>
            </w:r>
          </w:p>
        </w:tc>
        <w:tc>
          <w:tcPr>
            <w:tcW w:type="dxa" w:w="285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no corpo, na emissão</w:t>
            </w:r>
          </w:p>
        </w:tc>
      </w:tr>
      <w:tr>
        <w:trPr>
          <w:cantSplit/>
        </w:trPr>
        <w:tc>
          <w:tcPr>
            <w:tcW w:type="dxa" w:w="224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Cookie</w:t>
            </w:r>
          </w:p>
        </w:tc>
        <w:tc>
          <w:tcPr>
            <w:tcW w:type="dxa" w:w="50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transporta o JWT nas chamadas seguintes</w:t>
            </w:r>
          </w:p>
        </w:tc>
        <w:tc>
          <w:tcPr>
            <w:tcW w:type="dxa" w:w="285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withCredentials</w:t>
            </w:r>
          </w:p>
        </w:tc>
      </w:tr>
      <w:tr>
        <w:trPr>
          <w:cantSplit/>
        </w:trPr>
        <w:tc>
          <w:tcPr>
            <w:tcW w:type="dxa" w:w="224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Personal token</w:t>
            </w:r>
          </w:p>
        </w:tc>
        <w:tc>
          <w:tcPr>
            <w:tcW w:type="dxa" w:w="50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credencial independente do usuário, para automação</w:t>
            </w:r>
          </w:p>
        </w:tc>
        <w:tc>
          <w:tcPr>
            <w:tcW w:type="dxa" w:w="285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header Authorization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8.1 Os três modos e a interface única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configuração precisa expressar os três, e o híbrido é um deles de primeira classe — não um defeito a corrigir. Com hybrid como padrão, a primeira versão do Console novo se comporta como o atual; trocar para jwt depois é editar uma variável de ambiente, sem alterar telas, services ou guards.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Uma constante, três valores, documentada no próprio arquivo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app/core/config/constants.ts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CREDENTIAL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transporte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credencial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origem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NUXT_PUBLIC_CREDENTIAL_MODE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valores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'hybrid'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cookie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JWT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+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Authorization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quando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houver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personal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     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token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Reproduz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comportamento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atual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Console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'jwt'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somente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JWT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Nenhum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header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Authorization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'personal-token'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somente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Authorization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cookie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CI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automacao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padrao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'hybrid'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permite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migrar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parada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'hybrid'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A interface que os três satisfazem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interface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AuthStrategy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attach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request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Request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Request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anexa cookie, header, ou ambos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resolveIdentity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Identity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claims do JWT: usuario, conta, permissoes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onUnauthorized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ponto unico de 401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login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credentials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Credentials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logout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Promise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void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POR QUE jwt E NÃO session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JWT foi criado para dispensar sessão no servidor: as claims estão dentro do token e nada é guardado do outro lado. Chamar o modo de session afirmaria o oposto do que o mecanismo faz. Pelo mesmo motivo o AppContext carrega identity, e não session — a identidade vem das claims, não de estado guardado.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8.2 bff-session: variante de transporte, não um quarto modo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Existe uma opção que troca uma propriedade por outra, e por isso não pertence à mesma lista. No bff-session o servidor guarda o JWT e emite um cookie httpOnly próprio, de modo que o JavaScript nunca alcança a credencial.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467"/>
        <w:gridCol w:w="3059"/>
        <w:gridCol w:w="3673"/>
      </w:tblGrid>
      <w:tr>
        <w:trPr>
          <w:tblHeader w:val="true"/>
          <w:cantSplit/>
        </w:trPr>
        <w:tc>
          <w:tcPr>
            <w:tcW w:type="dxa" w:w="346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Aspecto</w:t>
            </w:r>
          </w:p>
        </w:tc>
        <w:tc>
          <w:tcPr>
            <w:tcW w:type="dxa" w:w="305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jwt</w:t>
            </w:r>
          </w:p>
        </w:tc>
        <w:tc>
          <w:tcPr>
            <w:tcW w:type="dxa" w:w="367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bff-session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Estado no servidor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</w:t>
            </w:r>
          </w:p>
        </w:tc>
        <w:tc>
          <w:tcPr>
            <w:tcW w:type="dxa" w:w="367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guarda o token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JWT alcançável por JavaScript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sim, com o cookie atual</w:t>
            </w:r>
          </w:p>
        </w:tc>
        <w:tc>
          <w:tcPr>
            <w:tcW w:type="dxa" w:w="367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Exige rota de servidor publicada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  <w:tc>
          <w:tcPr>
            <w:tcW w:type="dxa" w:w="367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Disponível no clone do repositório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  <w:tc>
          <w:tcPr>
            <w:tcW w:type="dxa" w:w="367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apenas se o operador publicar a rota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4ED" w:val="clear"/>
            <w:tcBorders>
              <w:top w:val="single" w:sz="10" w:color="F3652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F3652B"/>
                <w:sz w:val="15"/>
              </w:rPr>
              <w:t>O TRADE-OFF É EXPLÍCITO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Adotar bff-session é abrir mão de stateless para tirar a credencial do alcance do JavaScript. Não é melhoria gratuita, é troca — e por isso fica como opção declarada, não como padrão.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O ACHADO DE SEGURANÇA DO MODO PADRÃO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No Console atual a reescrita de cookie na borda descarta o atributo HttpOnly, então o JWT fica legível por JavaScript. Isso é consequência do modo híbrido tal como implantado hoje, não um defeito isolado. A variante bff-session remove essa exposição, porque o token deixa de estar no cookie que o JavaScript alcança.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8.3 O que muda em relação a hoje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4079"/>
        <w:gridCol w:w="4306"/>
        <w:gridCol w:w="1814"/>
      </w:tblGrid>
      <w:tr>
        <w:trPr>
          <w:tblHeader w:val="true"/>
          <w:cantSplit/>
        </w:trPr>
        <w:tc>
          <w:tcPr>
            <w:tcW w:type="dxa" w:w="407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Hoje</w:t>
            </w:r>
          </w:p>
        </w:tc>
        <w:tc>
          <w:tcPr>
            <w:tcW w:type="dxa" w:w="430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Proposto</w:t>
            </w:r>
          </w:p>
        </w:tc>
        <w:tc>
          <w:tcPr>
            <w:tcW w:type="dxa" w:w="181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Marcação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 em variável de build, lida no adapter a cada requisição</w:t>
            </w:r>
          </w:p>
        </w:tc>
        <w:tc>
          <w:tcPr>
            <w:tcW w:type="dxa" w:w="430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Constante resolvida uma vez; o cliente HTTP recebe o modo e nunca lê ambiente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MODIFICAÇÃO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Mutação de axios.defaults por requisição</w:t>
            </w:r>
          </w:p>
        </w:tc>
        <w:tc>
          <w:tcPr>
            <w:tcW w:type="dxa" w:w="430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 estado global mutável; a credencial é anexada por requisição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MODIFICAÇÃO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Nenhum interceptor: o 401 só aparece ao navegar</w:t>
            </w:r>
          </w:p>
        </w:tc>
        <w:tc>
          <w:tcPr>
            <w:tcW w:type="dxa" w:w="430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Ponto único de 401 que invalida e leva ao login guardando a rota de retorno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MODIFICAÇÃO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Três mecanismos sem interface comum</w:t>
            </w:r>
          </w:p>
        </w:tc>
        <w:tc>
          <w:tcPr>
            <w:tcW w:type="dxa" w:w="430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AuthStrategy, com três implementações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407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Cookie, JWT e personal token</w:t>
            </w:r>
          </w:p>
        </w:tc>
        <w:tc>
          <w:tcPr>
            <w:tcW w:type="dxa" w:w="430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Os mesmos três mecanismos — nada é removido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Quem consome depende apenas da interface: o cliente HTTP anexa a credencial, useAppContext expõe identidade, modelo e tema, e o guard de rota protege a navegação. Nenhum deles sabe qual modo está ativo.</w:t>
      </w:r>
    </w:p>
    <w:p xmlns:a="http://schemas.openxmlformats.org/drawingml/2006/main" xmlns:pic="http://schemas.openxmlformats.org/drawingml/2006/picture">
      <w:pPr>
        <w:pStyle w:val="Heading1"/>
      </w:pPr>
      <w:r>
        <w:t xml:space="preserve">9. Nuxt: rotas, middleware e resolução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 rota canônica do resource é a mesma nos dois modos. Rotas de versão existem apenas como extensão dela, e o middleware é o único responsável por permitir ou normalizar.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Rotas e o middleware que resolve o modo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TREE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/resources/:resource/:id                    -&gt; modo default ou versioned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/resources/:resource/:id/versions          -&gt; lista de versoes        (v6)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/resources/:resource/:id/versions/:vid     -&gt; editor de uma versao    (v6)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/resources/:resource/:id/releases/new      -&gt; composicao de release   (v6)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middleware/configuration-model.global.ts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le o modelo efetivo resolvido no bootstrap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rota de versao + modelo != v6  -&gt;  normaliza para a rota canonica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resource sem suporte no modelo -&gt;  estado "indisponivel neste modelo"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799"/>
        <w:gridCol w:w="2799"/>
        <w:gridCol w:w="2199"/>
        <w:gridCol w:w="2402"/>
      </w:tblGrid>
      <w:tr>
        <w:trPr>
          <w:tblHeader w:val="true"/>
          <w:cantSplit/>
        </w:trPr>
        <w:tc>
          <w:tcPr>
            <w:tcW w:type="dxa" w:w="27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Rota</w:t>
            </w:r>
          </w:p>
        </w:tc>
        <w:tc>
          <w:tcPr>
            <w:tcW w:type="dxa" w:w="27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Origem</w:t>
            </w:r>
          </w:p>
        </w:tc>
        <w:tc>
          <w:tcPr>
            <w:tcW w:type="dxa" w:w="219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Middleware</w:t>
            </w:r>
          </w:p>
        </w:tc>
        <w:tc>
          <w:tcPr>
            <w:tcW w:type="dxa" w:w="240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Shell</w:t>
            </w:r>
          </w:p>
        </w:tc>
      </w:tr>
      <w:tr>
        <w:trPr>
          <w:cantSplit/>
        </w:trPr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/login</w:t>
            </w:r>
          </w:p>
        </w:tc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core, estática</w:t>
            </w:r>
          </w:p>
        </w:tc>
        <w:tc>
          <w:tcPr>
            <w:tcW w:type="dxa" w:w="21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— pública</w:t>
            </w:r>
          </w:p>
        </w:tc>
        <w:tc>
          <w:tcPr>
            <w:tcW w:type="dxa" w:w="240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fora da AppShell — layout próprio</w:t>
            </w:r>
          </w:p>
        </w:tc>
      </w:tr>
      <w:tr>
        <w:trPr>
          <w:cantSplit/>
        </w:trPr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/</w:t>
            </w:r>
          </w:p>
        </w:tc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core, estática</w:t>
            </w:r>
          </w:p>
        </w:tc>
        <w:tc>
          <w:tcPr>
            <w:tcW w:type="dxa" w:w="21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auth.global</w:t>
            </w:r>
          </w:p>
        </w:tc>
        <w:tc>
          <w:tcPr>
            <w:tcW w:type="dxa" w:w="240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AppShell</w:t>
            </w:r>
          </w:p>
        </w:tc>
      </w:tr>
      <w:tr>
        <w:trPr>
          <w:cantSplit/>
        </w:trPr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/network-lists</w:t>
            </w:r>
          </w:p>
        </w:tc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gerada no build</w:t>
            </w:r>
          </w:p>
        </w:tc>
        <w:tc>
          <w:tcPr>
            <w:tcW w:type="dxa" w:w="21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auth.global</w:t>
            </w:r>
          </w:p>
        </w:tc>
        <w:tc>
          <w:tcPr>
            <w:tcW w:type="dxa" w:w="240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AppShell</w:t>
            </w:r>
          </w:p>
        </w:tc>
      </w:tr>
      <w:tr>
        <w:trPr>
          <w:cantSplit/>
        </w:trPr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/network-lists/:id</w:t>
            </w:r>
          </w:p>
        </w:tc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core</w:t>
            </w:r>
          </w:p>
        </w:tc>
        <w:tc>
          <w:tcPr>
            <w:tcW w:type="dxa" w:w="21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auth.global</w:t>
            </w:r>
          </w:p>
        </w:tc>
        <w:tc>
          <w:tcPr>
            <w:tcW w:type="dxa" w:w="240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ShellResolver decide</w:t>
            </w:r>
          </w:p>
        </w:tc>
      </w:tr>
      <w:tr>
        <w:trPr>
          <w:cantSplit/>
        </w:trPr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/network-lists/create</w:t>
            </w:r>
          </w:p>
        </w:tc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core</w:t>
            </w:r>
          </w:p>
        </w:tc>
        <w:tc>
          <w:tcPr>
            <w:tcW w:type="dxa" w:w="21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auth.global</w:t>
            </w:r>
          </w:p>
        </w:tc>
        <w:tc>
          <w:tcPr>
            <w:tcW w:type="dxa" w:w="240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DefaultShell, modo create</w:t>
            </w:r>
          </w:p>
        </w:tc>
      </w:tr>
      <w:tr>
        <w:trPr>
          <w:cantSplit/>
        </w:trPr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/api/auth/*</w:t>
            </w:r>
          </w:p>
        </w:tc>
        <w:tc>
          <w:tcPr>
            <w:tcW w:type="dxa" w:w="27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core, server routes</w:t>
            </w:r>
          </w:p>
        </w:tc>
        <w:tc>
          <w:tcPr>
            <w:tcW w:type="dxa" w:w="219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— é o servidor</w:t>
            </w:r>
          </w:p>
        </w:tc>
        <w:tc>
          <w:tcPr>
            <w:tcW w:type="dxa" w:w="240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—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Um resource novo ganha as três rotas e o item de menu automaticamente, sem que ninguém edite um arquivo de router. Hoje existem dezesseis divisões de rota por feature flag no projeto, cada uma congelando a decisão na primeira navegação.</w:t>
      </w:r>
    </w:p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671"/>
        <w:gridCol w:w="6528"/>
      </w:tblGrid>
      <w:tr>
        <w:trPr>
          <w:tblHeader w:val="true"/>
          <w:cantSplit/>
        </w:trPr>
        <w:tc>
          <w:tcPr>
            <w:tcW w:type="dxa" w:w="367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Situação</w:t>
            </w:r>
          </w:p>
        </w:tc>
        <w:tc>
          <w:tcPr>
            <w:tcW w:type="dxa" w:w="652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Comportamento</w:t>
            </w:r>
          </w:p>
        </w:tc>
      </w:tr>
      <w:tr>
        <w:trPr>
          <w:cantSplit/>
        </w:trPr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Modelo v6 e resource versionado</w:t>
            </w:r>
          </w:p>
        </w:tc>
        <w:tc>
          <w:tcPr>
            <w:tcW w:type="dxa" w:w="652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VersionShell, modo versionado.</w:t>
            </w:r>
          </w:p>
        </w:tc>
      </w:tr>
      <w:tr>
        <w:trPr>
          <w:cantSplit/>
        </w:trPr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Modelo v3 ou v4</w:t>
            </w:r>
          </w:p>
        </w:tc>
        <w:tc>
          <w:tcPr>
            <w:tcW w:type="dxa" w:w="652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DefaultShell, modo default. Rotas de versão normalizadas.</w:t>
            </w:r>
          </w:p>
        </w:tc>
      </w:tr>
      <w:tr>
        <w:trPr>
          <w:cantSplit/>
        </w:trPr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Deep link de versão em modelo não versionado</w:t>
            </w:r>
          </w:p>
        </w:tc>
        <w:tc>
          <w:tcPr>
            <w:tcW w:type="dxa" w:w="652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Normaliza para a rota canônica e informa, em vez de retornar erro.</w:t>
            </w:r>
          </w:p>
        </w:tc>
      </w:tr>
      <w:tr>
        <w:trPr>
          <w:cantSplit/>
        </w:trPr>
        <w:tc>
          <w:tcPr>
            <w:tcW w:type="dxa" w:w="367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Resource sem suporte no modelo ativo</w:t>
            </w:r>
          </w:p>
        </w:tc>
        <w:tc>
          <w:tcPr>
            <w:tcW w:type="dxa" w:w="652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Estado dedicado de indisponibilidade, com caminho de upgrade. Não é 404.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10. O que herdamos do Console atual e o que mudamos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Esta seção existe para que nenhuma das trocas abaixo seja revertida por hábito. O Console atual pagou o custo de aprender cada uma delas.</w:t>
      </w:r>
    </w:p>
    <w:p xmlns:a="http://schemas.openxmlformats.org/drawingml/2006/main" xmlns:pic="http://schemas.openxmlformats.org/drawingml/2006/picture">
      <w:pPr>
        <w:pStyle w:val="Heading2"/>
      </w:pPr>
      <w:r>
        <w:t xml:space="preserve">10.1 Herdado do subsistema de versionamento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versionamento é o único subsistema do Console com dono único, contrato explícito e enforcement automatizado. Estas decisões não são revisadas — são generalizadas.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059"/>
        <w:gridCol w:w="7140"/>
      </w:tblGrid>
      <w:tr>
        <w:trPr>
          <w:tblHeader w:val="true"/>
          <w:cantSplit/>
        </w:trPr>
        <w:tc>
          <w:tcPr>
            <w:tcW w:type="dxa" w:w="305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14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Por que preservar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Interseção entre estado e capacidade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botão só existe se o estado permite e o resource implementa o método. Estado desconhecido produz lista vazia de ações, não a lista completa.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Máquina de estados como módulo puro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Sem framework e sem I/O: fonte única, testável, e estado desconhecido não gera ação.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Capability por configuração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Só as divergências são declaradas; nenhum fork do orquestrador.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Apresentação separada das regras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Barra de ações, cabeçalho e menu de linha não podem divergir.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Serviço como único dono do cache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Invalida após mutação e não invalida em erro. Fronteira limpa.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Gate de CI contra fork</w:t>
            </w:r>
          </w:p>
        </w:tc>
        <w:tc>
          <w:tcPr>
            <w:tcW w:type="dxa" w:w="714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Adicionar resource não altera o orquestrador — e isso é verificado, não combinado.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10.2 Mudado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138"/>
        <w:gridCol w:w="2942"/>
        <w:gridCol w:w="4119"/>
      </w:tblGrid>
      <w:tr>
        <w:trPr>
          <w:tblHeader w:val="true"/>
          <w:cantSplit/>
        </w:trPr>
        <w:tc>
          <w:tcPr>
            <w:tcW w:type="dxa" w:w="313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No Console atual</w:t>
            </w:r>
          </w:p>
        </w:tc>
        <w:tc>
          <w:tcPr>
            <w:tcW w:type="dxa" w:w="294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No modo</w:t>
            </w:r>
          </w:p>
        </w:tc>
        <w:tc>
          <w:tcPr>
            <w:tcW w:type="dxa" w:w="411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Barramento de comandos por string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Capacidades tipadas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correção depende de detalhe de reatividade; erro só aparece em runtime.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Remount forçado por chave de versão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Parâmetros reativos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Remontar perde o estado da interface para contornar captura por valor.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Ações teleportadas para elementos por id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Região provida pelo layout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Acoplamento por id de DOM é invisível ao tipo e exige guarda de montagem.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Ação de deploy como comando vazio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Navegação fora do conjunto de capacidades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ação sem efeito no domínio não é capacidade.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Duas variantes de tela de listagem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É a divergência que o framework existia para evitar.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Facade de sub-recurso manual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useResourceService genérico e extensões declaradas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assinatura vazava e o caso difícil virou exceção.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Modo default sem modelo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DefaultShell simétrica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Sem anatomia comum, as duas experiências divergem.</w:t>
            </w:r>
          </w:p>
        </w:tc>
      </w:tr>
      <w:tr>
        <w:trPr>
          <w:cantSplit/>
        </w:trPr>
        <w:tc>
          <w:tcPr>
            <w:tcW w:type="dxa" w:w="313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Validação de precondição dentro do serviço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Precondição declarada na ação</w:t>
            </w:r>
          </w:p>
        </w:tc>
        <w:tc>
          <w:tcPr>
            <w:tcW w:type="dxa" w:w="411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serviço não é o lugar de regra de interface.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11. Plano, riscos e decisões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651"/>
        <w:gridCol w:w="7548"/>
      </w:tblGrid>
      <w:tr>
        <w:trPr>
          <w:tblHeader w:val="true"/>
          <w:cantSplit/>
        </w:trPr>
        <w:tc>
          <w:tcPr>
            <w:tcW w:type="dxa" w:w="265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Fase</w:t>
            </w:r>
          </w:p>
        </w:tc>
        <w:tc>
          <w:tcPr>
            <w:tcW w:type="dxa" w:w="754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1. Moldura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Nuxt, WebKit e AppShell única: sessão, navegação e região de ações saem das telas.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2. Credencial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Os três modos por constante; fim do estado global no cliente HTTP.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3. Contrato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ShellMode, ResourceRef, ResourceService e um serviço real de ponta a ponta.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4. Modelo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OpenFeature, provider próprio e o acessor único.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5. DefaultShell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Modo default com um resource migrado.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6. VersionShell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Máquina de estados, capacidades tipadas e policy por estado.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7. Simetria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mesmo resource nos dois modos, com o mesmo editor.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8. Sub-recursos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useResourceService em coleções aninhadas e a primeira extensão declarada.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9. Release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Composição e promoção entre ambientes.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10. Rollout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Migração por account, telemetria de variant e reason, e reversão.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467"/>
        <w:gridCol w:w="6732"/>
      </w:tblGrid>
      <w:tr>
        <w:trPr>
          <w:tblHeader w:val="true"/>
          <w:cantSplit/>
        </w:trPr>
        <w:tc>
          <w:tcPr>
            <w:tcW w:type="dxa" w:w="346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Risco</w:t>
            </w:r>
          </w:p>
        </w:tc>
        <w:tc>
          <w:tcPr>
            <w:tcW w:type="dxa" w:w="673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Telas voltarem a montar o próprio chrome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AppShell provê a região de ações e a navegação; lint impede que view monte chrome.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Credencial voltar a ser estado global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Modo vem de constante; leitura de variável de ambiente fora de config proibida por lint.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Reintroduzir o barramento por hábito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Seção 10.2 como registro de decisão e revisão de arquitetura no primeiro resource.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 DefaultShell virar um caso especial de novo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Mesmo componente, máquina de estados injetada; teste que roda o mesmo editor nos dois modos.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Extensões de sub-recurso voltarem a ser improvisadas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Extensão sem tipo declarado falha no lint de contrato.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Duas fontes de verdade para o modelo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acessor; leitura direta de flag proibida por lint.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Migração parcial gerar experiência inconsistente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Migrar por resource e por account, com o estado de indisponibilidade explícito.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11.1 Registro das decisões arquiteturais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Cada decisão abaixo segue o mesmo formato: título, status, o que foi decidido, como a escolha é aplicada, as consequências nos dois sentidos e o que foi recusado. Uma decisão pode ser recusada individualmente sem afetar as outras.</w:t>
      </w:r>
    </w:p>
    <w:p xmlns:a="http://schemas.openxmlformats.org/drawingml/2006/main" xmlns:pic="http://schemas.openxmlformats.org/drawingml/2006/picture">
      <w:pPr>
        <w:pStyle w:val="Heading2"/>
      </w:pPr>
      <w:r>
        <w:t xml:space="preserve">ADR-01 Nuxt sim, Nuxt Layers não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447"/>
        <w:gridCol w:w="7752"/>
      </w:tblGrid>
      <w:tr>
        <w:trPr>
          <w:tblHeader w:val="true"/>
          <w:cantSplit/>
        </w:trPr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Item</w:t>
            </w:r>
          </w:p>
        </w:tc>
        <w:tc>
          <w:tcPr>
            <w:tcW w:type="dxa" w:w="77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Título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Nuxt sim, Nuxt Layers não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Status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Decidida.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Adotar Nuxt com renderização no servidor via Nitro. Não usar Nuxt Layers: core, versioning e resources são diretórios de uma mesma aplicação.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 de seleção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Alias no vite/nuxt.config para cada módulo, e fronteira de import declarada em import/no-restricted-paths, verificada no CI.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positiva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identidade e o flag são resolvidos no servidor, e a Shell é decidida antes de o HTML ser enviado. A fronteira entre módulos é verificada por lint, que é o mesmo mecanismo necessário com ou sem Layers.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negativa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Sem Layers, um segundo produto não consome o core por dependência declarada — precisaria de extração para pacote.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Alternativas rejeitadas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Nuxt Layers: o propósito declarado é compartilhar aplicações parciais entre projetos, a primitiva é sobrescrita de arquivo por precedência, e não há verificação em tempo de compilação contra imports entre layers.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ADR-02 Duas Shells sobre um contrato, com o modo como discriminante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447"/>
        <w:gridCol w:w="7752"/>
      </w:tblGrid>
      <w:tr>
        <w:trPr>
          <w:tblHeader w:val="true"/>
          <w:cantSplit/>
        </w:trPr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Item</w:t>
            </w:r>
          </w:p>
        </w:tc>
        <w:tc>
          <w:tcPr>
            <w:tcW w:type="dxa" w:w="77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Título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Duas Shells sobre um contrato, com o modo como discriminante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Status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Decidida.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DefaultShell e VersionShell satisfazem a mesma interface e recebem a máquina de estados como parâmetro. O modo de operação é um enum de três valores; a referência do resource é um objeto separado.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 de seleção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resolveMode devolve o modo e o motivo; shellFor deriva a Shell do modo. Nenhuma outra camada decide.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positiva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caminho de edição direta recebe o mesmo investimento e a mesma cobertura de testes do versionado. Acrescentar um modo é acrescentar um valor ao enum, e o compilador exige tratamento em cada ponto de uso.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negativa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Existe um componente a mais para manter em relação ao Console atual, que trata a edição direta como bloco de formulário.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Alternativas rejeitadas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Booleano isVersioned espalhado pelas chamadas; union de três formas misturando modo e identidade; uma Shell dedicada à criação.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ADR-03 Credencial como interface única, com três modos por constante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447"/>
        <w:gridCol w:w="7752"/>
      </w:tblGrid>
      <w:tr>
        <w:trPr>
          <w:tblHeader w:val="true"/>
          <w:cantSplit/>
        </w:trPr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Item</w:t>
            </w:r>
          </w:p>
        </w:tc>
        <w:tc>
          <w:tcPr>
            <w:tcW w:type="dxa" w:w="77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Título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Credencial como interface única, com três modos por constante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Status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Decidida, com a variante bff-session em aberto.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interface AuthStrategy com três implementações: hybrid, jwt e personal-token. O modo ativo vem de constante de configuração.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 de seleção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Constante lida uma vez no bootstrap. O cliente HTTP recebe o modo; nenhuma camada lê variável de ambiente fora do arquivo de configuração.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positiva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modo hybrid reproduz o comportamento atual, então a migração não exige parada. Trocar de modo é editar uma variável, sem alterar telas, services ou guards.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negativa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Três implementações a manter, e o modo padrão mantém o JWT em cookie alcançável por JavaScript enquanto a reescrita na borda descartar o HttpOnly.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Alternativas rejeitadas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Escolha por variável de build mutando o cliente HTTP global; uma implementação única que obrigaria todos os consumidores a migrar de uma vez.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ADR-04 Ações derivadas de estado e de capacidade, sem barramento por nome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447"/>
        <w:gridCol w:w="7752"/>
      </w:tblGrid>
      <w:tr>
        <w:trPr>
          <w:tblHeader w:val="true"/>
          <w:cantSplit/>
        </w:trPr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Item</w:t>
            </w:r>
          </w:p>
        </w:tc>
        <w:tc>
          <w:tcPr>
            <w:tcW w:type="dxa" w:w="77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Título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Ações derivadas de estado e de capacidade, sem barramento por nome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Status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Decidida.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matriz de estados é a fonte única do que é permitido. O resource expõe um objeto cujos métodos presentes são as ações que implementa. O conjunto visível é a interseção dos dois, filtrada por permissão.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 de seleção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Módulo puro por Shell, sem framework e sem entrada e saída. Estado desconhecido devolve lista vazia. Teste de enumeração compara estado por resource com o esperado.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positiva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Erro de nome de ação passa a ser erro de compilação. Ação ausente e ação impedida passam a ter tratamento visual distinto.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negativa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descendente arbitrário não pode mais contribuir com um handler sem estar no contrato.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Alternativas rejeitadas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Barramento por nome de string, cuja correção depende do tipo de reatividade do registro; ação de navegação modelada como comando com função vazia.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ADR-05 URL como declaração, com uma fonte para o roteamento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447"/>
        <w:gridCol w:w="7752"/>
      </w:tblGrid>
      <w:tr>
        <w:trPr>
          <w:tblHeader w:val="true"/>
          <w:cantSplit/>
        </w:trPr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Item</w:t>
            </w:r>
          </w:p>
        </w:tc>
        <w:tc>
          <w:tcPr>
            <w:tcW w:type="dxa" w:w="77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Título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URL como declaração, com uma fonte para o roteamento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Status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Decidida, com dependência do repositório de infraestrutura.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resource declara de qual serviço depende e qual recurso acessa. Um registro de serviços é a fonte única de base e contrato; as tabelas de roteamento de desenvolvimento e de produção passam a ser artefato gerado.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 de seleção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 arquivo fora da configuração declara base ou prefixo, e nenhum arquivo de resource concatena caminho. O contrato vai no cabeçalho, declarado por serviço.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positiva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Elimina os sete mecanismos de prefixo e as oito formas de URL. A precedência invertida entre as duas tabelas deixa de ser conhecimento tácito.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negativa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geração das tabelas cria acoplamento de build com o repositório de infraestrutura, e isso precisa ser acordado antes da fase 3.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Alternativas rejeitadas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Padronizar uma das sete formas existentes e documentar as outras; manter as duas tabelas escritas à mão com revisão manual.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ADR-06 schema valida e tipa; não descreve interface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447"/>
        <w:gridCol w:w="7752"/>
      </w:tblGrid>
      <w:tr>
        <w:trPr>
          <w:tblHeader w:val="true"/>
          <w:cantSplit/>
        </w:trPr>
        <w:tc>
          <w:tcPr>
            <w:tcW w:type="dxa" w:w="244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Item</w:t>
            </w:r>
          </w:p>
        </w:tc>
        <w:tc>
          <w:tcPr>
            <w:tcW w:type="dxa" w:w="77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Título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schema valida e tipa; não descreve interface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Status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Decidida.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schema define validação e tipo do modelo de edição. Os campos, o layout e as condicionais de exibição são escritos em componente.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Mecanismo de seleção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componente fino do resource passa o schema ao formulário. O componente de campos consome o formulário estabelecido acima dele.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positiva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Layout, campos dependentes, ajuda contextual e editores embutidos ficam onde são naturais, e não exigem escape hatch.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Consequência negativa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Mais linhas por resource do que um formulário gerado.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Alternativas rejeitadas</w:t>
            </w:r>
          </w:p>
        </w:tc>
        <w:tc>
          <w:tcPr>
            <w:tcW w:type="dxa" w:w="77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Gerar o formulário a partir do schema: atenderia os casos simples e exigiria escape hatch nos demais, criando dois modelos mentais no mesmo formulário. Somado a isso, o Design System está sendo definido agora.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pStyle w:val="Heading2"/>
      </w:pPr>
      <w:r>
        <w:t xml:space="preserve">11.2 Decisões em aberto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855"/>
        <w:gridCol w:w="5303"/>
        <w:gridCol w:w="2041"/>
      </w:tblGrid>
      <w:tr>
        <w:trPr>
          <w:tblHeader w:val="true"/>
          <w:cantSplit/>
        </w:trPr>
        <w:tc>
          <w:tcPr>
            <w:tcW w:type="dxa" w:w="285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Decisão</w:t>
            </w:r>
          </w:p>
        </w:tc>
        <w:tc>
          <w:tcPr>
            <w:tcW w:type="dxa" w:w="530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falta</w:t>
            </w:r>
          </w:p>
        </w:tc>
        <w:tc>
          <w:tcPr>
            <w:tcW w:type="dxa" w:w="204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Bloqueia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eixo não é versão, são serviços</w:t>
            </w:r>
          </w:p>
        </w:tc>
        <w:tc>
          <w:tcPr>
            <w:tcW w:type="dxa" w:w="530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subseção 1.4 mostra prefixos de serviço, hosts distintos e três declarações de versão em desacordo. Nem ConfigurationModel nem ApiGeneration descrevem o eixo. Confirmar com backend.</w:t>
            </w:r>
          </w:p>
        </w:tc>
        <w:tc>
          <w:tcPr>
            <w:tcW w:type="dxa" w:w="204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contratos, transforms, registro de serviços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Fase de avaliação do flag em SSR</w:t>
            </w:r>
          </w:p>
        </w:tc>
        <w:tc>
          <w:tcPr>
            <w:tcW w:type="dxa" w:w="530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 o flag for avaliado no servidor, o valor chega decidido na hidratação. Se for no cliente, é preciso um estado de indefinição no primeiro render.</w:t>
            </w:r>
          </w:p>
        </w:tc>
        <w:tc>
          <w:tcPr>
            <w:tcW w:type="dxa" w:w="204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provider de flags, guard de rota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Adotar bff-session, e quando</w:t>
            </w:r>
          </w:p>
        </w:tc>
        <w:tc>
          <w:tcPr>
            <w:tcW w:type="dxa" w:w="530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Resolve o HttpOnly de imediato, mas exige rota de servidor publicada e abre mão de ausência de estado no servidor.</w:t>
            </w:r>
          </w:p>
        </w:tc>
        <w:tc>
          <w:tcPr>
            <w:tcW w:type="dxa" w:w="204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server/api/auth, guard de rota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Quando o catálogo do design system é consultado</w:t>
            </w:r>
          </w:p>
        </w:tc>
        <w:tc>
          <w:tcPr>
            <w:tcW w:type="dxa" w:w="530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Este documento assume consulta em tempo de autoria. Se a aplicação também consultar em execução, o catálogo passa a ser dependência de runtime.</w:t>
            </w:r>
          </w:p>
        </w:tc>
        <w:tc>
          <w:tcPr>
            <w:tcW w:type="dxa" w:w="204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Figura 2, skills, dependências da fundação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Extensões fora do CRUD</w:t>
            </w:r>
          </w:p>
        </w:tc>
        <w:tc>
          <w:tcPr>
            <w:tcW w:type="dxa" w:w="530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Reordenar, mover de fase e publicar em lote não cabem na fachada de cinco métodos.</w:t>
            </w:r>
          </w:p>
        </w:tc>
        <w:tc>
          <w:tcPr>
            <w:tcW w:type="dxa" w:w="204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contratos de sub-recurso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Fronteira por alias e lint, não por Layer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nuxt.config.ts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defineNuxtConfig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alias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'@core'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fileURLToPath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new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URL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'./app/core'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import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meta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url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'@versioning'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fileURLToPath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new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URL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'./app/versioning'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import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meta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url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'@resources'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fileURLToPath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new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URL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'./app/resources'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import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meta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url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eslint.config.js — o guardrail real, quebra o build no CI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'import/no-restricted-paths'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'error'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zones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target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'./app/core'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from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'./app/versioning'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target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'./app/core'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from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'./app/resources'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target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'./app/resources'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from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'./app/versioning'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4ED" w:val="clear"/>
            <w:tcBorders>
              <w:top w:val="single" w:sz="10" w:color="F3652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F3652B"/>
                <w:sz w:val="15"/>
              </w:rPr>
              <w:t>SÍNTESE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Versioning é um modo, não um caminho. Uma anatomia de Shell parametrizada pela máquina de estados, um contrato de serviço ligado ao modo, e um único acessor para o modelo de configuração. O Console atual mostrou quais decisões preservar e quais trocar.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12. Exemplos de implementação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As seções anteriores descrevem contratos. Esta mostra o que efetivamente se escreve para colocar um resource no ar — e o que não se escreve. Três exemplos, escolhidos porque cada um prova uma coisa diferente: Application é o caso completo, Firewall prova que acrescentar um resource é cópia, e Network List mostra a única forma suportada de divergir.</w:t>
      </w:r>
    </w:p>
    <w:p xmlns:a="http://schemas.openxmlformats.org/drawingml/2006/main" xmlns:pic="http://schemas.openxmlformats.org/drawingml/2006/picture">
      <w:pPr>
        <w:pStyle w:val="Heading2"/>
      </w:pPr>
      <w:r>
        <w:t xml:space="preserve">12.1 A composição do Console atual, que é o ponto de partida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Console atual já resolveu a parte difícil: um scaffold genérico recebe o componente fino do resource e a lista de abas como dados, e a Shell nunca importa nada de resource. Esta seção parte dessa estrutura; o que muda está marcado.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[HOJE] A composição real, verificada em VersionEditorTabsShell.vue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TREE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VersionEditorTabsShell            generico, em templates/version-shell-block/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props: adapter, tabs[], useVersionQuery, resource, resourceType, bare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|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\-- VersionShell                  generico: estado, acoes, contexto, overlay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|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\-- &lt;component :is="adapter"&gt;  o fino do resource, ENTRA POR PROP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|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\-- TabView               dirigido por tabs[], ENTRA POR PROP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POR QUE ISSO JÁ ESTÁ CERTO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O específico do resource entra como dado, não como import. O scaffold recebe um componente numa prop e um array de descritores de aba noutra. É por isso que a Shell não conhece resource: ela nunca importa nada dele. A prop bare já cobre o resource que não tem abas.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CORREÇÃO DE ROTA DESTE DOCUMENTO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As versões anteriores desta seção propunham artefatos que não existem no Console atual — ApplicationForm.vue, ApplicationFields.vue, capabilities.ts e support.ts como arquivos separados. Eram invenção, e foram removidos. O que segue usa a estrutura e os nomes que já estão em produção, com as mudanças marcadas uma por uma.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12.2 O que muda para atender as duas Shells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Uma linha. O scaffold deixa de montar sempre a VersionShell e passa a montar a Shell derivada do modo. Todo o resto da composição continua igual.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[MODIFICAÇÃO] A única mudança estrutural no scaffold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VUE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&lt;!-- HOJE --&gt;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&lt;VersionShell :use-version-query="useVersionQuery" :resource-id="resourceId" ...&gt;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&lt;component :is="adapter" :resource="resource" :version-id="versionId"&gt;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&lt;!-- PROPOSTO --&gt;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&lt;component :is="shellFor(mode)" :mode="mode" :resource-ref="resourceRef" ...&gt;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&lt;component :is="adapter" :resource="resource" :mode="mode" :resource-ref="resourceRef"&gt;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Intenção: a DefaultShell entra como irmã da VersionShell, satisfazendo a mesma interface. O adapter e as abas do resource funcionam nas duas sem alteração, porque eles já não conhecem a Shell que os envolve — recebem contexto.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353"/>
        <w:gridCol w:w="3334"/>
        <w:gridCol w:w="2942"/>
        <w:gridCol w:w="1570"/>
      </w:tblGrid>
      <w:tr>
        <w:trPr>
          <w:tblHeader w:val="true"/>
          <w:cantSplit/>
        </w:trPr>
        <w:tc>
          <w:tcPr>
            <w:tcW w:type="dxa" w:w="2353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Peça genérica</w:t>
            </w:r>
          </w:p>
        </w:tc>
        <w:tc>
          <w:tcPr>
            <w:tcW w:type="dxa" w:w="333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Hoje</w:t>
            </w:r>
          </w:p>
        </w:tc>
        <w:tc>
          <w:tcPr>
            <w:tcW w:type="dxa" w:w="294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Proposto</w:t>
            </w:r>
          </w:p>
        </w:tc>
        <w:tc>
          <w:tcPr>
            <w:tcW w:type="dxa" w:w="157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Marcação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scaffold</w:t>
            </w:r>
          </w:p>
        </w:tc>
        <w:tc>
          <w:tcPr>
            <w:tcW w:type="dxa" w:w="333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VersionEditorTabsShell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ResourceShellScaffold</w:t>
            </w:r>
          </w:p>
        </w:tc>
        <w:tc>
          <w:tcPr>
            <w:tcW w:type="dxa" w:w="15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RENOMEADO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casca versionada</w:t>
            </w:r>
          </w:p>
        </w:tc>
        <w:tc>
          <w:tcPr>
            <w:tcW w:type="dxa" w:w="333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VersionShell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VersionShell</w:t>
            </w:r>
          </w:p>
        </w:tc>
        <w:tc>
          <w:tcPr>
            <w:tcW w:type="dxa" w:w="15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casca direta</w:t>
            </w:r>
          </w:p>
        </w:tc>
        <w:tc>
          <w:tcPr>
            <w:tcW w:type="dxa" w:w="333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existe; edição direta usa bloco de formulário legado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DefaultShell</w:t>
            </w:r>
          </w:p>
        </w:tc>
        <w:tc>
          <w:tcPr>
            <w:tcW w:type="dxa" w:w="15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chrome da tela</w:t>
            </w:r>
          </w:p>
        </w:tc>
        <w:tc>
          <w:tcPr>
            <w:tcW w:type="dxa" w:w="333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VersionEditScreen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ResourceEditScreen</w:t>
            </w:r>
          </w:p>
        </w:tc>
        <w:tc>
          <w:tcPr>
            <w:tcW w:type="dxa" w:w="15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RENOMEADO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matriz de estados</w:t>
            </w:r>
          </w:p>
        </w:tc>
        <w:tc>
          <w:tcPr>
            <w:tcW w:type="dxa" w:w="333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version-machine.js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igual, mais uma máquina trivial para o modo default</w:t>
            </w:r>
          </w:p>
        </w:tc>
        <w:tc>
          <w:tcPr>
            <w:tcW w:type="dxa" w:w="15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listagem de versões</w:t>
            </w:r>
          </w:p>
        </w:tc>
        <w:tc>
          <w:tcPr>
            <w:tcW w:type="dxa" w:w="333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VersionListDataView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igual</w:t>
            </w:r>
          </w:p>
        </w:tc>
        <w:tc>
          <w:tcPr>
            <w:tcW w:type="dxa" w:w="15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POR QUE RENOMEAR O SCAFFOLD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Intenção: o nome atual afirma que ele monta a VersionShell, e depois da mudança isso deixa de ser verdade. Nome que mente sobre o que o componente faz é o começo da divergência. Nenhuma outra razão — o comportamento é o mesmo.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12.3 Application, na estrutura do Console atual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Cinco artefatos por resource, todos com nome já existente no projeto ou derivado dele.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Estrutura de um resource, partindo do que existe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TREE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app/resources/applications/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+-- application-service.ts        estende a classe base; URL por geracao   MANTIDO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+-- application-transform.ts      transformadores puros de payload         RENOMEADO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+-- ApplicationAdapter.vue        useForm + capacidades. Template: &lt;slot&gt;  RENOMEADO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+-- ApplicationEditorTabs.vue     fornece adapter e tabs[] ao scaffold     MANTIDO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\-- FormFieldsApplication.vue     os campos                                MANTIDO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app/core/          NAO MUDA ao acrescentar um resource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app/versioning/    NAO MUDA ao acrescentar um resource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549"/>
        <w:gridCol w:w="2942"/>
        <w:gridCol w:w="4708"/>
      </w:tblGrid>
      <w:tr>
        <w:trPr>
          <w:tblHeader w:val="true"/>
          <w:cantSplit/>
        </w:trPr>
        <w:tc>
          <w:tcPr>
            <w:tcW w:type="dxa" w:w="254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Artefato</w:t>
            </w:r>
          </w:p>
        </w:tc>
        <w:tc>
          <w:tcPr>
            <w:tcW w:type="dxa" w:w="294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Origem do nome</w:t>
            </w:r>
          </w:p>
        </w:tc>
        <w:tc>
          <w:tcPr>
            <w:tcW w:type="dxa" w:w="470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Marcação e motivo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application-service.ts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hoje: edge-app-version-service.js</w:t>
            </w:r>
          </w:p>
        </w:tc>
        <w:tc>
          <w:tcPr>
            <w:tcW w:type="dxa" w:w="470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MANTIDO. Perde o infixo version porque passa a servir os dois modos.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application-transform.ts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hoje: edge-app-version-adapter.js</w:t>
            </w:r>
          </w:p>
        </w:tc>
        <w:tc>
          <w:tcPr>
            <w:tcW w:type="dxa" w:w="470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RENOMEADO. Intenção: hoje a palavra adapter nomeia duas coisas — o transformador de payload e o componente fino. Dar dono único à palavra evita a colisão que já existe.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ApplicationAdapter.vue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hoje: ApplicationVersionAdapter.vue</w:t>
            </w:r>
          </w:p>
        </w:tc>
        <w:tc>
          <w:tcPr>
            <w:tcW w:type="dxa" w:w="470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RENOMEADO. Perde version porque serve as duas Shells. Continua com vinte e cinco linhas e template só com slot.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ApplicationEditorTabs.vue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hoje: VersionEditorTabs.vue</w:t>
            </w:r>
          </w:p>
        </w:tc>
        <w:tc>
          <w:tcPr>
            <w:tcW w:type="dxa" w:w="470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 em forma e papel: fornece adapter, tabs e a query ao scaffold.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FormFieldsApplication.vue</w:t>
            </w:r>
          </w:p>
        </w:tc>
        <w:tc>
          <w:tcPr>
            <w:tcW w:type="dxa" w:w="294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hoje: FormFieldsEditEdgeApplications.vue</w:t>
            </w:r>
          </w:p>
        </w:tc>
        <w:tc>
          <w:tcPr>
            <w:tcW w:type="dxa" w:w="470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MANTIDO. A convenção FormFields existe em sessenta e dois arquivos do projeto; não se cria uma segunda.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ApplicationAdapter.vue — o fino, como já é hoje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VUE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&lt;script setup lang="ts"&gt;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import * as yup from 'yup'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import { useResourceFormAdapter } from '@core/shells/use-resource-form-adapter'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import { applicationService } from './application-service'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const props = defineProps&lt;{ resource: Object; mode: ShellMode; resourceRef: ResourceRef }&gt;()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Mesmo papel do useVersionFormAdapter de hoje: useForm + as capacidades.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Recebe target em vez de resourceId e versionId separados.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useResourceFormAdapter({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resource: () =&gt; props.resource,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mode: () =&gt; props.mode,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resourceRef: () =&gt; props.resourceRef,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service: applicationService,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validationSchema: yup.object({ name: yup.string().required() })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})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&lt;/script&gt;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&lt;template&gt;&lt;slot /&gt;&lt;/template&gt;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O QUE O ADAPTER NÃO FAZ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Não renderiza, não escolhe Shell, não lê feature flag, não monta URL. Ele existe para ocupar posição na árvore: é ali que o formulário é estabelecido, e por isso os campos abaixo conectam sozinhos. Vinte e cinco linhas, como já é hoje.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ApplicationEditorTabs.vue — alimenta o scaffold com dados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VUE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&lt;script setup lang="ts"&gt;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As abas sao DADOS. O scaffold nao sabe quantas sao nem o que fazem.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const facades = useBoundFacades(props.mode, props.resourceRef)          // sub-recursos ligados ao modo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const tabs = computed(() =&gt; [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{ label: 'Main Settings', component: FormFieldsApplication },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{ label: 'Cache Settings', component: CacheSettingsListView, props: { service: facades.cache } },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{ label: 'Rules Engine', component: RulesEngineListView, props: { service: facades.rules } 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])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&lt;/script&gt;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&lt;template&gt;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&lt;ResourceShellScaffold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:mode="mode" :resource-ref="resourceRef"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:adapter="ApplicationAdapter"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:tabs="tabs"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:resource="application"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/&gt;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&lt;/template&gt;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AS ABAS SÃO UMA PROP, NÃO CÓDIGO DENTRO DO SCAFFOLD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O scaffold recebe o array de abas numa prop, itera e monta o que vier. Ele não sabe quantas abas existem, quais componentes elas carregam, nem se há sub-recursos. Application passa quatro entradas; Network List passa uma. O código do scaffold é o mesmo nos dois casos, linha por linha.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A CONSEQUÊNCIA MEDÍVEL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Acrescentar um resource não altera nenhum arquivo de app/core nem de app/versioning. O Console atual já tem um teste que verifica isso: ele falha quando um resource novo modifica um arquivo do framework. O teste continua no alvo.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12.4 Resource sem abas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Não precisa de artefato novo. O scaffold já tem a prop bare, e o resource passa uma única entrada de aba ou nenhuma.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[HOJE] O caminho simples já existe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VUE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&lt;ResourceShellScaffold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:mode="mode" :resource-ref="resourceRef"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:adapter="NetworkListAdapter"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:tabs="[{ label: 'Settings', component: FormFieldsNetworkList }]"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bare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/&gt;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POR QUE NÃO CRIEI UMA VARIANTE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O Console atual tem duas variantes da tela de listagem: uma escrita dentro da view, outra por composable. As duas fazem a mesma coisa e divergiram com o tempo. Uma segunda forma de montar a tela recriaria essa divergência, então o caso sem abas usa o mesmo scaffold com a prop bare.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12.5 Firewall — a prova de que é cópia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Firewall é estruturalmente idêntico a Application: existe nas três gerações, é versionado em v6, é deployável. A ausência de diferença é o resultado esperado: o padrão só está pronto quando acrescentar um resource não exige decidir nada de novo.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que muda, exaustivamente: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651"/>
        <w:gridCol w:w="7548"/>
      </w:tblGrid>
      <w:tr>
        <w:trPr>
          <w:tblHeader w:val="true"/>
          <w:cantSplit/>
        </w:trPr>
        <w:tc>
          <w:tcPr>
            <w:tcW w:type="dxa" w:w="265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Artefato</w:t>
            </w:r>
          </w:p>
        </w:tc>
        <w:tc>
          <w:tcPr>
            <w:tcW w:type="dxa" w:w="754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muda em relação a Application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application-service.ts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URL base de cada geração.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application-transform.ts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mapeamento de payload do domínio.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Adapter .vue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service importado e o schema de validação. Vinte e cinco linhas iguais.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EditorTabs .vue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Quais abas e quais sub-recursos, se houver.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FormFields .vue</w:t>
            </w:r>
          </w:p>
        </w:tc>
        <w:tc>
          <w:tcPr>
            <w:tcW w:type="dxa" w:w="754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Os campos e o layout.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firewalls/api.ts — a única diferença real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adapter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createResourceAdapter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FirewallDto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Firewall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toEntity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dto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dto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name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dto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name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domains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dto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domains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?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[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]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toPayload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name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name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domains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domains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firewallApi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v3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'v3/edge_firewall'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adapter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v4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'v4/workspace/firewalls'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adapter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v6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'v4/workspace/firewalls'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adapter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satisfies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175CD3"/>
                <w:sz w:val="16"/>
              </w:rPr>
              <w:t xml:space="preserve">Record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ConfigurationModel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ApiBinding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&lt;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Firewall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&gt;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O TESTE DO PADRÃO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Firewall não altera nenhuma linha de app/core nem de app/versioning. Nenhuma Shell é tocada, nenhuma rota é escrita à mão, nenhuma flag é consultada. É isso que o lint de fronteira garante no CI: se acrescentar um resource exigir mexer em código compartilhado, o build quebra.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12.6 Network List — a única forma suportada de divergir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Nem todo resource versionado é deployável. No Console atual, Function, Network List e WAF são versionados mas não têm deploy, promote nem rollback — e essa divergência é declarada por configuração, sem bifurcar a Shell. Aqui, ela é declarada pela ausência dos métodos.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NetworkListAdapter.vue — versionado, não deployável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Mesmo useResourceFormAdapter de Application. O que muda e o conjunto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de capacidades que ele expoe para o modo versionado.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useResourceFormAdapter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props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props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props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resourceRef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service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networkListService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validationSchema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yup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object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name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yup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string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required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capabilities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target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form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save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saveDraft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form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values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build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build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cancelBuild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cancelBuild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newVersionFrom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createVersion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from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archive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comment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archive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comment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remove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svc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remove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ref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Sem promote. Sem rollback. Nao existem para este resource.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059"/>
        <w:gridCol w:w="1835"/>
        <w:gridCol w:w="1835"/>
        <w:gridCol w:w="3470"/>
      </w:tblGrid>
      <w:tr>
        <w:trPr>
          <w:tblHeader w:val="true"/>
          <w:cantSplit/>
        </w:trPr>
        <w:tc>
          <w:tcPr>
            <w:tcW w:type="dxa" w:w="305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Superfície</w:t>
            </w:r>
          </w:p>
        </w:tc>
        <w:tc>
          <w:tcPr>
            <w:tcW w:type="dxa" w:w="183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</w:t>
            </w:r>
          </w:p>
        </w:tc>
        <w:tc>
          <w:tcPr>
            <w:tcW w:type="dxa" w:w="183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Network List</w:t>
            </w:r>
          </w:p>
        </w:tc>
        <w:tc>
          <w:tcPr>
            <w:tcW w:type="dxa" w:w="347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Como a diferença é obtida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Botão Deploy no header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aparece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aparece</w:t>
            </w:r>
          </w:p>
        </w:tc>
        <w:tc>
          <w:tcPr>
            <w:tcW w:type="dxa" w:w="34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promote ausente do objeto de capacidades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Rollback no menu da versão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aparece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aparece</w:t>
            </w:r>
          </w:p>
        </w:tc>
        <w:tc>
          <w:tcPr>
            <w:tcW w:type="dxa" w:w="34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rollback ausente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Save, build, archive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aparecem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aparecem</w:t>
            </w:r>
          </w:p>
        </w:tc>
        <w:tc>
          <w:tcPr>
            <w:tcW w:type="dxa" w:w="34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métodos presentes nos dois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Código de Shell alterado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</w:t>
            </w:r>
          </w:p>
        </w:tc>
        <w:tc>
          <w:tcPr>
            <w:tcW w:type="dxa" w:w="183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</w:t>
            </w:r>
          </w:p>
        </w:tc>
        <w:tc>
          <w:tcPr>
            <w:tcW w:type="dxa" w:w="347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VersionShell não sabe a diferença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A AUSÊNCIA É A DECLARAÇÃO — E É VERIFICÁVEL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A VersionShell cruza o que o estado permite com o que o resource implementa. Se promote não existe no objeto, o botão não é renderizado — sem condicional, sem flag, sem entrada de configuração. E um teste que enumere estado × resource cobre isso sem montar tela, porque o cruzamento é função pura.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12.7 O rastro completo: do flag ao editor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Com os três resources no lugar, este é o caminho que uma requisição percorre. Cada etapa tem um dono e acontece uma vez.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1 — o flag, avaliado uma vez no bootstrap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app/core/flags/provider.ts — o unico arquivo que le feature flag.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client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getStringDetails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'configuration-model'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appContext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value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ConfigurationModel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'v3' | 'v4' | 'v6'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appContext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evaluation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variant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variant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details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2 — resolveMode: função pura, devolve modo e motivo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resolveMode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ctx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AppContext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support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ResourceSupport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params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versionId?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ShellMode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string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=&gt;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!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params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return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'create'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'creating'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!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support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versionedIn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includes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ctx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model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return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'default'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'model-unsupported'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if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!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ctx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identity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permissions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can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(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'resource:versioning:read'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return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'default'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'permission-denied'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return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'versioned'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reason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'versioning-enabled'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3 — ShellResolver: aplica o resultado e monta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VUE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&lt;script setup lang="ts"&gt;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const ctx = useAppContext()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const { mode, reason } = resolveMode(ctx, supportOf(props.resource), useRoute().params)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// A Shell e DERIVADA do tipo do modo. Nao ha segunda decisao.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const shell = computed(() =&gt; shellFor(mode))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track('shell.resolved', { resource: props.resource, mode, reason })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&lt;/script&gt;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&lt;template&gt;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&lt;component :is="shell" :mode="mode" :resource-ref="resourceRef"&gt;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&lt;component :is="editorOf(props.resource)" /&gt;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&lt;/component&gt;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&lt;/template&gt;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225"/>
        <w:gridCol w:w="2410"/>
        <w:gridCol w:w="3152"/>
        <w:gridCol w:w="2412"/>
      </w:tblGrid>
      <w:tr>
        <w:trPr>
          <w:tblHeader w:val="true"/>
          <w:cantSplit/>
        </w:trPr>
        <w:tc>
          <w:tcPr>
            <w:tcW w:type="dxa" w:w="222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Etapa</w:t>
            </w:r>
          </w:p>
        </w:tc>
        <w:tc>
          <w:tcPr>
            <w:tcW w:type="dxa" w:w="241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Quem decide</w:t>
            </w:r>
          </w:p>
        </w:tc>
        <w:tc>
          <w:tcPr>
            <w:tcW w:type="dxa" w:w="315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Resultado</w:t>
            </w:r>
          </w:p>
        </w:tc>
        <w:tc>
          <w:tcPr>
            <w:tcW w:type="dxa" w:w="241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Quantas vezes</w:t>
            </w:r>
          </w:p>
        </w:tc>
      </w:tr>
      <w:tr>
        <w:trPr>
          <w:cantSplit/>
        </w:trPr>
        <w:tc>
          <w:tcPr>
            <w:tcW w:type="dxa" w:w="22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Avaliar o flag</w:t>
            </w:r>
          </w:p>
        </w:tc>
        <w:tc>
          <w:tcPr>
            <w:tcW w:type="dxa" w:w="24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provider OpenFeature</w:t>
            </w:r>
          </w:p>
        </w:tc>
        <w:tc>
          <w:tcPr>
            <w:tcW w:type="dxa" w:w="31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model: 'v3' | 'v4' | 'v6'</w:t>
            </w:r>
          </w:p>
        </w:tc>
        <w:tc>
          <w:tcPr>
            <w:tcW w:type="dxa" w:w="24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vez, no bootstrap</w:t>
            </w:r>
          </w:p>
        </w:tc>
      </w:tr>
      <w:tr>
        <w:trPr>
          <w:cantSplit/>
        </w:trPr>
        <w:tc>
          <w:tcPr>
            <w:tcW w:type="dxa" w:w="22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Compor o contexto</w:t>
            </w:r>
          </w:p>
        </w:tc>
        <w:tc>
          <w:tcPr>
            <w:tcW w:type="dxa" w:w="24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AppShell</w:t>
            </w:r>
          </w:p>
        </w:tc>
        <w:tc>
          <w:tcPr>
            <w:tcW w:type="dxa" w:w="31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AppContext: sessão, modelo e tema</w:t>
            </w:r>
          </w:p>
        </w:tc>
        <w:tc>
          <w:tcPr>
            <w:tcW w:type="dxa" w:w="24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refeito na troca de conta</w:t>
            </w:r>
          </w:p>
        </w:tc>
      </w:tr>
      <w:tr>
        <w:trPr>
          <w:cantSplit/>
        </w:trPr>
        <w:tc>
          <w:tcPr>
            <w:tcW w:type="dxa" w:w="22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Resolver o modo</w:t>
            </w:r>
          </w:p>
        </w:tc>
        <w:tc>
          <w:tcPr>
            <w:tcW w:type="dxa" w:w="24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resolveMode(), função pura</w:t>
            </w:r>
          </w:p>
        </w:tc>
        <w:tc>
          <w:tcPr>
            <w:tcW w:type="dxa" w:w="31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ShellMode e o motivo</w:t>
            </w:r>
          </w:p>
        </w:tc>
        <w:tc>
          <w:tcPr>
            <w:tcW w:type="dxa" w:w="24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cada abertura de resource</w:t>
            </w:r>
          </w:p>
        </w:tc>
      </w:tr>
      <w:tr>
        <w:trPr>
          <w:cantSplit/>
        </w:trPr>
        <w:tc>
          <w:tcPr>
            <w:tcW w:type="dxa" w:w="22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Montar a Shell</w:t>
            </w:r>
          </w:p>
        </w:tc>
        <w:tc>
          <w:tcPr>
            <w:tcW w:type="dxa" w:w="24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ShellResolver</w:t>
            </w:r>
          </w:p>
        </w:tc>
        <w:tc>
          <w:tcPr>
            <w:tcW w:type="dxa" w:w="31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DefaultShell ou VersionShell</w:t>
            </w:r>
          </w:p>
        </w:tc>
        <w:tc>
          <w:tcPr>
            <w:tcW w:type="dxa" w:w="24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derivado do modo, sem nova decisão</w:t>
            </w:r>
          </w:p>
        </w:tc>
      </w:tr>
      <w:tr>
        <w:trPr>
          <w:cantSplit/>
        </w:trPr>
        <w:tc>
          <w:tcPr>
            <w:tcW w:type="dxa" w:w="22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Compor as ações</w:t>
            </w:r>
          </w:p>
        </w:tc>
        <w:tc>
          <w:tcPr>
            <w:tcW w:type="dxa" w:w="24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Shell</w:t>
            </w:r>
          </w:p>
        </w:tc>
        <w:tc>
          <w:tcPr>
            <w:tcW w:type="dxa" w:w="31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estado ∩ capacidades do resource</w:t>
            </w:r>
          </w:p>
        </w:tc>
        <w:tc>
          <w:tcPr>
            <w:tcW w:type="dxa" w:w="24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recomputado a cada mudança de estado</w:t>
            </w:r>
          </w:p>
        </w:tc>
      </w:tr>
      <w:tr>
        <w:trPr>
          <w:cantSplit/>
        </w:trPr>
        <w:tc>
          <w:tcPr>
            <w:tcW w:type="dxa" w:w="22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Renderizar o editor</w:t>
            </w:r>
          </w:p>
        </w:tc>
        <w:tc>
          <w:tcPr>
            <w:tcW w:type="dxa" w:w="24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resource</w:t>
            </w:r>
          </w:p>
        </w:tc>
        <w:tc>
          <w:tcPr>
            <w:tcW w:type="dxa" w:w="315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mesmo componente nos três modos</w:t>
            </w:r>
          </w:p>
        </w:tc>
        <w:tc>
          <w:tcPr>
            <w:tcW w:type="dxa" w:w="24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agnóstico do modo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ONDE A FEATURE FLAG É LIDA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Em um único arquivo: o provider do OpenFeature, no bootstrap. Nem resolveMode, nem ShellResolver, nem as Shells, nem os services, nem as capacidades, nem os editores leem flag. Todos consomem o modelo já resolvido no AppContext. No Console atual a mesma flag é lida por quatro padrões diferentes, com duas fontes de verdade que dessincronizam.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4ED" w:val="clear"/>
            <w:tcBorders>
              <w:top w:val="single" w:sz="10" w:color="F3652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F3652B"/>
                <w:sz w:val="15"/>
              </w:rPr>
              <w:t>O MOTIVO VAI PARA A TELEMETRIA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resolveMode devolve o modo e a razão. A razão não altera a interface — é registrada. Isso permite responder "por que este cliente viu a tela default?" sem reproduzir o estado da conta: creating, model-unsupported, permission-denied ou versioning-enabled.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13. Confronto com o Console atual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Esta seção existe para eliminar ambiguidade. Para cada peça, o que o Console atual tem, o que este documento propõe, e a marcação. Nada fica implícito.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039"/>
        <w:gridCol w:w="8160"/>
      </w:tblGrid>
      <w:tr>
        <w:trPr>
          <w:tblHeader w:val="true"/>
          <w:cantSplit/>
        </w:trPr>
        <w:tc>
          <w:tcPr>
            <w:tcW w:type="dxa" w:w="203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Marcação</w:t>
            </w:r>
          </w:p>
        </w:tc>
        <w:tc>
          <w:tcPr>
            <w:tcW w:type="dxa" w:w="816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MANTIDO</w:t>
            </w:r>
          </w:p>
        </w:tc>
        <w:tc>
          <w:tcPr>
            <w:tcW w:type="dxa" w:w="816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Igual ao Console atual, em forma e nome. Não reabrir.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RENOMEADO</w:t>
            </w:r>
          </w:p>
        </w:tc>
        <w:tc>
          <w:tcPr>
            <w:tcW w:type="dxa" w:w="816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Mesmo comportamento; o nome muda por um motivo declarado.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NOVO</w:t>
            </w:r>
          </w:p>
        </w:tc>
        <w:tc>
          <w:tcPr>
            <w:tcW w:type="dxa" w:w="816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 existe hoje. Necessário para atender o modo default.</w:t>
            </w:r>
          </w:p>
        </w:tc>
      </w:tr>
      <w:tr>
        <w:trPr>
          <w:cantSplit/>
        </w:trPr>
        <w:tc>
          <w:tcPr>
            <w:tcW w:type="dxa" w:w="203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MODIFICAÇÃO</w:t>
            </w:r>
          </w:p>
        </w:tc>
        <w:tc>
          <w:tcPr>
            <w:tcW w:type="dxa" w:w="816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comportamento muda. Cada uma tem justificativa própria.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13.1 Mantido — a base que já funciona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467"/>
        <w:gridCol w:w="6732"/>
      </w:tblGrid>
      <w:tr>
        <w:trPr>
          <w:tblHeader w:val="true"/>
          <w:cantSplit/>
        </w:trPr>
        <w:tc>
          <w:tcPr>
            <w:tcW w:type="dxa" w:w="3467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Peça</w:t>
            </w:r>
          </w:p>
        </w:tc>
        <w:tc>
          <w:tcPr>
            <w:tcW w:type="dxa" w:w="673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Por que preservar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Interseção entre estado e capacidade registrada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botão só existe se o estado permite e o resource implementa o método. Estado desconhecido produz lista vazia de ações, não a lista completa.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Máquina de estados como módulo puro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Sem framework e sem I/O. Fonte única, e estado desconhecido não gera ação.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Matriz STATE_ACTIONS como fonte única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Barra de ações, cabeçalho e menu da linha leem da mesma tabela e não podem divergir.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Capability por configuração, não por fork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Só as divergências são declaradas; nenhum ramo no orquestrador.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Scaffold que recebe adapter e abas como props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É o que faz a Shell não conhecer resource. A peça central, e já está pronta.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Serviço como único dono do cache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Invalida após mutação e não invalida em erro.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Convenção FormFields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Sessenta e dois arquivos no projeto. Criar uma segunda convenção para campos seria divergência gratuita.</w:t>
            </w:r>
          </w:p>
        </w:tc>
      </w:tr>
      <w:tr>
        <w:trPr>
          <w:cantSplit/>
        </w:trPr>
        <w:tc>
          <w:tcPr>
            <w:tcW w:type="dxa" w:w="3467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Gate de CI contra fork</w:t>
            </w:r>
          </w:p>
        </w:tc>
        <w:tc>
          <w:tcPr>
            <w:tcW w:type="dxa" w:w="673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Resource novo não altera o framework, e isso é verificado — não combinado.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13.2 Renomeado — mesma coisa, nome ajustado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059"/>
        <w:gridCol w:w="2855"/>
        <w:gridCol w:w="4285"/>
      </w:tblGrid>
      <w:tr>
        <w:trPr>
          <w:tblHeader w:val="true"/>
          <w:cantSplit/>
        </w:trPr>
        <w:tc>
          <w:tcPr>
            <w:tcW w:type="dxa" w:w="305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Hoje</w:t>
            </w:r>
          </w:p>
        </w:tc>
        <w:tc>
          <w:tcPr>
            <w:tcW w:type="dxa" w:w="285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Proposto</w:t>
            </w:r>
          </w:p>
        </w:tc>
        <w:tc>
          <w:tcPr>
            <w:tcW w:type="dxa" w:w="428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Intenção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VersionEditorTabsShell</w:t>
            </w:r>
          </w:p>
        </w:tc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ResourceShellScaffold</w:t>
            </w:r>
          </w:p>
        </w:tc>
        <w:tc>
          <w:tcPr>
            <w:tcW w:type="dxa" w:w="428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nome afirma que monta a VersionShell. Depois de servir as duas Shells, isso deixa de ser verdade, e nome que mente é o começo da divergência.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ApplicationVersionAdapter.vue</w:t>
            </w:r>
          </w:p>
        </w:tc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ApplicationAdapter.vue</w:t>
            </w:r>
          </w:p>
        </w:tc>
        <w:tc>
          <w:tcPr>
            <w:tcW w:type="dxa" w:w="428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Perde version porque passa a servir os dois modos. Forma e tamanho iguais.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edge-app-version-adapter.js</w:t>
            </w:r>
          </w:p>
        </w:tc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application-transform.ts</w:t>
            </w:r>
          </w:p>
        </w:tc>
        <w:tc>
          <w:tcPr>
            <w:tcW w:type="dxa" w:w="428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 adapter nomeia duas coisas: o transformador de payload e o componente fino. Dar dono único à palavra elimina uma colisão que já existe hoje.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edge-app-version-service.js</w:t>
            </w:r>
          </w:p>
        </w:tc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application-service.ts</w:t>
            </w:r>
          </w:p>
        </w:tc>
        <w:tc>
          <w:tcPr>
            <w:tcW w:type="dxa" w:w="428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Perde version pelo mesmo motivo do adapter.</w:t>
            </w:r>
          </w:p>
        </w:tc>
      </w:tr>
      <w:tr>
        <w:trPr>
          <w:cantSplit/>
        </w:trPr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VersionEditView / VersionEditScreen</w:t>
            </w:r>
          </w:p>
        </w:tc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ResourceEditScreen</w:t>
            </w:r>
          </w:p>
        </w:tc>
        <w:tc>
          <w:tcPr>
            <w:tcW w:type="dxa" w:w="428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Serve os dois modos.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13.3 Novo — o que não existe hoje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855"/>
        <w:gridCol w:w="7344"/>
      </w:tblGrid>
      <w:tr>
        <w:trPr>
          <w:tblHeader w:val="true"/>
          <w:cantSplit/>
        </w:trPr>
        <w:tc>
          <w:tcPr>
            <w:tcW w:type="dxa" w:w="285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Peça</w:t>
            </w:r>
          </w:p>
        </w:tc>
        <w:tc>
          <w:tcPr>
            <w:tcW w:type="dxa" w:w="7344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Por que é necessária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DefaultShell</w:t>
            </w:r>
          </w:p>
        </w:tc>
        <w:tc>
          <w:tcPr>
            <w:tcW w:type="dxa" w:w="734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 a edição direta usa um bloco de formulário legado, sem estado, sem policy e sem anatomia comum. Sem um componente irmão da VersionShell, cada correção precisa ser feita duas vezes, em bases de código diferentes.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ShellMode</w:t>
            </w:r>
          </w:p>
        </w:tc>
        <w:tc>
          <w:tcPr>
            <w:tcW w:type="dxa" w:w="734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Substitui o par resourceId e versionId espalhado em assinaturas. Torna inexprimível o estado inválido "versionado sem versão" e é o que a Shell deriva.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resolveMode e shellFor</w:t>
            </w:r>
          </w:p>
        </w:tc>
        <w:tc>
          <w:tcPr>
            <w:tcW w:type="dxa" w:w="734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Concentram num só lugar a decisão que hoje vive em três: guard de rota, ternário no import e switch de serviços.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AppContext com OpenFeature</w:t>
            </w:r>
          </w:p>
        </w:tc>
        <w:tc>
          <w:tcPr>
            <w:tcW w:type="dxa" w:w="734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fonte de sessão, permissões, modelo e tema. Hoje há duas fontes que dessincronizam, e a mesma flag é lida por quatro padrões.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AuthStrategy</w:t>
            </w:r>
          </w:p>
        </w:tc>
        <w:tc>
          <w:tcPr>
            <w:tcW w:type="dxa" w:w="734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Hoje três mecanismos coexistem sem interface comum, combinados por variável de build que muta estado global do cliente HTTP.</w:t>
            </w:r>
          </w:p>
        </w:tc>
      </w:tr>
      <w:tr>
        <w:trPr>
          <w:cantSplit/>
        </w:trPr>
        <w:tc>
          <w:tcPr>
            <w:tcW w:type="dxa" w:w="285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Máquina trivial do modo default</w:t>
            </w:r>
          </w:p>
        </w:tc>
        <w:tc>
          <w:tcPr>
            <w:tcW w:type="dxa" w:w="7344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Para a DefaultShell ser parametrizada e não um caso especial.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13.4 Modificação — o comportamento muda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Estas são as únicas em que discordo do Console atual. Cada uma com o motivo e o custo.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231"/>
        <w:gridCol w:w="1912"/>
        <w:gridCol w:w="3665"/>
        <w:gridCol w:w="2391"/>
      </w:tblGrid>
      <w:tr>
        <w:trPr>
          <w:tblHeader w:val="true"/>
          <w:cantSplit/>
        </w:trPr>
        <w:tc>
          <w:tcPr>
            <w:tcW w:type="dxa" w:w="223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Hoje</w:t>
            </w:r>
          </w:p>
        </w:tc>
        <w:tc>
          <w:tcPr>
            <w:tcW w:type="dxa" w:w="1912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Proposto</w:t>
            </w:r>
          </w:p>
        </w:tc>
        <w:tc>
          <w:tcPr>
            <w:tcW w:type="dxa" w:w="366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Motivo</w:t>
            </w:r>
          </w:p>
        </w:tc>
        <w:tc>
          <w:tcPr>
            <w:tcW w:type="dxa" w:w="239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Custo aceito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Barramento de comandos por nome de string</w:t>
            </w:r>
          </w:p>
        </w:tc>
        <w:tc>
          <w:tcPr>
            <w:tcW w:type="dxa" w:w="19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Objeto de capacidades tipado</w:t>
            </w:r>
          </w:p>
        </w:tc>
        <w:tc>
          <w:tcPr>
            <w:tcW w:type="dxa" w:w="366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correção depende de um detalhe de reatividade que o próprio Console documenta como armadilha: trocar o tipo inverte o gate e o formulário válido fica com o botão desabilitado. E emitir um nome sem quem atenda só falha executando.</w:t>
            </w:r>
          </w:p>
        </w:tc>
        <w:tc>
          <w:tcPr>
            <w:tcW w:type="dxa" w:w="239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Perde-se a possibilidade de qualquer descendente contribuir com um handler.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Remount forçado por chave de versão</w:t>
            </w:r>
          </w:p>
        </w:tc>
        <w:tc>
          <w:tcPr>
            <w:tcW w:type="dxa" w:w="19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Parâmetros reativos</w:t>
            </w:r>
          </w:p>
        </w:tc>
        <w:tc>
          <w:tcPr>
            <w:tcW w:type="dxa" w:w="366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remount existe para contornar captura de identificadores por valor na montagem, e custa o estado da interface — abas voltam ao início.</w:t>
            </w:r>
          </w:p>
        </w:tc>
        <w:tc>
          <w:tcPr>
            <w:tcW w:type="dxa" w:w="239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Exige atenção para que nada capture identificador por valor.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Ações teleportadas para elementos por id de DOM</w:t>
            </w:r>
          </w:p>
        </w:tc>
        <w:tc>
          <w:tcPr>
            <w:tcW w:type="dxa" w:w="19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Região provida pelo layout</w:t>
            </w:r>
          </w:p>
        </w:tc>
        <w:tc>
          <w:tcPr>
            <w:tcW w:type="dxa" w:w="366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Acoplamento por id é invisível ao tipo e exige guarda de montagem.</w:t>
            </w:r>
          </w:p>
        </w:tc>
        <w:tc>
          <w:tcPr>
            <w:tcW w:type="dxa" w:w="239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região passa a ser responsabilidade do layout.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Ação de deploy como comando com função vazia</w:t>
            </w:r>
          </w:p>
        </w:tc>
        <w:tc>
          <w:tcPr>
            <w:tcW w:type="dxa" w:w="19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Navegação fora do conjunto de capacidades</w:t>
            </w:r>
          </w:p>
        </w:tc>
        <w:tc>
          <w:tcPr>
            <w:tcW w:type="dxa" w:w="366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ação sem efeito no domínio não é capacidade, e o significado dela fica em três arquivos.</w:t>
            </w:r>
          </w:p>
        </w:tc>
        <w:tc>
          <w:tcPr>
            <w:tcW w:type="dxa" w:w="239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barra precisa distinguir ação de navegação.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Duas variantes de tela de listagem</w:t>
            </w:r>
          </w:p>
        </w:tc>
        <w:tc>
          <w:tcPr>
            <w:tcW w:type="dxa" w:w="19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Uma, com a prop bare para o caso simples</w:t>
            </w:r>
          </w:p>
        </w:tc>
        <w:tc>
          <w:tcPr>
            <w:tcW w:type="dxa" w:w="366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É a divergência que o framework existe para evitar.</w:t>
            </w:r>
          </w:p>
        </w:tc>
        <w:tc>
          <w:tcPr>
            <w:tcW w:type="dxa" w:w="239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Uma das duas telas precisa ser migrada.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Comment obrigatório validado dentro do serviço</w:t>
            </w:r>
          </w:p>
        </w:tc>
        <w:tc>
          <w:tcPr>
            <w:tcW w:type="dxa" w:w="1912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Precondição declarada na ação</w:t>
            </w:r>
          </w:p>
        </w:tc>
        <w:tc>
          <w:tcPr>
            <w:tcW w:type="dxa" w:w="366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 serviço não é lugar de regra de interface.</w:t>
            </w:r>
          </w:p>
        </w:tc>
        <w:tc>
          <w:tcPr>
            <w:tcW w:type="dxa" w:w="239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Precisa de um lugar para declarar precondição.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4ED" w:val="clear"/>
            <w:tcBorders>
              <w:top w:val="single" w:sz="10" w:color="F3652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F3652B"/>
                <w:sz w:val="15"/>
              </w:rPr>
              <w:t>COMO LER ESTA SEÇÃO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O que está em 13.1 não deve ser rediscutido: já foi provado em produção. O que está em 13.4 são as seis discordâncias, e cada uma pode ser recusada individualmente sem afetar o resto do desenho — nenhuma delas é pré-requisito de outra.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O QUE ESTE DOCUMENTO JÁ AFIRMOU E ESTAVA ERRADO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Versões anteriores propuseram artefatos inexistentes no Console atual — Form e Fields como componentes separados, capabilities e support como arquivos próprios — e chegaram a sugerir que a Shell construísse o formulário. Tudo removido. O registro fica para que a mesma proposta não volte por esquecimento: a Shell é dona do lugar do formulário na árvore, não da sua construção.</w:t>
            </w:r>
          </w:p>
        </w:tc>
      </w:tr>
    </w:tbl>
    <w:p xmlns:a="http://schemas.openxmlformats.org/drawingml/2006/main" xmlns:pic="http://schemas.openxmlformats.org/drawingml/2006/picture">
      <w:pPr>
        <w:pStyle w:val="Heading1"/>
      </w:pPr>
      <w:r>
        <w:t xml:space="preserve">14. Repositório aberto e whitelabel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repositório é de código aberto e precisa permitir whitelabel. Isso não é só licença: é restrição de desenho. Nada específico da Azion, do time ou do ambiente pode estar cravado no código, e o deploy vive em outro repositório, com infraestrutura como código.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CFDF3" w:val="clear"/>
            <w:tcBorders>
              <w:top w:val="single" w:sz="10" w:color="2F855A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2F855A"/>
                <w:sz w:val="15"/>
              </w:rPr>
              <w:t>POR QUE ISSO TESTA A ARQUITETURA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Se uma constante não puder ser externalizada com valor de exemplo, é porque existe regra de negócio escondida onde deveria haver configuração. A exigência do whitelabel funciona como verificação: o que não sai para constante é acoplamento que ninguém tinha declarado.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14.1 O que não entra neste repositório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651"/>
        <w:gridCol w:w="3059"/>
        <w:gridCol w:w="4489"/>
      </w:tblGrid>
      <w:tr>
        <w:trPr>
          <w:tblHeader w:val="true"/>
          <w:cantSplit/>
        </w:trPr>
        <w:tc>
          <w:tcPr>
            <w:tcW w:type="dxa" w:w="265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Fora</w:t>
            </w:r>
          </w:p>
        </w:tc>
        <w:tc>
          <w:tcPr>
            <w:tcW w:type="dxa" w:w="305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Onde vive</w:t>
            </w:r>
          </w:p>
        </w:tc>
        <w:tc>
          <w:tcPr>
            <w:tcW w:type="dxa" w:w="448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Deploy e infraestrutura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repositório de IaC</w:t>
            </w:r>
          </w:p>
        </w:tc>
        <w:tc>
          <w:tcPr>
            <w:tcW w:type="dxa" w:w="448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Ambiente e provisionamento não são código de aplicação.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Segredos e credenciais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ambiente do operador</w:t>
            </w:r>
          </w:p>
        </w:tc>
        <w:tc>
          <w:tcPr>
            <w:tcW w:type="dxa" w:w="448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Nunca versionados.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Endpoints internos cravados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constante com valor padrão</w:t>
            </w:r>
          </w:p>
        </w:tc>
        <w:tc>
          <w:tcPr>
            <w:tcW w:type="dxa" w:w="448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Um fork precisa apontar para a própria API.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Regras de processo do time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fora do repositório</w:t>
            </w:r>
          </w:p>
        </w:tc>
        <w:tc>
          <w:tcPr>
            <w:tcW w:type="dxa" w:w="448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Formato de commit, nome de branch e política de revisão são do time, não da arquitetura. Um fork não herda o processo da Azion.</w:t>
            </w:r>
          </w:p>
        </w:tc>
      </w:tr>
      <w:tr>
        <w:trPr>
          <w:cantSplit/>
        </w:trPr>
        <w:tc>
          <w:tcPr>
            <w:tcW w:type="dxa" w:w="265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Rota de servidor de credencial</w:t>
            </w:r>
          </w:p>
        </w:tc>
        <w:tc>
          <w:tcPr>
            <w:tcW w:type="dxa" w:w="305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opcional, publicada pelo operador</w:t>
            </w:r>
          </w:p>
        </w:tc>
        <w:tc>
          <w:tcPr>
            <w:tcW w:type="dxa" w:w="448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variante bff-session depende dela; sem ela o modo padrão continua funcionando.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14.2 A regra das constantes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Toda variável tem quatro coisas no mesmo lugar: valor padrão, origem, valores possíveis e comentário. Sem isso, quem clona precisa ler o código para descobrir o que configurar.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O formato obrigatório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TYPESCRIPT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// app/core/config/constants.ts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export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API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=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{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da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API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da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plataforma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origem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NUXT_PUBLIC_API_BASE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exemplo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'https://api.azion.com'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'https://api.meudominio.com'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padrao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vazio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falha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bootstrap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mensagem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explicita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     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vez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apontar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para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um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host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terceiro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em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silencio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base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''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,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Modelo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configuracao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quando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nao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houver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flag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avaliada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origem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NUXT_PUBLIC_DEFAULT_CONFIGURATION_MODEL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valores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'v4'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|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'v6'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padrao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'v3'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o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mais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conservador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 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*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/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defaultModel</w:t>
            </w:r>
            <w:r>
              <w:rPr>
                <w:rFonts w:ascii="Consolas" w:hAnsi="Consolas" w:cs="Consolas" w:eastAsia="Consolas"/>
                <w:color w:val="475467"/>
                <w:sz w:val="16"/>
              </w:rPr>
              <w:t xml:space="preserve">: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067647"/>
                <w:sz w:val="16"/>
              </w:rPr>
              <w:t xml:space="preserve">'v3'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20  </w:t>
            </w:r>
            <w:r>
              <w:rPr>
                <w:rFonts w:ascii="Consolas" w:hAnsi="Consolas" w:cs="Consolas" w:eastAsia="Consolas"/>
                <w:color w:val="667085"/>
                <w:sz w:val="16"/>
              </w:rPr>
              <w:t xml:space="preserve">}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as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 </w:t>
            </w:r>
            <w:r>
              <w:rPr>
                <w:rFonts w:ascii="Consolas" w:hAnsi="Consolas" w:cs="Consolas" w:eastAsia="Consolas"/>
                <w:color w:val="B54708"/>
                <w:sz w:val="16"/>
              </w:rPr>
              <w:t xml:space="preserve">const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EF3F2" w:val="clear"/>
            <w:tcBorders>
              <w:top w:val="single" w:sz="10" w:color="C2413B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C2413B"/>
                <w:sz w:val="15"/>
              </w:rPr>
              <w:t>POR QUE O PADRÃO DA BASE É VAZIO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 valor padrão apontando para a API da Azion faria um fork mal configurado enviar dados para infraestrutura de terceiro sem avisar. Vazio falha no bootstrap com mensagem clara. Falha explícita é preferível a comportamento silencioso.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arquivo de exemplo de ambiente é artefato de primeira classe, não conveniência: ele é a documentação executável do whitelabel.</w:t>
      </w: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7F8FA" w:val="clear"/>
            <w:tcBorders>
              <w:top w:val="single" w:sz="16" w:color="F3652B"/>
              <w:left w:val="single" w:sz="5" w:color="D0D5DD"/>
              <w:bottom w:val="single" w:sz="5" w:color="D0D5DD"/>
              <w:right w:val="single" w:sz="5" w:color="D0D5DD"/>
            </w:tcBorders>
            <w:tcMar>
              <w:top w:w="105" w:type="dxa"/>
              <w:start w:w="155" w:type="dxa"/>
              <w:bottom w:w="125" w:type="dxa"/>
              <w:end w:w="145" w:type="dxa"/>
            </w:tcMar>
          </w:tcPr>
          <w:p>
            <w:pPr>
              <w:tabs>
                <w:tab w:pos="8352" w:val="left"/>
              </w:tabs>
              <w:spacing w:after="100"/>
              <w:pBdr>
                <w:bottom w:val="single" w:sz="5" w:space="4" w:color="D0D5DD"/>
              </w:pBdr>
            </w:pPr>
            <w:r/>
            <w:r>
              <w:rPr>
                <w:rFonts w:ascii="Arial" w:hAnsi="Arial" w:cs="Arial" w:eastAsia="Arial"/>
                <w:b/>
                <w:color w:val="243041"/>
                <w:sz w:val="17"/>
              </w:rPr>
              <w:t>[PROPOSTO] .env.example — comentado, versionado</w:t>
            </w:r>
            <w:r>
              <w:rPr>
                <w:rFonts w:ascii="Consolas" w:hAnsi="Consolas" w:cs="Consolas" w:eastAsia="Consolas"/>
                <w:b/>
                <w:color w:val="F3652B"/>
                <w:sz w:val="14"/>
              </w:rPr>
              <w:tab/>
              <w:t>TREE</w:t>
            </w:r>
          </w:p>
          <w:p>
            <w:pPr>
              <w:keepLines/>
              <w:spacing w:before="80" w:after="0" w:line="230" w:lineRule="exact"/>
            </w:pP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---- API da plataforma ----------------------------------------------------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2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Obrigatorio. Sem isso a aplicacao falha no bootstrap.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NUXT_PUBLIC_API_BASE=https://api.exemplo.com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4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---- Credencial -----------------------------------------------------------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6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hybrid | jwt | personal-token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hybrid reproduz o comportamento do Console atual.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NUXT_PUBLIC_CREDENTIAL_MODE=hybrid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 9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10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Somente no modo personal-token. Nunca versionar valor real.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11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NUXT_PERSONAL_TOKEN=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12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13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---- Modelo de configuracao ----------------------------------------------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14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v3 | v4 | v6 — usado quando nao houver flag avaliada.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15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NUXT_PUBLIC_DEFAULT_CONFIGURATION_MODEL=v3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16  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17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---- Feature flags -------------------------------------------------------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18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# Endpoint OFREP, se houver. Vazio usa os valores padrao dos flags.</w:t>
            </w:r>
            <w:r>
              <w:br/>
            </w:r>
            <w:r>
              <w:rPr>
                <w:rFonts w:ascii="Consolas" w:hAnsi="Consolas" w:cs="Consolas" w:eastAsia="Consolas"/>
                <w:color w:val="98A2B3"/>
                <w:sz w:val="16"/>
              </w:rPr>
              <w:t xml:space="preserve">19  </w:t>
            </w:r>
            <w:r>
              <w:rPr>
                <w:rFonts w:ascii="Consolas" w:hAnsi="Consolas" w:cs="Consolas" w:eastAsia="Consolas"/>
                <w:color w:val="243041"/>
                <w:sz w:val="16"/>
              </w:rPr>
              <w:t xml:space="preserve">NUXT_PUBLIC_OFREP_URL=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14.3 Guardrails: arquitetura fica, processo sai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corte é este: regra que valida a arquitetura fica no repositório, porque um fork quer herdá-la. Regra que valida o processo do time sai, porque um fork tem outro processo.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3688"/>
        <w:gridCol w:w="5425"/>
        <w:gridCol w:w="1086"/>
      </w:tblGrid>
      <w:tr>
        <w:trPr>
          <w:tblHeader w:val="true"/>
          <w:cantSplit/>
        </w:trPr>
        <w:tc>
          <w:tcPr>
            <w:tcW w:type="dxa" w:w="368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Guardrail</w:t>
            </w:r>
          </w:p>
        </w:tc>
        <w:tc>
          <w:tcPr>
            <w:tcW w:type="dxa" w:w="5425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verifica</w:t>
            </w:r>
          </w:p>
        </w:tc>
        <w:tc>
          <w:tcPr>
            <w:tcW w:type="dxa" w:w="1086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Fica?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Lint de fronteira de import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core nunca importa domínio; resource não importa resource.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Teste de enumeração estado × ações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A matriz é a única fonte; nenhuma Shell tem condicional por resource.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Checagem de constante sem documentação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Toda constante exportada tem padrão, origem e valores possíveis.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Checagem de leitura de ambiente fora de config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Nenhum arquivo além de config lê variável de ambiente.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Teste de ausência de chunk com modo direto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Nada de versioning é baixado quando o modo não é versionado.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Formato de mensagem de commit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convenção de escrita do time.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Nome de branch e política de revisão</w:t>
            </w:r>
          </w:p>
        </w:tc>
        <w:tc>
          <w:tcPr>
            <w:tcW w:type="dxa" w:w="5425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processo interno.</w:t>
            </w:r>
          </w:p>
        </w:tc>
        <w:tc>
          <w:tcPr>
            <w:tcW w:type="dxa" w:w="1086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não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EF4FF" w:val="clear"/>
            <w:tcBorders>
              <w:top w:val="single" w:sz="10" w:color="3578E5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3578E5"/>
                <w:sz w:val="15"/>
              </w:rPr>
              <w:t>O HOOK VALIDA A ARQUITETURA, NÃO O AUTOR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 hook de pre-commit que roda lint de fronteira e o teste de enumeração é bem-vindo no repositório aberto: ele protege invariantes. Um hook que exige prefixo em mensagem de commit impõe processo, e um fork o remove na primeira semana.</w:t>
            </w:r>
          </w:p>
        </w:tc>
      </w:tr>
    </w:tbl>
    <w:p xmlns:a="http://schemas.openxmlformats.org/drawingml/2006/main" xmlns:pic="http://schemas.openxmlformats.org/drawingml/2006/picture">
      <w:pPr>
        <w:pStyle w:val="Heading2"/>
      </w:pPr>
      <w:r>
        <w:t xml:space="preserve">14.4 CLAUDE.md e skills</w:t>
      </w: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O mesmo filtro se aplica à documentação para agentes. Arquitetura entra; processo não.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5609"/>
        <w:gridCol w:w="4590"/>
      </w:tblGrid>
      <w:tr>
        <w:trPr>
          <w:tblHeader w:val="true"/>
          <w:cantSplit/>
        </w:trPr>
        <w:tc>
          <w:tcPr>
            <w:tcW w:type="dxa" w:w="5609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Entra no CLAUDE.md</w:t>
            </w:r>
          </w:p>
        </w:tc>
        <w:tc>
          <w:tcPr>
            <w:tcW w:type="dxa" w:w="459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Não entra</w:t>
            </w:r>
          </w:p>
        </w:tc>
      </w:tr>
      <w:tr>
        <w:trPr>
          <w:cantSplit/>
        </w:trPr>
        <w:tc>
          <w:tcPr>
            <w:tcW w:type="dxa" w:w="560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A direção de dependência entre módulos e o que o lint bloqueia.</w:t>
            </w:r>
          </w:p>
        </w:tc>
        <w:tc>
          <w:tcPr>
            <w:tcW w:type="dxa" w:w="459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Como abrir pull request.</w:t>
            </w:r>
          </w:p>
        </w:tc>
      </w:tr>
      <w:tr>
        <w:trPr>
          <w:cantSplit/>
        </w:trPr>
        <w:tc>
          <w:tcPr>
            <w:tcW w:type="dxa" w:w="560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Que a matriz de estados é a única fonte de ações.</w:t>
            </w:r>
          </w:p>
        </w:tc>
        <w:tc>
          <w:tcPr>
            <w:tcW w:type="dxa" w:w="459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Quem revisa o quê.</w:t>
            </w:r>
          </w:p>
        </w:tc>
      </w:tr>
      <w:tr>
        <w:trPr>
          <w:cantSplit/>
        </w:trPr>
        <w:tc>
          <w:tcPr>
            <w:tcW w:type="dxa" w:w="560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Que nenhum arquivo além de config lê ambiente.</w:t>
            </w:r>
          </w:p>
        </w:tc>
        <w:tc>
          <w:tcPr>
            <w:tcW w:type="dxa" w:w="459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Cadência de release.</w:t>
            </w:r>
          </w:p>
        </w:tc>
      </w:tr>
      <w:tr>
        <w:trPr>
          <w:cantSplit/>
        </w:trPr>
        <w:tc>
          <w:tcPr>
            <w:tcW w:type="dxa" w:w="560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Que o editor não importa service nem lê flag.</w:t>
            </w:r>
          </w:p>
        </w:tc>
        <w:tc>
          <w:tcPr>
            <w:tcW w:type="dxa" w:w="459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Nome de branch.</w:t>
            </w:r>
          </w:p>
        </w:tc>
      </w:tr>
      <w:tr>
        <w:trPr>
          <w:cantSplit/>
        </w:trPr>
        <w:tc>
          <w:tcPr>
            <w:tcW w:type="dxa" w:w="5609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Onde consultar o catálogo de componentes.</w:t>
            </w:r>
          </w:p>
        </w:tc>
        <w:tc>
          <w:tcPr>
            <w:tcW w:type="dxa" w:w="459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Ferramenta de gestão de tarefas.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p xmlns:a="http://schemas.openxmlformats.org/drawingml/2006/main" xmlns:pic="http://schemas.openxmlformats.org/drawingml/2006/picture">
      <w:pPr>
        <w:spacing w:after="140" w:line="276" w:lineRule="auto"/>
        <w:jc w:val="both"/>
      </w:pPr>
      <w:r>
        <w:rPr>
          <w:rFonts w:ascii="Arial" w:hAnsi="Arial" w:eastAsia="Arial" w:cs="Arial"/>
          <w:color w:val="243041"/>
          <w:sz w:val="20"/>
        </w:rPr>
        <w:t xml:space="preserve">As skills são procedimentos executáveis, uma por tarefa recorrente. Cada uma nomeia os artefatos a criar, a ordem, e o guardrail que verifica o resultado.</w:t>
      </w:r>
    </w:p>
    <w:tbl xmlns:a="http://schemas.openxmlformats.org/drawingml/2006/main" xmlns:pic="http://schemas.openxmlformats.org/drawingml/2006/picture"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5" w:space="0" w:color="E5E5E5"/>
          <w:left w:val="single" w:sz="5" w:space="0" w:color="E5E5E5"/>
          <w:bottom w:val="single" w:sz="5" w:space="0" w:color="E5E5E5"/>
          <w:right w:val="single" w:sz="5" w:space="0" w:color="E5E5E5"/>
          <w:insideH w:val="single" w:sz="5" w:space="0" w:color="E5E5E5"/>
          <w:insideV w:val="single" w:sz="5" w:space="0" w:color="E5E5E5"/>
        </w:tblBorders>
      </w:tblPr>
      <w:tblGrid>
        <w:gridCol w:w="2501"/>
        <w:gridCol w:w="4810"/>
        <w:gridCol w:w="2888"/>
      </w:tblGrid>
      <w:tr>
        <w:trPr>
          <w:tblHeader w:val="true"/>
          <w:cantSplit/>
        </w:trPr>
        <w:tc>
          <w:tcPr>
            <w:tcW w:type="dxa" w:w="2501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Skill</w:t>
            </w:r>
          </w:p>
        </w:tc>
        <w:tc>
          <w:tcPr>
            <w:tcW w:type="dxa" w:w="4810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O que cobre</w:t>
            </w:r>
          </w:p>
        </w:tc>
        <w:tc>
          <w:tcPr>
            <w:tcW w:type="dxa" w:w="2888"/>
            <w:vAlign w:val="center"/>
            <w:shd w:fill="F2F4F7" w:val="clear"/>
            <w:tcBorders>
              <w:top w:val="single" w:sz="14" w:color="F3652B"/>
              <w:left w:val="single" w:sz="3" w:color="E4E7EC"/>
              <w:bottom w:val="single" w:sz="7" w:color="D0D5DD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Criar um service de resource</w:t>
            </w:r>
          </w:p>
        </w:tc>
        <w:tc>
          <w:tcPr>
            <w:tcW w:type="dxa" w:w="48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Declaração da API por geração, transform de payload, e o service que estende a base.</w:t>
            </w:r>
          </w:p>
        </w:tc>
        <w:tc>
          <w:tcPr>
            <w:tcW w:type="dxa" w:w="28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Lint de fronteira e teste do transform.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Criar uma ação no Shell</w:t>
            </w:r>
          </w:p>
        </w:tc>
        <w:tc>
          <w:tcPr>
            <w:tcW w:type="dxa" w:w="48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Nomear no union, declarar nas linhas da matriz, abrir método opcional no contrato, implementar no Adapter do resource que suporta.</w:t>
            </w:r>
          </w:p>
        </w:tc>
        <w:tc>
          <w:tcPr>
            <w:tcW w:type="dxa" w:w="28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Teste de enumeração estado × ações.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Criar um resource completo</w:t>
            </w:r>
          </w:p>
        </w:tc>
        <w:tc>
          <w:tcPr>
            <w:tcW w:type="dxa" w:w="48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Os artefatos da seção 12, na ordem, mais a rota e o item de navegação.</w:t>
            </w:r>
          </w:p>
        </w:tc>
        <w:tc>
          <w:tcPr>
            <w:tcW w:type="dxa" w:w="28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Gate de CI: nenhum arquivo compartilhado alterado.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/>
                <w:color w:val="243041"/>
                <w:sz w:val="17"/>
              </w:rPr>
              <w:t xml:space="preserve">Usar componentes do design system</w:t>
            </w:r>
          </w:p>
        </w:tc>
        <w:tc>
          <w:tcPr>
            <w:tcW w:type="dxa" w:w="4810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Consultar o catálogo por MCP, nunca escrever primitive à mão, nunca duplicar token.</w:t>
            </w:r>
          </w:p>
        </w:tc>
        <w:tc>
          <w:tcPr>
            <w:tcW w:type="dxa" w:w="2888"/>
            <w:vAlign w:val="center"/>
            <w:shd w:fill="FFFFFF" w:val="clear"/>
            <w:tcBorders>
              <w:top w:val="single" w:sz="3" w:color="E2E8F0"/>
              <w:left w:val="single" w:sz="3" w:color="E4E7EC"/>
              <w:bottom w:val="single" w:sz="4" w:color="E4E7EC"/>
              <w:right w:val="single" w:sz="3" w:color="E4E7EC"/>
            </w:tcBorders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before="0" w:after="0" w:line="254" w:lineRule="auto"/>
            </w:pPr>
            <w:r>
              <w:rPr>
                <w:rFonts w:ascii="Arial" w:hAnsi="Arial" w:eastAsia="Arial" w:cs="Arial"/>
                <w:b w:val="0"/>
                <w:color w:val="243041"/>
                <w:sz w:val="17"/>
              </w:rPr>
              <w:t xml:space="preserve">Lint que proíbe cor e tipografia fora de token.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POR QUE A SKILL DE COMPONENTES CONSULTA, EM VEZ DE LISTAR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Uma lista de componentes escrita à mão fica desatualizada a cada release do design system. O catálogo por MCP é gerado do próprio pacote, então a skill ensina a consultar. Pelo mesmo motivo, os exemplos de campo neste documento são ilustrativos: a API real dos componentes é a do catálogo, não a que está escrita aqui.</w:t>
            </w:r>
          </w:p>
        </w:tc>
      </w:tr>
    </w:tbl>
    <w:p xmlns:a="http://schemas.openxmlformats.org/drawingml/2006/main" xmlns:pic="http://schemas.openxmlformats.org/drawingml/2006/picture">
      <w:pPr>
        <w:spacing w:after="0" w:line="120" w:lineRule="exact"/>
      </w:pPr>
    </w:p>
    <w:tbl xmlns:a="http://schemas.openxmlformats.org/drawingml/2006/main" xmlns:pic="http://schemas.openxmlformats.org/drawingml/2006/picture"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FFFAEB" w:val="clear"/>
            <w:tcBorders>
              <w:top w:val="single" w:sz="10" w:color="9A6700"/>
              <w:left w:val="single" w:sz="3" w:color="E4E7EC"/>
              <w:bottom w:val="single" w:sz="3" w:color="E4E7EC"/>
              <w:right w:val="single" w:sz="3" w:color="E4E7EC"/>
            </w:tcBorders>
            <w:vAlign w:val="center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 w:eastAsia="Arial"/>
                <w:b/>
                <w:color w:val="9A6700"/>
                <w:sz w:val="15"/>
              </w:rPr>
              <w:t>SUPOSIÇÃO A CONFIRMAR — QUANDO O CATÁLOGO É CONSULTADO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 w:eastAsia="Arial"/>
                <w:color w:val="243041"/>
                <w:sz w:val="19"/>
              </w:rPr>
              <w:t xml:space="preserve">Este documento assume que o catálogo por MCP é ferramenta de autoria: consultado enquanto se escreve o código, ausente da aplicação em execução. Se a aplicação também consultar em runtime, ele passa a ser dependência de execução e precisa constar entre as dependências da fundação, com política de cache e comportamento quando estiver indisponível.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21"/>
      <w:footerReference w:type="first" r:id="rId22"/>
      <w:headerReference w:type="even" r:id="rId27"/>
      <w:footerReference w:type="even" r:id="rId28"/>
      <w:pgSz w:w="12240" w:h="15840"/>
      <w:pgMar w:top="1123" w:right="1296" w:bottom="979" w:left="1296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ora">
    <w:altName w:val="Roboto"/>
    <w:family w:val="swiss"/>
    <w:pitch w:val="variable"/>
  </w:font>
  <w:font w:name="Proto Mono">
    <w:altName w:val="Roboto Condensed"/>
    <w:family w:val="modern"/>
    <w:pitch w:val="variable"/>
  </w:font>
  <w:font w:name="Roboto Mono">
    <w:altName w:val="Liberation Mono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788"/>
      <w:gridCol w:w="4788"/>
    </w:tblGrid>
    <w:tr>
      <w:tc>
        <w:tcPr>
          <w:tcW w:type="dxa" w:w="4788"/>
          <w:tcMar>
            <w:top w:w="40" w:type="dxa"/>
            <w:start w:w="0" w:type="dxa"/>
            <w:bottom w:w="0" w:type="dxa"/>
            <w:end w:w="0" w:type="dxa"/>
          </w:tcMar>
          <w:tcBorders>
            <w:top w:val="single" w:sz="5" w:color="E4E7EC"/>
          </w:tcBorders>
        </w:tcPr>
        <w:p>
          <w:r>
            <w:rPr>
              <w:rFonts w:ascii="Arial" w:hAnsi="Arial" w:cs="Arial" w:eastAsia="Arial"/>
              <w:color w:val="667085"/>
              <w:sz w:val="15"/>
            </w:rPr>
            <w:t>Arquitetura do novo Console Azion</w:t>
          </w:r>
        </w:p>
      </w:tc>
      <w:tc>
        <w:tcPr>
          <w:tcW w:type="dxa" w:w="4788"/>
          <w:tcMar>
            <w:top w:w="40" w:type="dxa"/>
            <w:start w:w="0" w:type="dxa"/>
            <w:bottom w:w="0" w:type="dxa"/>
            <w:end w:w="0" w:type="dxa"/>
          </w:tcMar>
          <w:tcBorders>
            <w:top w:val="single" w:sz="5" w:color="E4E7EC"/>
          </w:tcBorders>
        </w:tcPr>
        <w:p>
          <w:pPr>
            <w:jc w:val="right"/>
          </w:pPr>
          <w:r>
            <w:rPr>
              <w:rFonts w:ascii="Arial" w:hAnsi="Arial" w:cs="Arial" w:eastAsia="Arial"/>
              <w:color w:val="667085"/>
              <w:sz w:val="15"/>
            </w:rPr>
            <w:t xml:space="preserve">p. </w:t>
          </w:r>
          <w:r>
            <w:rPr>
              <w:rFonts w:ascii="Arial" w:hAnsi="Arial" w:cs="Arial" w:eastAsia="Arial"/>
              <w:color w:val="667085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788"/>
      <w:gridCol w:w="4788"/>
    </w:tblGrid>
    <w:tr>
      <w:tc>
        <w:tcPr>
          <w:tcW w:type="dxa" w:w="4788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6" w:color="E4E7EC"/>
          </w:tcBorders>
        </w:tcPr>
        <w:p>
          <w:r>
            <w:rPr>
              <w:rFonts w:ascii="Arial" w:hAnsi="Arial" w:cs="Arial" w:eastAsia="Arial"/>
              <w:b/>
              <w:color w:val="F3652B"/>
              <w:sz w:val="14"/>
            </w:rPr>
            <w:t>AZION  /  CONSOLE ARCHITECTURE</w:t>
          </w:r>
        </w:p>
      </w:tc>
      <w:tc>
        <w:tcPr>
          <w:tcW w:type="dxa" w:w="4788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6" w:color="E4E7EC"/>
          </w:tcBorders>
        </w:tcPr>
        <w:p>
          <w:pPr>
            <w:jc w:val="right"/>
          </w:pPr>
          <w:r>
            <w:rPr>
              <w:rFonts w:ascii="Arial" w:hAnsi="Arial" w:cs="Arial" w:eastAsia="Arial"/>
              <w:b/>
              <w:color w:val="667085"/>
              <w:sz w:val="14"/>
            </w:rPr>
            <w:t>SHELLS E ESCOPO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1" w:lineRule="auto"/>
    </w:pPr>
    <w:rPr>
      <w:rFonts w:ascii="Arial" w:hAnsi="Arial" w:eastAsia="Arial" w:cs="Arial"/>
      <w:b w:val="0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43041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430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2430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4" w:lineRule="auto"/>
      <w:contextualSpacing/>
    </w:pPr>
    <w:rPr>
      <w:rFonts w:ascii="Arial" w:hAnsi="Arial" w:eastAsia="Arial" w:cs="Arial"/>
      <w:b w:val="0"/>
      <w:color w:val="24304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4" w:lineRule="auto"/>
      <w:contextualSpacing/>
    </w:pPr>
    <w:rPr>
      <w:rFonts w:ascii="Arial" w:hAnsi="Arial" w:eastAsia="Arial" w:cs="Arial"/>
      <w:b w:val="0"/>
      <w:color w:val="24304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40"/>
      <w:jc w:val="center"/>
    </w:pPr>
    <w:rPr>
      <w:rFonts w:ascii="Sora" w:hAnsi="Sora" w:eastAsia="Sora" w:cs="Sora"/>
      <w:b w:val="0"/>
      <w:bCs/>
      <w:i/>
      <w:color w:val="666666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nuxt.com/docs/4.x/guide/going-further/layers" TargetMode="External"/><Relationship Id="rId14" Type="http://schemas.openxmlformats.org/officeDocument/2006/relationships/hyperlink" Target="https://nuxt.com/docs/4.x/directory-structure/layers" TargetMode="External"/><Relationship Id="rId15" Type="http://schemas.openxmlformats.org/officeDocument/2006/relationships/hyperlink" Target="https://nuxt.com/docs/4.x/directory-structure/app/middleware" TargetMode="External"/><Relationship Id="rId16" Type="http://schemas.openxmlformats.org/officeDocument/2006/relationships/hyperlink" Target="https://nuxt.com/docs/4.x/directory-structure/app/components" TargetMode="External"/><Relationship Id="rId17" Type="http://schemas.openxmlformats.org/officeDocument/2006/relationships/hyperlink" Target="https://nuxt.com/docs/4.x/directory-structure/app/pages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header" Target="header3.xml"/><Relationship Id="rId2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Strategies de Resource no Console Azion</dc:title>
  <dc:subject>Azion WebKit, Nuxt Layers e versionamento por feature flag em runtime</dc:subject>
  <dc:creator>Azion Console Architecture</dc:creator>
  <cp:keywords>Azion, Nuxt, WebKit, AppShell, versioning, feature flag, architecture</cp:keywords>
  <dc:description>Revisão 2.0 consolidada em 3 de agosto de 2026.</dc:description>
  <cp:lastModifiedBy>Azion Console Engineering</cp:lastModifiedBy>
  <cp:revision>1</cp:revision>
  <dcterms:created xsi:type="dcterms:W3CDTF">2013-12-23T23:15:00Z</dcterms:created>
  <dcterms:modified xsi:type="dcterms:W3CDTF">2013-12-23T23:15:00Z</dcterms:modified>
  <cp:category/>
</cp:coreProperties>
</file>