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3106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Manual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do usuário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- Avaliador IFCiência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3106"/>
                <wp:effectExtent b="0" l="0" r="0" t="0"/>
                <wp:wrapNone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99" cy="733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700"/>
        </w:tabs>
        <w:rPr/>
        <w:sectPr>
          <w:headerReference r:id="rId10" w:type="first"/>
          <w:footerReference r:id="rId11" w:type="first"/>
          <w:pgSz w:h="16840" w:w="11907"/>
          <w:pgMar w:bottom="851" w:top="851" w:left="1418" w:right="851" w:header="851" w:footer="851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Avaliador IFCiência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641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uk4uzhudeg2c">
            <w:r w:rsidDel="00000000" w:rsidR="00000000" w:rsidRPr="00000000">
              <w:rPr>
                <w:b w:val="1"/>
                <w:rtl w:val="0"/>
              </w:rPr>
              <w:t xml:space="preserve">Iniciação do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_heading=h.uk4uzhudeg2c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41"/>
            </w:tabs>
            <w:spacing w:before="200" w:line="240" w:lineRule="auto"/>
            <w:ind w:left="0" w:firstLine="0"/>
            <w:rPr/>
          </w:pPr>
          <w:hyperlink w:anchor="_heading=h.wwhk28qucdlw"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_heading=h.wwhk28qucdlw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41"/>
            </w:tabs>
            <w:spacing w:before="60" w:line="240" w:lineRule="auto"/>
            <w:ind w:left="360" w:firstLine="0"/>
            <w:rPr/>
          </w:pPr>
          <w:hyperlink w:anchor="_heading=h.501eyh728xly">
            <w:r w:rsidDel="00000000" w:rsidR="00000000" w:rsidRPr="00000000">
              <w:rPr>
                <w:rtl w:val="0"/>
              </w:rPr>
              <w:t xml:space="preserve">Avaliar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_heading=h.501eyh728xly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41"/>
            </w:tabs>
            <w:spacing w:before="60" w:line="240" w:lineRule="auto"/>
            <w:ind w:left="360" w:firstLine="0"/>
            <w:rPr/>
          </w:pPr>
          <w:hyperlink w:anchor="_heading=h.f7uc5vrw5if7">
            <w:r w:rsidDel="00000000" w:rsidR="00000000" w:rsidRPr="00000000">
              <w:rPr>
                <w:rtl w:val="0"/>
              </w:rPr>
              <w:t xml:space="preserve">Avaliações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_heading=h.f7uc5vrw5if7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41"/>
            </w:tabs>
            <w:spacing w:after="80" w:before="60" w:line="240" w:lineRule="auto"/>
            <w:ind w:left="360" w:firstLine="0"/>
            <w:rPr/>
          </w:pPr>
          <w:hyperlink w:anchor="_heading=h.m0q26i2chiuf">
            <w:r w:rsidDel="00000000" w:rsidR="00000000" w:rsidRPr="00000000">
              <w:rPr>
                <w:rtl w:val="0"/>
              </w:rPr>
              <w:t xml:space="preserve">Sincronizar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_heading=h.m0q26i2chiuf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xl0ecrxye1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yzijqcrah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141.73228346456688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arhi1tbw79i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ind w:firstLine="720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do usuário contém as informações necessárias para a utilização do aplicativo mobile para avaliar os projetos apresentados no IFCiência, a feira de ciência, mostra tecnológica e empreendedorismo do Instituto Federal de São Paulo – Campus Salto.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numPr>
          <w:ilvl w:val="0"/>
          <w:numId w:val="1"/>
        </w:numPr>
        <w:spacing w:after="360" w:before="480" w:lineRule="auto"/>
        <w:ind w:left="141.73228346456688" w:firstLine="0"/>
        <w:rPr/>
      </w:pPr>
      <w:bookmarkStart w:colFirst="0" w:colLast="0" w:name="_heading=h.uk4uzhudeg2c" w:id="3"/>
      <w:bookmarkEnd w:id="3"/>
      <w:r w:rsidDel="00000000" w:rsidR="00000000" w:rsidRPr="00000000">
        <w:rPr>
          <w:rtl w:val="0"/>
        </w:rPr>
        <w:t xml:space="preserve"> Iniciação do software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o software é necessário apenas tocar sobre o ícone do mesmo.</w:t>
      </w:r>
    </w:p>
    <w:p w:rsidR="00000000" w:rsidDel="00000000" w:rsidP="00000000" w:rsidRDefault="00000000" w:rsidRPr="00000000" w14:paraId="00000033">
      <w:pPr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0684" cy="4312603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684" cy="431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Ao tocar no ícone do sistema a tela inicial será aberta mostrando as funcionalidades do aplicativos, sendo elas: “Avaliar”, “Avaliações” e “Sincronizar”.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0650" cy="4798377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650" cy="4798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141.73228346456688" w:firstLine="0"/>
      </w:pPr>
      <w:bookmarkStart w:colFirst="0" w:colLast="0" w:name="_heading=h.wwhk28qucdlw" w:id="4"/>
      <w:bookmarkEnd w:id="4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2160" w:hanging="360"/>
      </w:pPr>
      <w:bookmarkStart w:colFirst="0" w:colLast="0" w:name="_heading=h.501eyh728xly" w:id="5"/>
      <w:bookmarkEnd w:id="5"/>
      <w:r w:rsidDel="00000000" w:rsidR="00000000" w:rsidRPr="00000000">
        <w:rPr>
          <w:rtl w:val="0"/>
        </w:rPr>
        <w:t xml:space="preserve">Avaliar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Ao clicar em avaliar será aberta a câmera, onde você poderá fotografar o QR Code do projeto que deseja avaliar, logo em seguida serão mostradas as questões que devem ser respondidas para efetuar a avaliação.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161983" cy="5243032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983" cy="524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2160" w:hanging="360"/>
      </w:pPr>
      <w:bookmarkStart w:colFirst="0" w:colLast="0" w:name="_heading=h.f7uc5vrw5if7" w:id="6"/>
      <w:bookmarkEnd w:id="6"/>
      <w:r w:rsidDel="00000000" w:rsidR="00000000" w:rsidRPr="00000000">
        <w:rPr>
          <w:rtl w:val="0"/>
        </w:rPr>
        <w:t xml:space="preserve">Avaliações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A tela “Avaliações” mostra as avaliações já feitas e que estão armazenadas no aparelho e prontas para serem enviadas ao servidor através da função sincronizar.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606809" cy="6274752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9" cy="627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2160" w:hanging="360"/>
      </w:pPr>
      <w:bookmarkStart w:colFirst="0" w:colLast="0" w:name="_heading=h.m0q26i2chiuf" w:id="7"/>
      <w:bookmarkEnd w:id="7"/>
      <w:r w:rsidDel="00000000" w:rsidR="00000000" w:rsidRPr="00000000">
        <w:rPr>
          <w:rtl w:val="0"/>
        </w:rPr>
        <w:t xml:space="preserve">Sincronizar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É nesta tela que as avaliações que foram feitas serão concretizadas e enviadas para o servidor do Instituto. Ao clicar em “Sincronizar” serão pedidos os dados do avaliador e então serão enviadas as avaliações feitas.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487174" cy="6017577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174" cy="601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Ao terminar de sincronizar será apresentada uma mensagem de confirmação na tela inicial.</w:t>
      </w:r>
    </w:p>
    <w:p w:rsidR="00000000" w:rsidDel="00000000" w:rsidP="00000000" w:rsidRDefault="00000000" w:rsidRPr="00000000" w14:paraId="00000068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2944" cy="5665152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944" cy="566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type w:val="nextPage"/>
      <w:pgSz w:h="16840" w:w="11907"/>
      <w:pgMar w:bottom="851" w:top="851" w:left="1418" w:right="851" w:header="851" w:footer="85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trHeight w:val="200" w:hRule="atLeast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10.0" w:type="dxa"/>
      <w:jc w:val="left"/>
      <w:tblInd w:w="70.0" w:type="pct"/>
      <w:tblBorders>
        <w:top w:color="000000" w:space="0" w:sz="12" w:val="single"/>
      </w:tblBorders>
      <w:tblLayout w:type="fixed"/>
      <w:tblLook w:val="0000"/>
    </w:tblPr>
    <w:tblGrid>
      <w:gridCol w:w="6663"/>
      <w:gridCol w:w="1342"/>
      <w:gridCol w:w="1705"/>
      <w:tblGridChange w:id="0">
        <w:tblGrid>
          <w:gridCol w:w="6663"/>
          <w:gridCol w:w="1342"/>
          <w:gridCol w:w="1705"/>
        </w:tblGrid>
      </w:tblGridChange>
    </w:tblGrid>
    <w:tr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3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Avaliador IFCiência</w:t>
            <w:tab/>
            <w:t xml:space="preserve">Versão 1.0</w:t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left"/>
      <w:tblInd w:w="70.0" w:type="pc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width:61.5pt;height:34.5pt" type="#_x0000_t75">
                <v:imagedata r:id="rId1" o:title=""/>
              </v:shape>
              <o:OLEObject DrawAspect="Content" r:id="rId2" ObjectID="_1635662743" ProgID="Word.Picture.8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pc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70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IFSP – Campus Salto</w:t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Manual do usuário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1.73228346456688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  <w:lang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5"/>
      </w:numPr>
      <w:spacing w:after="360" w:before="48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6"/>
      </w:numPr>
      <w:spacing w:after="240" w:before="36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numPr>
        <w:ilvl w:val="2"/>
        <w:numId w:val="7"/>
      </w:numPr>
      <w:spacing w:after="120" w:before="240"/>
      <w:ind w:left="0" w:firstLine="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8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9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4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 w:val="1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Corpodetexto">
    <w:name w:val="Body Text"/>
    <w:basedOn w:val="Normal"/>
    <w:semiHidden w:val="1"/>
    <w:rPr>
      <w:i w:val="1"/>
      <w:iCs w:val="1"/>
      <w:color w:val="0000ff"/>
      <w:lang w:val="pt-PT"/>
    </w:rPr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00" w:afterAutospacing="1" w:before="100" w:beforeAutospacing="1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character" w:styleId="Forte">
    <w:name w:val="Strong"/>
    <w:qFormat w:val="1"/>
    <w:rPr>
      <w:b w:val="1"/>
      <w:bCs w:val="1"/>
    </w:rPr>
  </w:style>
  <w:style w:type="paragraph" w:styleId="TableBody2" w:customStyle="1">
    <w:name w:val="Table Body 2"/>
    <w:basedOn w:val="Normal"/>
    <w:pPr>
      <w:spacing w:after="40" w:before="40" w:line="250" w:lineRule="exact"/>
      <w:ind w:right="115"/>
      <w:jc w:val="left"/>
    </w:pPr>
    <w:rPr>
      <w:rFonts w:cs="Times New Roman"/>
      <w:color w:val="auto"/>
      <w:sz w:val="18"/>
      <w:lang w:eastAsia="en-US" w:val="en-US"/>
    </w:rPr>
  </w:style>
  <w:style w:type="character" w:styleId="Bold" w:customStyle="1">
    <w:name w:val="Bold"/>
    <w:aliases w:val="b"/>
    <w:rPr>
      <w:rFonts w:ascii="Arial" w:hAnsi="Arial"/>
      <w:b w:val="1"/>
      <w:sz w:val="24"/>
    </w:rPr>
  </w:style>
  <w:style w:type="character" w:styleId="RodapChar" w:customStyle="1">
    <w:name w:val="Rodapé Char"/>
    <w:basedOn w:val="Fontepargpadro"/>
    <w:link w:val="Rodap"/>
    <w:semiHidden w:val="1"/>
    <w:rsid w:val="00F930E2"/>
    <w:rPr>
      <w:rFonts w:ascii="Arial" w:cs="Arial" w:hAnsi="Arial"/>
      <w:color w:val="000000"/>
      <w:lang w:eastAsia="pt-BR" w:val="pt-BR"/>
    </w:rPr>
  </w:style>
  <w:style w:type="character" w:styleId="TextodoEspaoReservado">
    <w:name w:val="Placeholder Text"/>
    <w:basedOn w:val="Fontepargpadro"/>
    <w:uiPriority w:val="99"/>
    <w:semiHidden w:val="1"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D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BD426F"/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BD426F"/>
    <w:rPr>
      <w:rFonts w:ascii="Arial" w:cs="Arial" w:hAnsi="Arial"/>
      <w:color w:val="000000"/>
      <w:lang w:eastAsia="pt-BR"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D426F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D426F"/>
    <w:rPr>
      <w:rFonts w:ascii="Arial" w:cs="Arial" w:hAnsi="Arial"/>
      <w:b w:val="1"/>
      <w:bCs w:val="1"/>
      <w:color w:val="000000"/>
      <w:lang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D426F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D426F"/>
    <w:rPr>
      <w:rFonts w:ascii="Segoe UI" w:cs="Segoe UI" w:hAnsi="Segoe UI"/>
      <w:color w:val="000000"/>
      <w:sz w:val="18"/>
      <w:szCs w:val="18"/>
      <w:lang w:eastAsia="pt-BR" w:val="pt-BR"/>
    </w:rPr>
  </w:style>
  <w:style w:type="paragraph" w:styleId="PargrafodaLista">
    <w:name w:val="List Paragraph"/>
    <w:basedOn w:val="Normal"/>
    <w:uiPriority w:val="34"/>
    <w:qFormat w:val="1"/>
    <w:rsid w:val="00403DB2"/>
    <w:pPr>
      <w:ind w:left="720"/>
      <w:contextualSpacing w:val="1"/>
    </w:p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9130FB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fontTable" Target="fontTable.xml"/><Relationship Id="rId19" Type="http://schemas.openxmlformats.org/officeDocument/2006/relationships/header" Target="header2.xml"/><Relationship Id="rId6" Type="http://schemas.openxmlformats.org/officeDocument/2006/relationships/numbering" Target="numbering.xml"/><Relationship Id="rId18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UaYhA2TsQhixcuR3FmjkZIliA==">AMUW2mUZofqyS3krLfzAe0oVcjKJoNNn5YGWF8odzMSssKeECsFGU8YHa3EaJWMZ0wHJVWcWUmrsmfAUmfdRQfW+zigpFdS863IAW+b6/X6NAc3YCjekSsgP+03+JAmsz3EnDcGiA3xkZUVKhEiLjUdVxSF6NAkAE8tJyplHSlyYqSRqSEnEOsXgk8uIFLi4LgN4RDiLNREEZDWw963md8vVf4mqZUXQPf5WQGTpgdWILmxmf4ERxrtl+RtR4/NTAkVD7brcSvscR3YH08EgUIZM2HowQoJ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2019-11-19T11:52:00Z</dcterms:created>
  <dc:creator>Rafaela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