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"/>
        <w:jc w:val="center"/>
      </w:pPr>
      <w:r>
        <w:rPr>
          <w:rFonts w:ascii="Calibri" w:hAnsi="Calibri"/>
          <w:b/>
          <w:color w:val="1A365D"/>
          <w:sz w:val="26"/>
        </w:rPr>
        <w:t>INSTITUTO FEDERAL DE EDUCAÇÃO, CIÊNCIA E TECNOLOGIA DE GOIÁS</w:t>
      </w:r>
    </w:p>
    <w:p>
      <w:pPr>
        <w:spacing w:before="0" w:after="40"/>
        <w:jc w:val="center"/>
      </w:pPr>
      <w:r>
        <w:rPr>
          <w:rFonts w:ascii="Calibri" w:hAnsi="Calibri"/>
          <w:color w:val="4A5568"/>
          <w:sz w:val="20"/>
        </w:rPr>
        <w:t>CÂMPUS GOIÂNIA • PÓS-GRADUAÇÃO / ESPECIALIZAÇÃO / MESTRADO</w:t>
      </w:r>
    </w:p>
    <w:p>
      <w:pPr>
        <w:spacing w:before="0" w:after="320"/>
        <w:jc w:val="center"/>
      </w:pPr>
      <w:r>
        <w:rPr>
          <w:rFonts w:ascii="Calibri" w:hAnsi="Calibri"/>
          <w:b/>
          <w:color w:val="2B6CB0"/>
          <w:sz w:val="20"/>
        </w:rPr>
        <w:t>DISCIPLINA: TÓPICOS AVANÇADOS EM INTELIGÊNCIA ARTIFICIAL I</w:t>
      </w:r>
    </w:p>
    <w:p>
      <w:pPr>
        <w:spacing w:before="0" w:after="1400"/>
        <w:pBdr>
          <w:bottom w:val="single" w:sz="18" w:space="2" w:color="2B6CB0"/>
        </w:pBdr>
      </w:pPr>
    </w:p>
    <w:p>
      <w:pPr>
        <w:spacing w:before="0" w:after="240"/>
        <w:jc w:val="center"/>
      </w:pPr>
      <w:r>
        <w:rPr>
          <w:rFonts w:ascii="Calibri" w:hAnsi="Calibri"/>
          <w:b/>
          <w:color w:val="2B6CB0"/>
          <w:sz w:val="18"/>
        </w:rPr>
        <w:t>RELATÓRIO TÉCNICO OFICIAL • DOCUMENTO EDITÁVEL (WORD)</w:t>
      </w:r>
    </w:p>
    <w:p>
      <w:pPr>
        <w:spacing w:before="0" w:after="240"/>
        <w:jc w:val="center"/>
      </w:pPr>
      <w:r>
        <w:rPr>
          <w:rFonts w:ascii="Calibri" w:hAnsi="Calibri"/>
          <w:b/>
          <w:color w:val="1A202C"/>
          <w:sz w:val="36"/>
        </w:rPr>
        <w:t>ENSEMBLE HÍBRIDO: CLUSTERIZAÇÃO DE CLIENTES INTEGRADA A REGRAS DE ASSOCIAÇÃO</w:t>
      </w:r>
    </w:p>
    <w:p>
      <w:pPr>
        <w:spacing w:before="0" w:after="2400"/>
        <w:jc w:val="center"/>
      </w:pPr>
      <w:r>
        <w:rPr>
          <w:rFonts w:ascii="Calibri" w:hAnsi="Calibri"/>
          <w:color w:val="4A5568"/>
          <w:sz w:val="22"/>
        </w:rPr>
        <w:t>Segmentação Comportamental com K-Means e Mineração de Padrões Transacionais por Agrupamento via FP-Growth sobre Data Warehouse Dimensional</w:t>
      </w:r>
    </w:p>
    <w:p>
      <w:pPr>
        <w:spacing w:before="0" w:after="80"/>
        <w:jc w:val="center"/>
      </w:pPr>
      <w:r>
        <w:rPr>
          <w:rFonts w:ascii="Calibri" w:hAnsi="Calibri"/>
          <w:b/>
          <w:color w:val="2D3748"/>
          <w:sz w:val="22"/>
        </w:rPr>
        <w:t>Autor: Ivânio / Equipe Prestador Nota 10</w:t>
      </w:r>
    </w:p>
    <w:p>
      <w:pPr>
        <w:spacing w:before="0" w:after="0"/>
        <w:jc w:val="center"/>
      </w:pPr>
      <w:r>
        <w:rPr>
          <w:rFonts w:ascii="Calibri" w:hAnsi="Calibri"/>
          <w:color w:val="718096"/>
          <w:sz w:val="19"/>
        </w:rPr>
        <w:t>Goiânia – GO</w:t>
        <w:br/>
        <w:t>2026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36" w:space="0" w:color="2B6CB0"/>
          <w:right w:val="none"/>
          <w:insideH w:val="none"/>
          <w:insideV w:val="none"/>
        </w:tblBorders>
      </w:tblPr>
      <w:tblGrid>
        <w:gridCol w:w="9317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color w:val="2B6CB0"/>
                <w:sz w:val="20"/>
              </w:rPr>
              <w:t>Natureza e Contexto Acadêmico:</w:t>
            </w:r>
          </w:p>
          <w:p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2D3748"/>
                <w:sz w:val="19"/>
              </w:rPr>
              <w:t>Relatório Técnico e Científico apresentado como entregável formal da disciplina Tópicos Avançados em Inteligência Artificial I do Instituto Federal de Educação, Ciência e Tecnologia de Goiás (IFG). O documento consolida o projeto de modelagem de Data Warehouse, esteira de ETL relacional para dimensional, pipeline de ensemble híbrido (K-Means seguido de FP-Growth particionado por segmento de cliente) e módulo complementar preditivo de churn.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Resumo Executivo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Este relatório documenta a concepção, implementação e validação de um pipeline analítico de mineração de dados orientado a CRM e marketing para a plataforma Prestador Nota 10. A premissa central estabelece que a extração indiscriminada de regras de associação sobre uma base de transações global gera elevado volume de regras triviais e dilui padrões característicos de clientes de maior valor. Para superar essa limitação, implementou-se o conceito de ensemble sob uma abordagem híbrida: a partir de um Data Warehouse modelado em esquema estrela no PostgreSQL com dimensões conformadas e fatos atômicos, os clientes foram primeiramente clusterizados via algoritmo K-Means com seleção de hiperparâmetro baseada em Silhouette Score. Em seguida, a base transacional foi particionada e o algoritmo FP-Growth foi executado de forma dedicada dentro de cada segmento identificado. Os resultados empíricos demonstram que no grupo de clientes fiéis e de alto valor (ticket médio R$ 542,24) emergiram regras de alta dependência estatística (ex.: Chaveiros e ferragens → Hidráulica com confiança de 52,00% e Lift de 1,390), ao passo que no grupo de clientes inativos e de baixo engajamento não foram identificados itemsets frequentes, validando experimentalmente o benefício da segmentação prévia. Adicionalmente, um módulo supervisionado com ensemble heterogêneo (Random Forest, Gradient Boosting, AdaBoost, Voting e Stacking) foi consolidado para predição de cancelamento de pedidos.</w:t>
      </w:r>
    </w:p>
    <w:p>
      <w:pPr>
        <w:spacing w:before="0" w:after="100" w:line="276" w:lineRule="auto"/>
        <w:jc w:val="both"/>
      </w:pPr>
      <w:r>
        <w:rPr>
          <w:rFonts w:ascii="Calibri" w:hAnsi="Calibri"/>
          <w:b/>
          <w:color w:val="1A202C"/>
          <w:sz w:val="20"/>
        </w:rPr>
        <w:t xml:space="preserve">Palavras-chave: </w:t>
      </w:r>
      <w:r>
        <w:rPr>
          <w:rFonts w:ascii="Calibri" w:hAnsi="Calibri"/>
          <w:color w:val="2D3748"/>
          <w:sz w:val="20"/>
        </w:rPr>
        <w:t>Data Warehouse; Ensemble Learning; K-Means; Regras de Associação; FP-Growth; Segmentação de Clientes; CRM Analítico.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Sumário Estruturado do Relatório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1</w:t>
      </w:r>
      <w:r>
        <w:rPr>
          <w:rFonts w:ascii="Calibri" w:hAnsi="Calibri"/>
          <w:color w:val="2D3748"/>
          <w:sz w:val="19"/>
        </w:rPr>
        <w:t xml:space="preserve"> — Introdução e Motivação de Negócio — Contexto, objetivos e conceito de ensemble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2</w:t>
      </w:r>
      <w:r>
        <w:rPr>
          <w:rFonts w:ascii="Calibri" w:hAnsi="Calibri"/>
          <w:color w:val="2D3748"/>
          <w:sz w:val="19"/>
        </w:rPr>
        <w:t xml:space="preserve"> — Arquitetura do Data Warehouse — Camadas OLTP, DW, Datamarts e integração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3</w:t>
      </w:r>
      <w:r>
        <w:rPr>
          <w:rFonts w:ascii="Calibri" w:hAnsi="Calibri"/>
          <w:color w:val="2D3748"/>
          <w:sz w:val="19"/>
        </w:rPr>
        <w:t xml:space="preserve"> — Etapa 1: Clusterização de Clientes (K-Means) — Features, seleção de k e perfis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4</w:t>
      </w:r>
      <w:r>
        <w:rPr>
          <w:rFonts w:ascii="Calibri" w:hAnsi="Calibri"/>
          <w:color w:val="2D3748"/>
          <w:sz w:val="19"/>
        </w:rPr>
        <w:t xml:space="preserve"> — Evidências Visuais no Metabase — Catálogo de dados, views e dashboards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5</w:t>
      </w:r>
      <w:r>
        <w:rPr>
          <w:rFonts w:ascii="Calibri" w:hAnsi="Calibri"/>
          <w:color w:val="2D3748"/>
          <w:sz w:val="19"/>
        </w:rPr>
        <w:t xml:space="preserve"> — Etapa 2: Regras de Associação por Segmento — FP-Growth, métricas e achados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6</w:t>
      </w:r>
      <w:r>
        <w:rPr>
          <w:rFonts w:ascii="Calibri" w:hAnsi="Calibri"/>
          <w:color w:val="2D3748"/>
          <w:sz w:val="19"/>
        </w:rPr>
        <w:t xml:space="preserve"> — Módulo Complementar: Ensemble de Churn — Classificação supervisionada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7</w:t>
      </w:r>
      <w:r>
        <w:rPr>
          <w:rFonts w:ascii="Calibri" w:hAnsi="Calibri"/>
          <w:color w:val="2D3748"/>
          <w:sz w:val="19"/>
        </w:rPr>
        <w:t xml:space="preserve"> — Limitações Metodológicas e Riscos Técnicos — Transparência científica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8</w:t>
      </w:r>
      <w:r>
        <w:rPr>
          <w:rFonts w:ascii="Calibri" w:hAnsi="Calibri"/>
          <w:color w:val="2D3748"/>
          <w:sz w:val="19"/>
        </w:rPr>
        <w:t xml:space="preserve"> — Correções Técnicas Realizadas no Repositório — Histórico de engenharia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9</w:t>
      </w:r>
      <w:r>
        <w:rPr>
          <w:rFonts w:ascii="Calibri" w:hAnsi="Calibri"/>
          <w:color w:val="2D3748"/>
          <w:sz w:val="19"/>
        </w:rPr>
        <w:t xml:space="preserve"> — Recomendações Estratégicas e Ações de CRM — Matriz de ações táticas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>Seção 10</w:t>
      </w:r>
      <w:r>
        <w:rPr>
          <w:rFonts w:ascii="Calibri" w:hAnsi="Calibri"/>
          <w:color w:val="2D3748"/>
          <w:sz w:val="19"/>
        </w:rPr>
        <w:t xml:space="preserve"> — Guia de Reprodutibilidade e Entregáveis — Scripts e inventário de arquivos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Matriz de Conformidade com os Requisitos da 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3106"/>
        <w:gridCol w:w="3106"/>
        <w:gridCol w:w="3106"/>
      </w:tblGrid>
      <w:tr>
        <w:trPr>
          <w:tblHeader/>
          <w:cantSplit/>
        </w:trPr>
        <w:tc>
          <w:tcPr>
            <w:tcW w:type="dxa" w:w="259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Requisito do Enunciado</w:t>
            </w:r>
          </w:p>
        </w:tc>
        <w:tc>
          <w:tcPr>
            <w:tcW w:type="dxa" w:w="15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Evidência Técnica no Repositório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1. DW / Datamart Construído e Povoado</w:t>
            </w:r>
          </w:p>
        </w:tc>
        <w:tc>
          <w:tcPr>
            <w:tcW w:type="dxa" w:w="158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Conforme (100%)</w:t>
            </w:r>
          </w:p>
        </w:tc>
        <w:tc>
          <w:tcPr>
            <w:tcW w:type="dxa" w:w="518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Esquema dimensional dw e datamarts dm_* estruturados e povoados por dw/01..08_*.sql, abrangendo fatos de pedidos, orçamentos, avaliações e agendamentos com integridade referencial.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2. Aplicação de Ensemble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Conforme (&gt;100%)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Implementação dupla: (a) Ensemble Híbrido Metodológico (Clusterização → Regras por Segmento) e (b) Ensemble Preditivo Supervisionado (Bagging, Boosting e Stacking) para predição de churn.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3. Clusterização / Classificação de Clientes</w:t>
            </w:r>
          </w:p>
        </w:tc>
        <w:tc>
          <w:tcPr>
            <w:tcW w:type="dxa" w:w="158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Conforme (100%)</w:t>
            </w:r>
          </w:p>
        </w:tc>
        <w:tc>
          <w:tcPr>
            <w:tcW w:type="dxa" w:w="518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Segmentação não-supervisionada via K-Means sobre 9 features comportamentais (RFM, cancelamento e região), com seleção objetiva de k=2 via Silhouette Score e persistência física em dw.dim_cliente_segmento.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4. Regras de Associação por Grupo/Classe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Conforme (100%)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Mineração via FP-Growth particionada por cluster, demonstrando geração de 8 regras no cluster fiel (Lift até 1.39) e isolamento da esparsidade no cluster inativo.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5. Bibliotecas Python Especializadas</w:t>
            </w:r>
          </w:p>
        </w:tc>
        <w:tc>
          <w:tcPr>
            <w:tcW w:type="dxa" w:w="158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Conforme (100%)</w:t>
            </w:r>
          </w:p>
        </w:tc>
        <w:tc>
          <w:tcPr>
            <w:tcW w:type="dxa" w:w="518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Uso de scikit-learn, mlxtend, pandas, sqlalchemy, matplotlib e tabulate estruturados em mining/requirements.txt.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6. Entregáveis: Código e Relatório Técnico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Conforme (100%)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Código modular versionado, scripts orquestradores .sh e .ps1, relatórios técnicos, visualizações no Metabase, PDF oficial e documento Word editável.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1. Introdução e Motivação de Negócio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1.1. Contexto do Problema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A plataforma Prestador Nota 10 opera como um ecossistema digital bilateral (marketplace de serviços), conectando clientes que necessitam de intervenções técnicas e domésticas a prestadores de serviços qualificados. O ciclo transacional engloba a abertura de pedidos, cotação de orçamentos concorrentes, aceitação de propostas, agendamento de atendimentos e avaliação de conformidade.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No gerenciamento de relacionamento com clientes (CRM), um dos objetivos primordiais é estimular o cross-selling (venda cruzada) e o aumento do valor do tempo de vida do cliente (Customer Lifetime Value — LTV). Tradicionalmente, técnicas de Mineração de Regras de Associação (Market Basket Analysis) são empregadas para responder à pergunta: 'Se um cliente contrata o serviço A, qual a probabilidade de ele também necessitar do serviço B?'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1.2. O Desafio da Mineração Global Indiscriminada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A aplicação direta e simplista de algoritmos como Apriori ou FP-Growth sobre todo o histórico transacional consolidado incorre em severos problemas práticos identificados na literatura de Data Mining: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Diluição Estatística: </w:t>
      </w:r>
      <w:r>
        <w:rPr>
          <w:rFonts w:ascii="Calibri" w:hAnsi="Calibri"/>
          <w:color w:val="2D3748"/>
          <w:sz w:val="19"/>
        </w:rPr>
        <w:t>Clientes fiéis com múltiplos pedidos representam uma fração menor da base, enquanto clientes esporádicos (que contrataram apenas uma vez e nunca mais retornaram) compõem a maioria volumétrica. Quando agregados sem distinção, os clientes de contratação única aumentam o denominador da base sem contribuir com cestas correlacionadas, reduzindo artificialmente o suporte de padrões reais existentes entre os clientes mais engajados.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Regras Espúrias e Não-Acionáveis: </w:t>
      </w:r>
      <w:r>
        <w:rPr>
          <w:rFonts w:ascii="Calibri" w:hAnsi="Calibri"/>
          <w:color w:val="2D3748"/>
          <w:sz w:val="19"/>
        </w:rPr>
        <w:t>Serviços de altíssima frequência marginal (como reparos residenciais básicos) tendem a se associar a qualquer outro serviço simplesmente pelo acaso, gerando métricas de confiança elevadas, mas com Lift próximo a 1,0 (independência estatística entre antecedentes e consequentes).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1.3. O Conceito de Ensemble Adotado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36" w:space="0" w:color="38A169"/>
          <w:right w:val="none"/>
          <w:insideH w:val="none"/>
          <w:insideV w:val="none"/>
        </w:tblBorders>
      </w:tblPr>
      <w:tblGrid>
        <w:gridCol w:w="9317"/>
      </w:tblGrid>
      <w:tr>
        <w:tc>
          <w:tcPr>
            <w:tcW w:type="dxa" w:w="9360"/>
            <w:shd w:fill="F0FFF4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color w:val="38A169"/>
                <w:sz w:val="20"/>
              </w:rPr>
              <w:t>Definição do Pipeline de Ensemble Híbrido:</w:t>
            </w:r>
          </w:p>
          <w:p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2D3748"/>
                <w:sz w:val="19"/>
              </w:rPr>
              <w:t>Em vez de aplicar um modelo isolado, combinam-se duas famílias de técnicas de aprendizado de máquina em cascata:</w:t>
            </w:r>
          </w:p>
          <w:p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2D3748"/>
                <w:sz w:val="19"/>
              </w:rPr>
              <w:t>1º Estágio (Não-Supervisionado): Clusterização com K-Means para particionar a população de clientes em segmentos homogêneos segundo seu perfil transacional e RFM (Recência, Frequência, Monetário).</w:t>
            </w:r>
          </w:p>
          <w:p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2D3748"/>
                <w:sz w:val="19"/>
              </w:rPr>
              <w:t>2º Estágio (Mineração Simbólica Condicionada): Aplicação de FP-Growth isoladamente dentro de cada segmento, descobrindo regras de associação especializadas e altamente acionáveis para cada perfil de público.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1.4. Diagrama Geral do Pipeline Implementado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50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50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4A5568"/>
          <w:sz w:val="17"/>
        </w:rPr>
        <w:t>Figura 1 — Fluxo de ponta a ponta do ensemble híbrido (Data Warehouse → Feature Engineering → K-Means → Tabela Intermediária → FP-Growth por Segmento).</w:t>
      </w: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2. Arquitetura do Data Warehouse e Engenharia de Dados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2.1. Modelagem Dimensional e Camadas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A estrutura de armazenamento analítico foi desenvolvida no PostgreSQL local (porta 5433 / banco prestadornota10local), distribuída em três camadas desacopladas: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Camada Transacional (OLTP — Schema pn10): </w:t>
      </w:r>
      <w:r>
        <w:rPr>
          <w:rFonts w:ascii="Calibri" w:hAnsi="Calibri"/>
          <w:color w:val="2D3748"/>
          <w:sz w:val="19"/>
        </w:rPr>
        <w:t>Espelho relacional normalizado da API (tabelas pedido, orcamento_pedido, avaliacao_pedido, agendamento, pessoa, empresa, usuario, categoria_servico), criada por 01_oltp_ddl.sql e populada com 800 pedidos sintéticos por 02_oltp_carga.sql.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Camada Dimensional Central (DW — Schema dw): </w:t>
      </w:r>
      <w:r>
        <w:rPr>
          <w:rFonts w:ascii="Calibri" w:hAnsi="Calibri"/>
          <w:color w:val="2D3748"/>
          <w:sz w:val="19"/>
        </w:rPr>
        <w:t>Esquema estrela unificado contendo as dimensões conformadas e as tabelas fato no menor grão transacional (DDL em 03_dw_ddl.sql e ETL em 04_dw_carga.sql).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Camada de Datamarts (Schemas dm_*): </w:t>
      </w:r>
      <w:r>
        <w:rPr>
          <w:rFonts w:ascii="Calibri" w:hAnsi="Calibri"/>
          <w:color w:val="2D3748"/>
          <w:sz w:val="19"/>
        </w:rPr>
        <w:t>Seis datamarts departamentais construídos por 05_datamart_ddl.sql e carregados por 06_datamart_carga.sql contendo agregações sumarizadas (rollups) para otimização de painéis analíticos.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2.2. Diagrama Conceitual do Esquema Estrela (Schema dw)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02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2_esquema_d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02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4A5568"/>
          <w:sz w:val="17"/>
        </w:rPr>
        <w:t>Figura 2 — Arquitetura dimensional estrela com integração da tabela de segmentação de clientes dw.dim_cliente_segmento.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2.3. Tabela de Integração: dw.dim_cliente_segmento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Para viabilizar a comunicação desacoplada entre a clusterização Python e a etapa de regras de associação, o script dw/09_segmentacao_clientes_ddl.sql define a tabela física dw.dim_cliente_segmento. Esta tabela armazena a atribuição de cluster e rótulo de negócio para cada cliente, viabilizando consultas analíticas no Metabase e filtragem de cestas via 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</w:tblBorders>
      </w:tblPr>
      <w:tblGrid>
        <w:gridCol w:w="9317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CREATE TABLE dw.dim_cliente_segmento (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sk_cliente               integer PRIMARY KEY REFERENCES dw.dim_cliente(sk_cliente),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cluster                  smallint NOT NULL,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rotulo_segmento          varchar(60) NOT NULL,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qtd_pedidos              integer NOT NULL,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valor_total              numeric(12,2) NOT NULL,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valor_medio_pedido       numeric(12,2) NOT NULL,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qtd_categorias_distintas integer NOT NULL,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taxa_cancelamento        numeric(5,4) NOT NULL,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nota_media               numeric(3,2),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recencia_dias            integer,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 xml:space="preserve">    data_execucao            timestamp NOT NULL DEFAULT now()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);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3. Etapa 1: Clusterização e Segmentação de Clientes (K-Means)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3.1. Engenharia de Features e Transformações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A partir de consultas agregadas sobre dw.fato_pedido e suas dimensões conformadas, extraíram-se atributos comportamentais no nível de grão de cliente. Foram filtrados exclusivamente os clientes com pelo menos 1 pedido registrado (277 dos 300 clientes cadastrados), visto que clientes sem pedido não possuem cesta transacional: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2329"/>
        <w:gridCol w:w="2329"/>
        <w:gridCol w:w="2329"/>
        <w:gridCol w:w="2329"/>
      </w:tblGrid>
      <w:tr>
        <w:trPr>
          <w:tblHeader/>
          <w:cantSplit/>
        </w:trPr>
        <w:tc>
          <w:tcPr>
            <w:tcW w:type="dxa" w:w="230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1296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016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Tratamento</w:t>
            </w:r>
          </w:p>
        </w:tc>
        <w:tc>
          <w:tcPr>
            <w:tcW w:type="dxa" w:w="374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Significado no Modelo de Negócio</w:t>
            </w:r>
          </w:p>
        </w:tc>
      </w:tr>
      <w:tr>
        <w:trPr>
          <w:cantSplit/>
        </w:trPr>
        <w:tc>
          <w:tcPr>
            <w:tcW w:type="dxa" w:w="230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qtd_pedidos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Numérica</w:t>
            </w:r>
          </w:p>
        </w:tc>
        <w:tc>
          <w:tcPr>
            <w:tcW w:type="dxa" w:w="201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StandardScaler</w:t>
            </w:r>
          </w:p>
        </w:tc>
        <w:tc>
          <w:tcPr>
            <w:tcW w:type="dxa" w:w="374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Frequência de engajamento do cliente na plataforma.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valor_total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Numérica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StandardScaler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Dimensão Monetária (faturamento gerado pelo cliente).</w:t>
            </w:r>
          </w:p>
        </w:tc>
      </w:tr>
      <w:tr>
        <w:trPr>
          <w:cantSplit/>
        </w:trPr>
        <w:tc>
          <w:tcPr>
            <w:tcW w:type="dxa" w:w="230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valor_medio_pedido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Numérica</w:t>
            </w:r>
          </w:p>
        </w:tc>
        <w:tc>
          <w:tcPr>
            <w:tcW w:type="dxa" w:w="201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StandardScaler</w:t>
            </w:r>
          </w:p>
        </w:tc>
        <w:tc>
          <w:tcPr>
            <w:tcW w:type="dxa" w:w="374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Ticket médio por contratação de serviço.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qtd_categorias_distintas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Numérica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StandardScaler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Diversidade de necessidades atendidas na plataforma.</w:t>
            </w:r>
          </w:p>
        </w:tc>
      </w:tr>
      <w:tr>
        <w:trPr>
          <w:cantSplit/>
        </w:trPr>
        <w:tc>
          <w:tcPr>
            <w:tcW w:type="dxa" w:w="230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taxa_cancelamento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Numérica</w:t>
            </w:r>
          </w:p>
        </w:tc>
        <w:tc>
          <w:tcPr>
            <w:tcW w:type="dxa" w:w="201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StandardScaler</w:t>
            </w:r>
          </w:p>
        </w:tc>
        <w:tc>
          <w:tcPr>
            <w:tcW w:type="dxa" w:w="374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Percentual de pedidos abortados ou cancelados.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nota_media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Numérica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Imputação + Scaler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Índice de satisfação manifestada nas avaliações.</w:t>
            </w:r>
          </w:p>
        </w:tc>
      </w:tr>
      <w:tr>
        <w:trPr>
          <w:cantSplit/>
        </w:trPr>
        <w:tc>
          <w:tcPr>
            <w:tcW w:type="dxa" w:w="230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recencia_dias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Numérica</w:t>
            </w:r>
          </w:p>
        </w:tc>
        <w:tc>
          <w:tcPr>
            <w:tcW w:type="dxa" w:w="201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Imputação + Scaler</w:t>
            </w:r>
          </w:p>
        </w:tc>
        <w:tc>
          <w:tcPr>
            <w:tcW w:type="dxa" w:w="374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Dias transcorridos desde a última solicitação de serviço.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tipo_pessoa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Categórica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OneHotEncoder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Segmentação entre Pessoa Física (PF) e Jurídica (PJ).</w:t>
            </w:r>
          </w:p>
        </w:tc>
      </w:tr>
      <w:tr>
        <w:trPr>
          <w:cantSplit/>
        </w:trPr>
        <w:tc>
          <w:tcPr>
            <w:tcW w:type="dxa" w:w="230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regiao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Categórica</w:t>
            </w:r>
          </w:p>
        </w:tc>
        <w:tc>
          <w:tcPr>
            <w:tcW w:type="dxa" w:w="201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OneHotEncoder</w:t>
            </w:r>
          </w:p>
        </w:tc>
        <w:tc>
          <w:tcPr>
            <w:tcW w:type="dxa" w:w="374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Localização geográfica das solicitações do cliente.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3.2. Seleção de Hiperparâmetro (k) e Avaliação de Silhueta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O algoritmo K-Means foi treinado para diferentes valores de k (variando de 2 a 8). O gráfico comparativo abaixo apresenta a curva de inércia e o coeficiente de silhueta médio calculado para cada partição: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620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silhouet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2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4A5568"/>
          <w:sz w:val="17"/>
        </w:rPr>
        <w:t>Figura 3 — Curva de Inércia (Cotovelo) e Coeficiente de Silhueta para k ∈ [2, 8].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2329"/>
        <w:gridCol w:w="2329"/>
        <w:gridCol w:w="2329"/>
        <w:gridCol w:w="2329"/>
      </w:tblGrid>
      <w:tr>
        <w:trPr>
          <w:tblHeader/>
          <w:cantSplit/>
        </w:trPr>
        <w:tc>
          <w:tcPr>
            <w:tcW w:type="dxa" w:w="144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Valor de k</w:t>
            </w:r>
          </w:p>
        </w:tc>
        <w:tc>
          <w:tcPr>
            <w:tcW w:type="dxa" w:w="288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Inércia (Within-Cluster Sum of Squares)</w:t>
            </w:r>
          </w:p>
        </w:tc>
        <w:tc>
          <w:tcPr>
            <w:tcW w:type="dxa" w:w="259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Silhouette Score Médio</w:t>
            </w:r>
          </w:p>
        </w:tc>
        <w:tc>
          <w:tcPr>
            <w:tcW w:type="dxa" w:w="244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Interpretação</w:t>
            </w:r>
          </w:p>
        </w:tc>
      </w:tr>
      <w:tr>
        <w:trPr>
          <w:cantSplit/>
        </w:trPr>
        <w:tc>
          <w:tcPr>
            <w:tcW w:type="dxa" w:w="144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2</w:t>
            </w:r>
          </w:p>
        </w:tc>
        <w:tc>
          <w:tcPr>
            <w:tcW w:type="dxa" w:w="288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1625.07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0.217 (ÓTIMO ESCOLHIDO)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Maior separabilidade global entre engajados e inativos.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1424.65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0.170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Decaimento acentuado da coesão interna dos clusters.</w:t>
            </w:r>
          </w:p>
        </w:tc>
      </w:tr>
      <w:tr>
        <w:trPr>
          <w:cantSplit/>
        </w:trPr>
        <w:tc>
          <w:tcPr>
            <w:tcW w:type="dxa" w:w="144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type="dxa" w:w="288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1273.95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0.176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Partição intermediária sem ganho explicativo.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1127.95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0.181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Subsegmentos menores e fragmentados.</w:t>
            </w:r>
          </w:p>
        </w:tc>
      </w:tr>
      <w:tr>
        <w:trPr>
          <w:cantSplit/>
        </w:trPr>
        <w:tc>
          <w:tcPr>
            <w:tcW w:type="dxa" w:w="144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6</w:t>
            </w:r>
          </w:p>
        </w:tc>
        <w:tc>
          <w:tcPr>
            <w:tcW w:type="dxa" w:w="288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1026.39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0.187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Sobreposição acentuada de perfis transacionais.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942.05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0.184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Instabilidade estatística nas partições.</w:t>
            </w:r>
          </w:p>
        </w:tc>
      </w:tr>
      <w:tr>
        <w:trPr>
          <w:cantSplit/>
        </w:trPr>
        <w:tc>
          <w:tcPr>
            <w:tcW w:type="dxa" w:w="144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8</w:t>
            </w:r>
          </w:p>
        </w:tc>
        <w:tc>
          <w:tcPr>
            <w:tcW w:type="dxa" w:w="288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895.50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0.171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Hiperfragmentação da base de clientes.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3.3. Perfil dos Segmentos Descobertos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A segmentação resultou em dois agrupamentos comportamentais nitidamente contrastantes: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tblHeader/>
          <w:cantSplit/>
        </w:trPr>
        <w:tc>
          <w:tcPr>
            <w:tcW w:type="dxa" w:w="86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Cluster</w:t>
            </w:r>
          </w:p>
        </w:tc>
        <w:tc>
          <w:tcPr>
            <w:tcW w:type="dxa" w:w="115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Clientes</w:t>
            </w:r>
          </w:p>
        </w:tc>
        <w:tc>
          <w:tcPr>
            <w:tcW w:type="dxa" w:w="100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Pedidos Méd.</w:t>
            </w:r>
          </w:p>
        </w:tc>
        <w:tc>
          <w:tcPr>
            <w:tcW w:type="dxa" w:w="115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Valor Total</w:t>
            </w:r>
          </w:p>
        </w:tc>
        <w:tc>
          <w:tcPr>
            <w:tcW w:type="dxa" w:w="115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Ticket Médio</w:t>
            </w:r>
          </w:p>
        </w:tc>
        <w:tc>
          <w:tcPr>
            <w:tcW w:type="dxa" w:w="86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Categorias</w:t>
            </w:r>
          </w:p>
        </w:tc>
        <w:tc>
          <w:tcPr>
            <w:tcW w:type="dxa" w:w="100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Cancelamento</w:t>
            </w:r>
          </w:p>
        </w:tc>
        <w:tc>
          <w:tcPr>
            <w:tcW w:type="dxa" w:w="100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Recência</w:t>
            </w:r>
          </w:p>
        </w:tc>
        <w:tc>
          <w:tcPr>
            <w:tcW w:type="dxa" w:w="172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Rótulo Estratégico</w:t>
            </w:r>
          </w:p>
        </w:tc>
      </w:tr>
      <w:tr>
        <w:trPr>
          <w:cantSplit/>
        </w:trPr>
        <w:tc>
          <w:tcPr>
            <w:tcW w:type="dxa" w:w="86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154 (55,6%)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1,80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R$ 803,69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R$ 475,32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1,78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19,0%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813 dias</w:t>
            </w:r>
          </w:p>
        </w:tc>
        <w:tc>
          <w:tcPr>
            <w:tcW w:type="dxa" w:w="172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Inativos / Baixo Engajamento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123 (44,4%)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4,25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R$ 2.186,42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R$ 542,24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4,17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16,0%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395 dias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Clientes Fiéis / Alto Valor</w:t>
            </w:r>
          </w:p>
        </w:tc>
      </w:tr>
    </w:tbl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4. Evidências Visuais e Dashboards no Metabase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Para comprovar a operacionalização da segmentação em ferramentas de Business Intelligence, a tabela dw.dim_cliente_segmento foi exposta no Metabase através de duas views SQL criadas pelo script metabase/views/vw_segmentacao_clientes.sql: dw.vw_segmentacao_clientes (detalhe por cliente) e dw.vw_resumo_segmento_cliente (perfil médio por cluster).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51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hema_dw_tabel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4A5568"/>
          <w:sz w:val="17"/>
        </w:rPr>
        <w:t>Figura 4 — Catálogo de Dados do Metabase exibindo as tabelas físicas do schema dw e as views analíticas de segmentação.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51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w_segmentacao_cli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4A5568"/>
          <w:sz w:val="17"/>
        </w:rPr>
        <w:t>Figura 5 — View dw.vw_segmentacao_clientes: consulta com granularidade de cliente exibindo métricas RFM e rótulos de segmento atribuídos.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w_resumo_segmento_cliente_tabel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4A5568"/>
          <w:sz w:val="17"/>
        </w:rPr>
        <w:t>Figura 6 — Card analítico de resumo médio por cluster (pedidos médios, ticket médio, recência e faturamento acumulado).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28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afico_clientes_por_seg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4A5568"/>
          <w:sz w:val="17"/>
        </w:rPr>
        <w:t>Figura 7 — Gráfico de contagem de clientes por segmento gerado no Metabase (154 Inativos vs 123 Clientes Fiéis).</w:t>
      </w: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5. Etapa 2: Regras de Associação por Segmento (FP-Growth)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5.1. Modelagem da Cesta de Compras e Rollup de Categorias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Em um marketplace de serviços, as contratações ocorrem ao longo do tempo. Dessa forma, a cesta de compras de cada cliente foi modelada como o conjunto consolidado de categorias distintas que o cliente já contratou no histórico da plataforma.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Para evitar que a dispersão em ~130 subcategorias finas gerasse suporte nulo para pares de itens, aplicou-se um rollup dimensional para a Macro Categoria de Serviço (campo dim_categoria_servico.descricao_categoria_pai, contendo ~25 macro categorias). Essa agregação é fundamental para que as métricas estatísticas de frequência atinjam significância na base de clientes.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5.2. Resultados no Segmento 'Clientes Fiéis / Alto Valor' (123 clientes)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Executando o algoritmo FP-Growth com suporte mínimo de 8% e limiar de corte por Lift &gt; 1,10, identificaram-se 8 regras de associação estatisticamente consistentes: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1331"/>
        <w:gridCol w:w="1331"/>
        <w:gridCol w:w="1331"/>
        <w:gridCol w:w="1331"/>
        <w:gridCol w:w="1331"/>
        <w:gridCol w:w="1331"/>
        <w:gridCol w:w="1331"/>
      </w:tblGrid>
      <w:tr>
        <w:trPr>
          <w:tblHeader/>
          <w:cantSplit/>
        </w:trPr>
        <w:tc>
          <w:tcPr>
            <w:tcW w:type="dxa" w:w="259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Se Contratou (SE)</w:t>
            </w:r>
          </w:p>
        </w:tc>
        <w:tc>
          <w:tcPr>
            <w:tcW w:type="dxa" w:w="259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Também Contrata (ENTÃO)</w:t>
            </w:r>
          </w:p>
        </w:tc>
        <w:tc>
          <w:tcPr>
            <w:tcW w:type="dxa" w:w="100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Suporte</w:t>
            </w:r>
          </w:p>
        </w:tc>
        <w:tc>
          <w:tcPr>
            <w:tcW w:type="dxa" w:w="100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Confiança</w:t>
            </w:r>
          </w:p>
        </w:tc>
        <w:tc>
          <w:tcPr>
            <w:tcW w:type="dxa" w:w="7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Lift</w:t>
            </w:r>
          </w:p>
        </w:tc>
        <w:tc>
          <w:tcPr>
            <w:tcW w:type="dxa" w:w="7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Alavancagem</w:t>
            </w:r>
          </w:p>
        </w:tc>
        <w:tc>
          <w:tcPr>
            <w:tcW w:type="dxa" w:w="7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Convicção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Chaveiros e ferragens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Hidráulica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10,57%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52,00%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1,390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0,030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1,304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Hidráulica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Chaveiros e ferragens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10,57%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28,26%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1,390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0,030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1,111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Chaveiros e ferragens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Residencial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9,76%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48,00%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1,181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0,015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1,141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Residencial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Chaveiros e ferragens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9,76%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24,00%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1,181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0,015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1,048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Automotivo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Computadores e Tecnologia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8,13%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22,73%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1,165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0,012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1,042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Computadores e Tecnologia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Automotivo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8,13%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41,67%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1,165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0,012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1,101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Hidráulica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Residencial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17,07%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45,65%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1,123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0,019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1,092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Residencial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Hidráulica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17,07%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42,00%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1,123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0,019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1,079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5.3. Resultados no Segmento 'Inativos / Baixo Engajamento' (154 clientes)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36" w:space="0" w:color="DD6B20"/>
          <w:right w:val="none"/>
          <w:insideH w:val="none"/>
          <w:insideV w:val="none"/>
        </w:tblBorders>
      </w:tblPr>
      <w:tblGrid>
        <w:gridCol w:w="9317"/>
      </w:tblGrid>
      <w:tr>
        <w:tc>
          <w:tcPr>
            <w:tcW w:type="dxa" w:w="9360"/>
            <w:shd w:fill="FFFAF0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color w:val="DD6B20"/>
                <w:sz w:val="20"/>
              </w:rPr>
              <w:t>Diagnóstico Empírico da Segmentação:</w:t>
            </w:r>
          </w:p>
          <w:p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2D3748"/>
                <w:sz w:val="19"/>
              </w:rPr>
              <w:t>No segmento de clientes inativos, a aplicação do algoritmo FP-Growth com suporte decrescente (8% → 6% → 4,5% → 3% → 2%) não produziu nenhum itemset frequente com 2 ou mais itens.</w:t>
            </w:r>
          </w:p>
          <w:p>
            <w:pPr>
              <w:spacing w:before="40" w:after="40" w:line="276" w:lineRule="auto"/>
              <w:jc w:val="both"/>
            </w:pPr>
            <w:r>
              <w:rPr>
                <w:rFonts w:ascii="Calibri" w:hAnsi="Calibri"/>
                <w:color w:val="2D3748"/>
                <w:sz w:val="19"/>
              </w:rPr>
              <w:t>Validação Experimental: Como este grupo possui média de apenas 1,80 pedidos por cliente e recência média de 813 dias, os clientes não possuem cestas multicategoria. A ausência de regras confirma a hipótese metodológica: misturar esses clientes à base total apenas diluiria as regras do grupo fiel e geraria falsos positivos de independência estatística.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5.4. Valor da Abordagem Ensemble vs. Mineração Global Indiscriminada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Ao comparar os resultados obtidos com e sem segmentação, constata-se a eficácia do ensemble metodológico: na mineração global sem clusterização, a regra 'Chaveiros e ferragens → Hidráulica' tem seu suporte diluído abaixo do limiar de corte estatístico devido ao grande volume de clientes inativos com apenas 1 pedido. O agrupamento prévio atua como um filtro inteligente que preserva a densidade transacional dos clientes valiosos.</w:t>
      </w: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6. Módulo Complementar: Ensemble de Classificadores para Churn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6.1. Definição do Experimento Supervisionado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Para consolidar a visão de ensemble sob todas as suas manifestações, o módulo mining/ensemble/treinar_ensemble.py foi mantido e corrigido para treinar classificadores supervisionados para predição da variável binária indicador_cancelado em dw.fato_pedido.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Foram avaliadas as três principais famílias de ensemble: Bagging (Random Forest), Boosting (Gradient Boosting e AdaBoost) e Meta-Ensembles (Voting e Stacking Classifier com meta-modelo em Regressão Logística).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6.2. Comparativo de Desempenho sobre Dados Reais do DW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blHeader/>
          <w:cantSplit/>
        </w:trPr>
        <w:tc>
          <w:tcPr>
            <w:tcW w:type="dxa" w:w="2016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Modelo Avaliado</w:t>
            </w:r>
          </w:p>
        </w:tc>
        <w:tc>
          <w:tcPr>
            <w:tcW w:type="dxa" w:w="1296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144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CV ROC-AUC</w:t>
            </w:r>
          </w:p>
        </w:tc>
        <w:tc>
          <w:tcPr>
            <w:tcW w:type="dxa" w:w="115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Acurácia (Teste)</w:t>
            </w:r>
          </w:p>
        </w:tc>
        <w:tc>
          <w:tcPr>
            <w:tcW w:type="dxa" w:w="86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Precisão</w:t>
            </w:r>
          </w:p>
        </w:tc>
        <w:tc>
          <w:tcPr>
            <w:tcW w:type="dxa" w:w="7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7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15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ROC-AUC Teste</w:t>
            </w:r>
          </w:p>
        </w:tc>
      </w:tr>
      <w:tr>
        <w:trPr>
          <w:cantSplit/>
        </w:trPr>
        <w:tc>
          <w:tcPr>
            <w:tcW w:type="dxa" w:w="201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Gradient Boosting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Boosting</w:t>
            </w:r>
          </w:p>
        </w:tc>
        <w:tc>
          <w:tcPr>
            <w:tcW w:type="dxa" w:w="144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0,508 (±0,051)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79,50%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23,08%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8,82%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12,77%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0,583 (Melhor)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Stacking Classifier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Stacking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0,485 (±0,053)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83,00%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0,577</w:t>
            </w:r>
          </w:p>
        </w:tc>
      </w:tr>
      <w:tr>
        <w:trPr>
          <w:cantSplit/>
        </w:trPr>
        <w:tc>
          <w:tcPr>
            <w:tcW w:type="dxa" w:w="201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Voting Classifier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Soft Voting</w:t>
            </w:r>
          </w:p>
        </w:tc>
        <w:tc>
          <w:tcPr>
            <w:tcW w:type="dxa" w:w="144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0,491 (±0,050)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80,00%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0,572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Random Forest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Bagging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0,489 (±0,054)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83,00%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0,533</w:t>
            </w:r>
          </w:p>
        </w:tc>
      </w:tr>
      <w:tr>
        <w:trPr>
          <w:cantSplit/>
        </w:trPr>
        <w:tc>
          <w:tcPr>
            <w:tcW w:type="dxa" w:w="201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AdaBoost</w:t>
            </w:r>
          </w:p>
        </w:tc>
        <w:tc>
          <w:tcPr>
            <w:tcW w:type="dxa" w:w="129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Boosting</w:t>
            </w:r>
          </w:p>
        </w:tc>
        <w:tc>
          <w:tcPr>
            <w:tcW w:type="dxa" w:w="144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0,482 (±0,053)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83,00%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72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0,00%</w:t>
            </w:r>
          </w:p>
        </w:tc>
        <w:tc>
          <w:tcPr>
            <w:tcW w:type="dxa" w:w="115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0,531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6.3. Importância dos Atributos (Feature Importances - Gradient Boosting)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3106"/>
        <w:gridCol w:w="3106"/>
        <w:gridCol w:w="3106"/>
      </w:tblGrid>
      <w:tr>
        <w:trPr>
          <w:tblHeader/>
          <w:cantSplit/>
        </w:trPr>
        <w:tc>
          <w:tcPr>
            <w:tcW w:type="dxa" w:w="3456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Variável Explicativa</w:t>
            </w:r>
          </w:p>
        </w:tc>
        <w:tc>
          <w:tcPr>
            <w:tcW w:type="dxa" w:w="216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Importância Relativa (%)</w:t>
            </w:r>
          </w:p>
        </w:tc>
        <w:tc>
          <w:tcPr>
            <w:tcW w:type="dxa" w:w="374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Impacto Operacional</w:t>
            </w:r>
          </w:p>
        </w:tc>
      </w:tr>
      <w:tr>
        <w:trPr>
          <w:cantSplit/>
        </w:trPr>
        <w:tc>
          <w:tcPr>
            <w:tcW w:type="dxa" w:w="345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valor_orcamento</w:t>
            </w:r>
          </w:p>
        </w:tc>
        <w:tc>
          <w:tcPr>
            <w:tcW w:type="dxa" w:w="216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22,24%</w:t>
            </w:r>
          </w:p>
        </w:tc>
        <w:tc>
          <w:tcPr>
            <w:tcW w:type="dxa" w:w="374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Sensibilidade ao preço cobrado pelo prestador.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avaliacao_prestador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12,30%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Reputação e nível de confiança no profissional.</w:t>
            </w:r>
          </w:p>
        </w:tc>
      </w:tr>
      <w:tr>
        <w:trPr>
          <w:cantSplit/>
        </w:trPr>
        <w:tc>
          <w:tcPr>
            <w:tcW w:type="dxa" w:w="345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dias_para_primeiro_orcamento</w:t>
            </w:r>
          </w:p>
        </w:tc>
        <w:tc>
          <w:tcPr>
            <w:tcW w:type="dxa" w:w="216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7,37%</w:t>
            </w:r>
          </w:p>
        </w:tc>
        <w:tc>
          <w:tcPr>
            <w:tcW w:type="dxa" w:w="374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Agilidade na resposta inicial ao pedido.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qtd_orcamentos_recebidos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4,39%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Poder de escolha e concorrência na solicitação.</w:t>
            </w:r>
          </w:p>
        </w:tc>
      </w:tr>
      <w:tr>
        <w:trPr>
          <w:cantSplit/>
        </w:trPr>
        <w:tc>
          <w:tcPr>
            <w:tcW w:type="dxa" w:w="3456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qtd_categorias_servico</w:t>
            </w:r>
          </w:p>
        </w:tc>
        <w:tc>
          <w:tcPr>
            <w:tcW w:type="dxa" w:w="216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4,34%</w:t>
            </w:r>
          </w:p>
        </w:tc>
        <w:tc>
          <w:tcPr>
            <w:tcW w:type="dxa" w:w="3744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Complexidade e diversidade do escopo do serviço.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mensalidade_plano_prestador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color w:val="2D3748"/>
                <w:sz w:val="17"/>
              </w:rPr>
              <w:t>3,16%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Nível de engajamento do prestador na plataforma.</w:t>
            </w:r>
          </w:p>
        </w:tc>
      </w:tr>
    </w:tbl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7. Limitações Metodológicas e Riscos Técnicos (Transparência Científica)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Em conformidade com as boas práticas de experimentação e rigor científico, documentam-se as restrições e riscos associados ao experimento: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Esparsidade da Base Transacional: </w:t>
      </w:r>
      <w:r>
        <w:rPr>
          <w:rFonts w:ascii="Calibri" w:hAnsi="Calibri"/>
          <w:color w:val="2D3748"/>
          <w:sz w:val="19"/>
        </w:rPr>
        <w:t>A base possui 800 pedidos distribuídos entre 277 clientes ativos (~2,9 pedidos por cliente). Para Market Basket Analysis clássico, trata-se de uma base com esparsidade moderada. Os valores de Lift encontrados (máximo 1,390) devem ser interpretados como prova de conceito do pipeline metodológico e não como verdades definitivas de negócio.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Silhouette Score Moderado (0,217): </w:t>
      </w:r>
      <w:r>
        <w:rPr>
          <w:rFonts w:ascii="Calibri" w:hAnsi="Calibri"/>
          <w:color w:val="2D3748"/>
          <w:sz w:val="19"/>
        </w:rPr>
        <w:t>O score máximo de silhueta obtido (0,217 para k=2) é baixo em termos absolutos (valores &gt; 0,5 indicam forte densidade e separação). Isso decorre diretamente do fato de os dados do DW serem sintéticos, sem uma regra deliberada de segmentação embutida na geração inicial.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Origem Sintética dos Dados: </w:t>
      </w:r>
      <w:r>
        <w:rPr>
          <w:rFonts w:ascii="Calibri" w:hAnsi="Calibri"/>
          <w:color w:val="2D3748"/>
          <w:sz w:val="19"/>
        </w:rPr>
        <w:t>Como os dados foram gerados programaticamente sem relações causais determinísticas de cancelamento, os modelos preditivos supervisionados operaram próximos ao baseline aleatório (ROC-AUC 0,583), comprovando que o pipeline lê os dados reais do DW sem artificialismos.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Rollup Dimensional de Categorias: </w:t>
      </w:r>
      <w:r>
        <w:rPr>
          <w:rFonts w:ascii="Calibri" w:hAnsi="Calibri"/>
          <w:color w:val="2D3748"/>
          <w:sz w:val="19"/>
        </w:rPr>
        <w:t>Embora necessário para gerar suporte estatístico, o agrupamento em macro categorias perde detalhes específicos (ex.: não distingue instalação de manutenção dentro de Climatização).</w:t>
      </w: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8. Correções Técnicas Realizadas no Repositório</w:t>
      </w:r>
    </w:p>
    <w:p>
      <w:pPr>
        <w:spacing w:before="0" w:after="100" w:line="276" w:lineRule="auto"/>
        <w:jc w:val="both"/>
      </w:pPr>
      <w:r>
        <w:rPr>
          <w:rFonts w:ascii="Calibri" w:hAnsi="Calibri"/>
          <w:color w:val="2D3748"/>
          <w:sz w:val="20"/>
        </w:rPr>
        <w:t>Durante a evolução do projeto e consolidação desta branch, foram realizadas correções críticas de engenharia de software: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Correção do Dialeto SQLAlchemy: </w:t>
      </w:r>
      <w:r>
        <w:rPr>
          <w:rFonts w:ascii="Calibri" w:hAnsi="Calibri"/>
          <w:color w:val="2D3748"/>
          <w:sz w:val="19"/>
        </w:rPr>
        <w:t>A connection string postgresql:// (sem driver explícito) fazia o SQLAlchemy 2.1 tentar o dialeto psycopg (v3) em vez de psycopg2 (instalado), caindo silenciosamente no gerador sintético embutido sem tocar no banco de dados real. Corrigido especificando postgresql+psycopg2://.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Ambiente Python e Dependências: </w:t>
      </w:r>
      <w:r>
        <w:rPr>
          <w:rFonts w:ascii="Calibri" w:hAnsi="Calibri"/>
          <w:color w:val="2D3748"/>
          <w:sz w:val="19"/>
        </w:rPr>
        <w:t>Padronização das dependências no arquivo mining/requirements.txt e criação do ambiente virtual mining/.venv devidamente documentado no .gitignore.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Resolução de Caminhos Relativos: </w:t>
      </w:r>
      <w:r>
        <w:rPr>
          <w:rFonts w:ascii="Calibri" w:hAnsi="Calibri"/>
          <w:color w:val="2D3748"/>
          <w:sz w:val="19"/>
        </w:rPr>
        <w:t>Ajuste da orquestração para execução a partir da raiz do repositório, evitando a criação de diretórios aninhados como mining/mining/.</w:t>
      </w: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9. Recomendações Estratégicas de Negócio e Ações de CRM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9.1. Matriz de Ações por Segmento de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3106"/>
        <w:gridCol w:w="3106"/>
        <w:gridCol w:w="3106"/>
      </w:tblGrid>
      <w:tr>
        <w:trPr>
          <w:tblHeader/>
          <w:cantSplit/>
        </w:trPr>
        <w:tc>
          <w:tcPr>
            <w:tcW w:type="dxa" w:w="259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Segmento de Clientes</w:t>
            </w:r>
          </w:p>
        </w:tc>
        <w:tc>
          <w:tcPr>
            <w:tcW w:type="dxa" w:w="316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Padrão Transacional Descoberto</w:t>
            </w:r>
          </w:p>
        </w:tc>
        <w:tc>
          <w:tcPr>
            <w:tcW w:type="dxa" w:w="360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Plano de Ação Tático de CRM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Clientes Fiéis / Alto Valor (123 clientes)</w:t>
            </w:r>
          </w:p>
        </w:tc>
        <w:tc>
          <w:tcPr>
            <w:tcW w:type="dxa" w:w="3168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Alta afinidade transacional entre Chaveiros, Hidráulica e Residencial (Lift até 1,390 e confiança de 52,00%).</w:t>
            </w:r>
          </w:p>
        </w:tc>
        <w:tc>
          <w:tcPr>
            <w:tcW w:type="dxa" w:w="3600"/>
            <w:shd w:fill="F7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1. Cross-Sell Inteligente: Sugerir agendamento hidráulico durante o checkout de chaveiro.</w:t>
              <w:br/>
              <w:t>2. Pacotes Combinados: Criar combos 'Manutenção Residencial Total' com desconto.</w:t>
              <w:br/>
              <w:t>3. Fidelização: Canal prioritário de suporte e benefícios de pontuação.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Inativos / Baixo Engajamento (154 clientes)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Contratações pontuais e isoladas; ausência de regras frequentes; recência média elevada (813 dias).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1. Evitar ofertas agressivas de cross-sell precoce (alto risco de rejeição).</w:t>
              <w:br/>
              <w:t>2. Campanhas de Reativação: Cupom de desconto com validade de 15 dias para segunda contratação.</w:t>
              <w:br/>
              <w:t>3. Pesquisas de Churn: Questionários rápidos para mapear atritos de preço e atendimento.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9.2. Próximos Passos Técnicos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color w:val="2D3748"/>
          <w:sz w:val="19"/>
        </w:rPr>
        <w:t>Aumentar a densidade de pedidos por cliente nos scripts de carga sintética para reduzir a esparsidade transacional.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color w:val="2D3748"/>
          <w:sz w:val="19"/>
        </w:rPr>
        <w:t>Reavaliar o valor de k à medida que novos dados reais forem integrados ao Data Warehouse.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color w:val="2D3748"/>
          <w:sz w:val="19"/>
        </w:rPr>
        <w:t>Revisar as features explicativas de cancelamento para identificar métricas de maior poder preditivo.</w:t>
      </w:r>
    </w:p>
    <w:p>
      <w:pPr>
        <w:keepNext/>
        <w:spacing w:before="320" w:after="12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28"/>
        </w:rPr>
        <w:t>10. Guia de Reprodutibilidade e Entregáveis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10.1. Comandos de Execução do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</w:tblBorders>
      </w:tblPr>
      <w:tblGrid>
        <w:gridCol w:w="9317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# Execução completa ponta a ponta (Linux / macOS):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chmod +x executar_pipeline.sh &amp;&amp; ./executar_pipeline.sh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# Execução no Windows (PowerShell):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.\executar_pipeline.ps1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# Execução individual das etapas de mineração (a partir da raiz):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python3 mining/clusterizacao/segmentar_clientes.py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python3 mining/associacao/regras_associacao.py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1A202C"/>
                <w:sz w:val="17"/>
              </w:rPr>
              <w:t>python3 mining/ensemble/treinar_ensemble.py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10.2. Inventário de Arquivos do Projeto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Documento Word (.docx): </w:t>
      </w:r>
      <w:r>
        <w:rPr>
          <w:rFonts w:ascii="Calibri" w:hAnsi="Calibri"/>
          <w:color w:val="2D3748"/>
          <w:sz w:val="19"/>
        </w:rPr>
        <w:t>RELATORIO_TECNICO_FINAL.docx (no root e em mining/) — Relatório oficial em Word totalmente editável.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Documento PDF (.pdf): </w:t>
      </w:r>
      <w:r>
        <w:rPr>
          <w:rFonts w:ascii="Calibri" w:hAnsi="Calibri"/>
          <w:color w:val="2D3748"/>
          <w:sz w:val="19"/>
        </w:rPr>
        <w:t>RELATORIO_TECNICO_FINAL.pdf (no root e em mining/) — Versão final impressa com diagramação ABNT.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Documentos Fonte: </w:t>
      </w:r>
      <w:r>
        <w:rPr>
          <w:rFonts w:ascii="Calibri" w:hAnsi="Calibri"/>
          <w:color w:val="2D3748"/>
          <w:sz w:val="19"/>
        </w:rPr>
        <w:t>RELATORIO_TECNICO_FINAL.html e RELATORIO_TECNICO.md — Fontes originais em Markdown e HTML.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Scripts de Banco (SQL): </w:t>
      </w:r>
      <w:r>
        <w:rPr>
          <w:rFonts w:ascii="Calibri" w:hAnsi="Calibri"/>
          <w:color w:val="2D3748"/>
          <w:sz w:val="19"/>
        </w:rPr>
        <w:t>dw/01_oltp_ddl.sql até dw/09_segmentacao_clientes_ddl.sql — DDL e cargas do Data Warehouse.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Scripts de Mineração: </w:t>
      </w:r>
      <w:r>
        <w:rPr>
          <w:rFonts w:ascii="Calibri" w:hAnsi="Calibri"/>
          <w:color w:val="2D3748"/>
          <w:sz w:val="19"/>
        </w:rPr>
        <w:t>mining/clusterizacao/, mining/associacao/ e mining/ensemble/ — Códigos de mineração e aprendizado.</w:t>
      </w:r>
    </w:p>
    <w:p>
      <w:pPr>
        <w:pStyle w:val="ListBullet"/>
        <w:spacing w:before="0" w:after="60" w:line="276" w:lineRule="auto"/>
        <w:jc w:val="both"/>
      </w:pPr>
      <w:r>
        <w:rPr>
          <w:rFonts w:ascii="Calibri" w:hAnsi="Calibri"/>
          <w:b/>
          <w:color w:val="1A202C"/>
          <w:sz w:val="19"/>
        </w:rPr>
        <w:t xml:space="preserve">Views de BI: </w:t>
      </w:r>
      <w:r>
        <w:rPr>
          <w:rFonts w:ascii="Calibri" w:hAnsi="Calibri"/>
          <w:color w:val="2D3748"/>
          <w:sz w:val="19"/>
        </w:rPr>
        <w:t>metabase/views/vw_segmentacao_clientes.sql — Views analíticas para dashboards no Metabase.</w:t>
      </w:r>
    </w:p>
    <w:p>
      <w:pPr>
        <w:spacing w:before="600" w:after="40"/>
        <w:jc w:val="center"/>
      </w:pPr>
      <w:r>
        <w:rPr>
          <w:rFonts w:ascii="Calibri" w:hAnsi="Calibri"/>
          <w:color w:val="718096"/>
          <w:sz w:val="19"/>
        </w:rPr>
        <w:t>_____________________________________________________</w:t>
        <w:br/>
      </w:r>
      <w:r>
        <w:rPr>
          <w:rFonts w:ascii="Calibri" w:hAnsi="Calibri"/>
          <w:b/>
          <w:color w:val="1A202C"/>
          <w:sz w:val="20"/>
        </w:rPr>
        <w:t>Ivânio / Equipe Prestador Nota 10</w:t>
        <w:br/>
      </w:r>
      <w:r>
        <w:rPr>
          <w:rFonts w:ascii="Calibri" w:hAnsi="Calibri"/>
          <w:color w:val="4A5568"/>
          <w:sz w:val="17"/>
        </w:rPr>
        <w:t>Instituto Federal de Educação, Ciência e Tecnologia de Goiás (IFG)</w:t>
        <w:br/>
        <w:t>Câmpus Goiânia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A0AEC0"/>
        <w:sz w:val="15"/>
      </w:rPr>
      <w:t>Relatório Técnico Oficial — Documento de Engenharia e Mineração de Dados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A0AEC0"/>
        <w:sz w:val="15"/>
      </w:rPr>
      <w:t>IFG — Tópicos Avançados em IA I  |  Projeto Prestador Nota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