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35" w:firstLine="0"/>
        <w:jc w:val="both"/>
        <w:rPr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right="35" w:firstLine="0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40" w:w="11900" w:orient="portrait"/>
          <w:pgMar w:bottom="900" w:top="1600" w:left="1680" w:right="1680" w:header="283.46456692913387" w:footer="720.0000000000001"/>
          <w:pgNumType w:start="1"/>
          <w:titlePg w:val="1"/>
        </w:sectPr>
      </w:pPr>
      <w:r w:rsidDel="00000000" w:rsidR="00000000" w:rsidRPr="00000000">
        <w:rPr>
          <w:color w:val="008080"/>
          <w:rtl w:val="0"/>
        </w:rPr>
        <w:t xml:space="preserve">Admission, Transfer and Discharge Protocol for Individuals in our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78"/>
        </w:tabs>
        <w:spacing w:before="90" w:lineRule="auto"/>
        <w:ind w:right="3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0" w:line="240" w:lineRule="auto"/>
        <w:ind w:left="47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0" w:line="368" w:lineRule="auto"/>
        <w:ind w:left="478" w:right="35" w:hanging="3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Policy context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8"/>
        </w:tabs>
        <w:spacing w:after="0" w:before="1" w:line="240" w:lineRule="auto"/>
        <w:ind w:left="1197" w:right="35" w:hanging="72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Local policy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0" w:line="240" w:lineRule="auto"/>
        <w:ind w:left="478" w:right="35" w:hanging="3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Principles &amp; Values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0" w:line="368" w:lineRule="auto"/>
        <w:ind w:left="478" w:right="35" w:hanging="3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Roles and responsibilities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7"/>
        </w:tabs>
        <w:spacing w:after="0" w:before="0" w:line="368" w:lineRule="auto"/>
        <w:ind w:left="1196" w:right="35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Admission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8"/>
        </w:tabs>
        <w:spacing w:after="0" w:before="0" w:line="240" w:lineRule="auto"/>
        <w:ind w:left="1197" w:right="35" w:hanging="72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 assessment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8"/>
        </w:tabs>
        <w:spacing w:after="0" w:before="1" w:line="368" w:lineRule="auto"/>
        <w:ind w:left="1197" w:right="35" w:hanging="72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Transfer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7"/>
        </w:tabs>
        <w:spacing w:after="0" w:before="0" w:line="368" w:lineRule="auto"/>
        <w:ind w:left="1197" w:right="35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Discharge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0" w:line="240" w:lineRule="auto"/>
        <w:ind w:left="47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Monitoring, Review &amp; Audit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0" w:line="240" w:lineRule="auto"/>
        <w:ind w:left="47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Training &amp; Development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900" w:top="1600" w:left="1680" w:right="1680" w:header="0" w:footer="71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leader="none" w:pos="563"/>
        </w:tabs>
        <w:spacing w:before="90" w:lineRule="auto"/>
        <w:ind w:left="562" w:right="35" w:hanging="446"/>
        <w:jc w:val="both"/>
        <w:rPr/>
      </w:pPr>
      <w:r w:rsidDel="00000000" w:rsidR="00000000" w:rsidRPr="00000000">
        <w:rPr>
          <w:color w:val="000080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template provides recommended key points that should be contained in a joint, locally agreed Admission, Transfer and Discharge (ATD) protocol for use in </w:t>
      </w: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aim is to offer guidelines on practice to healthcare professionals with the emphasis throughout on multi-disciplinary, inter-agency working and collaboration.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7" w:right="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Partnerships must endorse the completed protocol with the Director of </w:t>
      </w: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all relevant Local Authorities signing it off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leader="none" w:pos="474"/>
        </w:tabs>
        <w:spacing w:before="232" w:lineRule="auto"/>
        <w:ind w:left="473" w:right="35" w:hanging="357"/>
        <w:jc w:val="both"/>
        <w:rPr/>
      </w:pPr>
      <w:r w:rsidDel="00000000" w:rsidR="00000000" w:rsidRPr="00000000">
        <w:rPr>
          <w:color w:val="00008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should recognise the importance of a jointly agreed protocol for discharge from </w:t>
      </w: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facilities.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37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direct staff into a consistent coordinated approach with multi- disciplinary, multi-agency input while maintaining the individuals interests as central to the discharge planning process.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4" w:line="240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remind staff that this is a working document and as services           and practices develop, it will require to be reviewed to improve or add               to ways of working and to accommodate new service developments.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Admissions Transfer Discharge protocol should have a date of issue and a review date.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40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practice indicates that an admission, transfer and discharge steering group should be established to launch, implement, evaluate, monitor, review and audit this working document.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40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protocols should be well publicised and promoted to                ensure all relevant staff are familiar with the document and encouraged to use 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37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900" w:top="1600" w:left="1680" w:right="1680" w:header="0" w:footer="71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vital that each stage of the discharge process has agreed               maximum timescales for completion.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tabs>
          <w:tab w:val="left" w:leader="none" w:pos="474"/>
        </w:tabs>
        <w:spacing w:before="78" w:lineRule="auto"/>
        <w:ind w:left="473" w:right="35" w:hanging="357"/>
        <w:jc w:val="both"/>
        <w:rPr/>
      </w:pPr>
      <w:r w:rsidDel="00000000" w:rsidR="00000000" w:rsidRPr="00000000">
        <w:rPr>
          <w:color w:val="000080"/>
          <w:rtl w:val="0"/>
        </w:rPr>
        <w:t xml:space="preserve">Policy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5"/>
        </w:numPr>
        <w:tabs>
          <w:tab w:val="left" w:leader="none" w:pos="837"/>
          <w:tab w:val="left" w:leader="none" w:pos="839"/>
        </w:tabs>
        <w:spacing w:before="91" w:lineRule="auto"/>
        <w:ind w:left="838" w:right="35" w:hanging="722"/>
        <w:jc w:val="both"/>
        <w:rPr/>
      </w:pPr>
      <w:r w:rsidDel="00000000" w:rsidR="00000000" w:rsidRPr="00000000">
        <w:rPr>
          <w:color w:val="808080"/>
          <w:rtl w:val="0"/>
        </w:rPr>
        <w:t xml:space="preserve">Local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3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specific local issues or policies should be detailed in this section.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900" w:top="1360" w:left="1680" w:right="1680" w:header="0" w:footer="71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recommended that locally, an Admission Transfer Discharge protocol is devised. 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tabs>
          <w:tab w:val="left" w:leader="none" w:pos="474"/>
        </w:tabs>
        <w:spacing w:before="78" w:lineRule="auto"/>
        <w:ind w:left="473" w:right="35" w:hanging="357"/>
        <w:jc w:val="both"/>
        <w:rPr/>
      </w:pPr>
      <w:r w:rsidDel="00000000" w:rsidR="00000000" w:rsidRPr="00000000">
        <w:rPr>
          <w:color w:val="000080"/>
          <w:rtl w:val="0"/>
        </w:rPr>
        <w:t xml:space="preserve">Principles and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would include the principles and values, which are drawn in part from work within </w:t>
      </w: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outline the aims of the protocols, which might include ensuring: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3.00000000000006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Individuals receive the right care in the right place at the right time.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 and timely discharge from our facilities to a more appropriate setting.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use is made of public resources.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40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Individuals and their carers are involved and supported in the discharge       process.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3.00000000000006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managers and staff know what to do and where, when and how to do it.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tabs>
          <w:tab w:val="left" w:leader="none" w:pos="474"/>
        </w:tabs>
        <w:ind w:left="473" w:right="35" w:hanging="357"/>
        <w:jc w:val="both"/>
        <w:rPr/>
      </w:pPr>
      <w:r w:rsidDel="00000000" w:rsidR="00000000" w:rsidRPr="00000000">
        <w:rPr>
          <w:color w:val="000080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76" w:lineRule="auto"/>
        <w:ind w:left="117" w:right="3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None of the lists in the following sections are exhaustive and should include anything pertinent to local areas.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3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17" w:right="3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 web links should be included where appropriate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17" w:right="3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lists are not exclusive to any one part of the process and may be applicable throughout the service users’ pathway.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3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should clearly identify and describe the roles and responsibilities  of all stakeholders involved, for example: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3.00000000000006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being supported including family/carers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 Staff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 of Operations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 Health/Care Partnerships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Acute Sector/Primary Care Services (where required)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Staff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Authorities including learning disabilities services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Mental Health Professionals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Enabling and Rehabilitation Services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Pharmacists and GP’s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 Advocacy Services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3.00000000000006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900" w:top="1360" w:left="1680" w:right="1680" w:header="0" w:footer="71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 agencies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tabs>
          <w:tab w:val="left" w:leader="none" w:pos="837"/>
          <w:tab w:val="left" w:leader="none" w:pos="838"/>
        </w:tabs>
        <w:spacing w:before="91" w:lineRule="auto"/>
        <w:ind w:left="837" w:right="35" w:hanging="721"/>
        <w:jc w:val="both"/>
        <w:rPr/>
      </w:pPr>
      <w:r w:rsidDel="00000000" w:rsidR="00000000" w:rsidRPr="00000000">
        <w:rPr>
          <w:color w:val="808080"/>
          <w:rtl w:val="0"/>
        </w:rPr>
        <w:t xml:space="preserve">Admission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3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admission process should be well defined and consistent for each type of admission/specialty. This section should provide evidence that discharge planning has commenced. This should include the following: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40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consent to information sharing between organisations and systems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plan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Planned admission criteria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Unplanned admission criteria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2" w:line="237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Planned assessment/initial assessment of need - this should be          inclusive of functional cognitive screening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" w:line="293.00000000000006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identification of adults in need of support or protection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identification of adults with incapacity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identification of issues relating to homelessness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1" w:line="237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Estimated/Planned Date of Discharge should be agreed, recorded and reviewed as required ensuring that the individual and support staff as well as </w:t>
      </w: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consulted at   all times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4" w:line="240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should be agreed locally and consider the principles of single shared assessment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" w:line="237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Consent/information sharing should be in alignment with local and professional standards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" w:line="240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Evidence of a clear communication strategy for each individual that takes into account of their needs, abilities and appropriate means of communication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" w:line="237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with other agencies/multi professionals to ensure effective individual admission and discharge pathways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" w:line="240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Mental Health – Advanced Statement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4"/>
        </w:numPr>
        <w:tabs>
          <w:tab w:val="left" w:leader="none" w:pos="837"/>
          <w:tab w:val="left" w:leader="none" w:pos="839"/>
        </w:tabs>
        <w:ind w:left="838" w:right="35" w:hanging="722"/>
        <w:jc w:val="both"/>
        <w:rPr/>
      </w:pPr>
      <w:r w:rsidDel="00000000" w:rsidR="00000000" w:rsidRPr="00000000">
        <w:rPr>
          <w:color w:val="808080"/>
          <w:rtl w:val="0"/>
        </w:rPr>
        <w:t xml:space="preserve">Post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3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the outcomes from assessment, the information identified could be used to inform the discharge plan below: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1.99999999999994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Choice of accommodation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1.99999999999994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Home information including access to Care Quality Commission reports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40" w:lineRule="auto"/>
        <w:ind w:left="89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Agreement to local authority charging policies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1.99999999999994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Provider assessment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1.99999999999994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Adults with Incapacity issues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3.00000000000006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900" w:top="1600" w:left="1680" w:right="1680" w:header="0" w:footer="718"/>
        </w:sectPr>
      </w:pP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Care and Support Planning policy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3" w:line="293.00000000000006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of life care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1.99999999999994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Equipment and adaptations needed in the home for the individual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1.99999999999994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Assistive Technology (where needed)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1.99999999999994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Housing within </w:t>
      </w: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Properties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1.99999999999994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Benefits, Rents and funding (Universal Credit)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7"/>
          <w:tab w:val="left" w:leader="none" w:pos="898"/>
        </w:tabs>
        <w:spacing w:after="0" w:before="0" w:line="293.00000000000006" w:lineRule="auto"/>
        <w:ind w:left="89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Advocacy services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4"/>
        </w:numPr>
        <w:tabs>
          <w:tab w:val="left" w:leader="none" w:pos="837"/>
          <w:tab w:val="left" w:leader="none" w:pos="838"/>
        </w:tabs>
        <w:ind w:left="837" w:right="35" w:hanging="721"/>
        <w:jc w:val="both"/>
        <w:rPr/>
      </w:pPr>
      <w:r w:rsidDel="00000000" w:rsidR="00000000" w:rsidRPr="00000000">
        <w:rPr>
          <w:color w:val="808080"/>
          <w:rtl w:val="0"/>
        </w:rPr>
        <w:t xml:space="preserve">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3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transfer process should be well defined and consistent for each type of transfer. The processes, procedures and authorisation required should all be outlined in this section: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" w:line="293.00000000000006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 of assessment information and other details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 issues to be addressed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 options for intermediate care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 within </w:t>
      </w:r>
      <w:r w:rsidDel="00000000" w:rsidR="00000000" w:rsidRPr="00000000">
        <w:rPr>
          <w:sz w:val="24"/>
          <w:szCs w:val="24"/>
          <w:rtl w:val="0"/>
        </w:rPr>
        <w:t xml:space="preserve">Care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homes (where possible voids exist)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40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Consideration of legal aspects for vulnerable adults/adults without capacity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4"/>
        </w:numPr>
        <w:tabs>
          <w:tab w:val="left" w:leader="none" w:pos="837"/>
          <w:tab w:val="left" w:leader="none" w:pos="838"/>
        </w:tabs>
        <w:ind w:left="837" w:right="35" w:hanging="721"/>
        <w:jc w:val="both"/>
        <w:rPr/>
      </w:pPr>
      <w:r w:rsidDel="00000000" w:rsidR="00000000" w:rsidRPr="00000000">
        <w:rPr>
          <w:color w:val="808080"/>
          <w:rtl w:val="0"/>
        </w:rPr>
        <w:t xml:space="preserve">Discharge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3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planning facilitates a safe, appropriate, and timely discharge into the community to another facility. This section should include: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" w:line="237" w:lineRule="auto"/>
        <w:ind w:left="83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Current/ongoing risk assessment and management plans that should facilitate an effective move to the community setting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" w:line="293.00000000000006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Provider Strategy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900" w:top="1360" w:left="1680" w:right="1680" w:header="0" w:footer="71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completed discharge checklist that is signed and dated in partnership with all concerned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tabs>
          <w:tab w:val="left" w:leader="none" w:pos="473"/>
        </w:tabs>
        <w:ind w:left="472" w:right="35" w:hanging="356"/>
        <w:jc w:val="both"/>
        <w:rPr/>
      </w:pPr>
      <w:r w:rsidDel="00000000" w:rsidR="00000000" w:rsidRPr="00000000">
        <w:rPr>
          <w:color w:val="000080"/>
          <w:rtl w:val="0"/>
        </w:rPr>
        <w:t xml:space="preserve">Monitoring, Review and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completed Admission, Transfer and Discharge Protocol must have an agreed monitoring and review procedure and an audit tool in place to evaluate its effectiveness.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some examples of how this may achieved: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8"/>
        </w:tabs>
        <w:spacing w:after="0" w:before="1" w:line="293.00000000000006" w:lineRule="auto"/>
        <w:ind w:left="47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Failed or poorly executed admissions, transfers and discharges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8"/>
        </w:tabs>
        <w:spacing w:after="0" w:before="0" w:line="240" w:lineRule="auto"/>
        <w:ind w:left="477" w:right="3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Measuring actual journeys against agreed timescales as set out in the Protocol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8"/>
        </w:tabs>
        <w:spacing w:after="0" w:before="0" w:line="291.99999999999994" w:lineRule="auto"/>
        <w:ind w:left="47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review of procedures where systems have failed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8"/>
        </w:tabs>
        <w:spacing w:after="0" w:before="0" w:line="291.99999999999994" w:lineRule="auto"/>
        <w:ind w:left="47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of both formal and informal complaints procedure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8"/>
        </w:tabs>
        <w:spacing w:after="0" w:before="0" w:line="291.99999999999994" w:lineRule="auto"/>
        <w:ind w:left="47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and relevant Audit tool</w:t>
      </w:r>
      <w:bookmarkStart w:colFirst="0" w:colLast="0" w:name="bookmark=id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8"/>
        </w:tabs>
        <w:spacing w:after="0" w:before="0" w:line="291.99999999999994" w:lineRule="auto"/>
        <w:ind w:left="47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Reports from the specified services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8"/>
        </w:tabs>
        <w:spacing w:after="0" w:before="0" w:line="293.00000000000006" w:lineRule="auto"/>
        <w:ind w:left="47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for review and update of the Protocol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tabs>
          <w:tab w:val="left" w:leader="none" w:pos="563"/>
        </w:tabs>
        <w:ind w:left="562" w:right="35" w:hanging="446"/>
        <w:jc w:val="both"/>
        <w:rPr/>
      </w:pPr>
      <w:r w:rsidDel="00000000" w:rsidR="00000000" w:rsidRPr="00000000">
        <w:rPr>
          <w:color w:val="000080"/>
          <w:rtl w:val="0"/>
        </w:rPr>
        <w:t xml:space="preserve">Training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2"/>
        </w:tabs>
        <w:spacing w:after="0" w:before="275" w:line="240" w:lineRule="auto"/>
        <w:ind w:left="117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should evidence the importance of induction and ongoing training and development for all</w:t>
        <w:tab/>
        <w:t xml:space="preserve">Partners involved in the Admission, Transfer and Discharge process. Consideration must be given to the following: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3.00000000000006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and support staff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Multidisciplinary Team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 staff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other professionals, organisations, and other services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Documentation, Record Keeping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Policy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Development Plans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and Skills Framework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1.99999999999994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Development Reviews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0" w:line="293.00000000000006" w:lineRule="auto"/>
        <w:ind w:left="837" w:right="35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Self-assessed training needs</w:t>
      </w:r>
    </w:p>
    <w:sectPr>
      <w:type w:val="nextPage"/>
      <w:pgSz w:h="16840" w:w="11900" w:orient="portrait"/>
      <w:pgMar w:bottom="900" w:top="1360" w:left="1680" w:right="1680" w:header="0" w:footer="7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widowControl w:val="1"/>
      <w:tabs>
        <w:tab w:val="center" w:leader="none" w:pos="9060"/>
        <w:tab w:val="right" w:leader="none" w:pos="9026"/>
      </w:tabs>
      <w:spacing w:after="200" w:line="276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338263" cy="9048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1806" l="0" r="0" t="10652"/>
                  <a:stretch>
                    <a:fillRect/>
                  </a:stretch>
                </pic:blipFill>
                <pic:spPr>
                  <a:xfrm>
                    <a:off x="0" y="0"/>
                    <a:ext cx="1338263" cy="9048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2" w:hanging="445"/>
      </w:pPr>
      <w:rPr>
        <w:rFonts w:ascii="Arial" w:cs="Arial" w:eastAsia="Arial" w:hAnsi="Arial"/>
        <w:b w:val="1"/>
        <w:i w:val="0"/>
        <w:color w:val="000080"/>
        <w:sz w:val="32"/>
        <w:szCs w:val="32"/>
      </w:rPr>
    </w:lvl>
    <w:lvl w:ilvl="1">
      <w:start w:val="0"/>
      <w:numFmt w:val="bullet"/>
      <w:lvlText w:val="●"/>
      <w:lvlJc w:val="left"/>
      <w:pPr>
        <w:ind w:left="837" w:hanging="36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95" w:hanging="361"/>
      </w:pPr>
      <w:rPr/>
    </w:lvl>
    <w:lvl w:ilvl="3">
      <w:start w:val="0"/>
      <w:numFmt w:val="bullet"/>
      <w:lvlText w:val="•"/>
      <w:lvlJc w:val="left"/>
      <w:pPr>
        <w:ind w:left="2551" w:hanging="361"/>
      </w:pPr>
      <w:rPr/>
    </w:lvl>
    <w:lvl w:ilvl="4">
      <w:start w:val="0"/>
      <w:numFmt w:val="bullet"/>
      <w:lvlText w:val="•"/>
      <w:lvlJc w:val="left"/>
      <w:pPr>
        <w:ind w:left="3406" w:hanging="361"/>
      </w:pPr>
      <w:rPr/>
    </w:lvl>
    <w:lvl w:ilvl="5">
      <w:start w:val="0"/>
      <w:numFmt w:val="bullet"/>
      <w:lvlText w:val="•"/>
      <w:lvlJc w:val="left"/>
      <w:pPr>
        <w:ind w:left="4262" w:hanging="361.00000000000045"/>
      </w:pPr>
      <w:rPr/>
    </w:lvl>
    <w:lvl w:ilvl="6">
      <w:start w:val="0"/>
      <w:numFmt w:val="bullet"/>
      <w:lvlText w:val="•"/>
      <w:lvlJc w:val="left"/>
      <w:pPr>
        <w:ind w:left="5117" w:hanging="361"/>
      </w:pPr>
      <w:rPr/>
    </w:lvl>
    <w:lvl w:ilvl="7">
      <w:start w:val="0"/>
      <w:numFmt w:val="bullet"/>
      <w:lvlText w:val="•"/>
      <w:lvlJc w:val="left"/>
      <w:pPr>
        <w:ind w:left="5973" w:hanging="361.0000000000009"/>
      </w:pPr>
      <w:rPr/>
    </w:lvl>
    <w:lvl w:ilvl="8">
      <w:start w:val="0"/>
      <w:numFmt w:val="bullet"/>
      <w:lvlText w:val="•"/>
      <w:lvlJc w:val="left"/>
      <w:pPr>
        <w:ind w:left="6828" w:hanging="361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77" w:hanging="361"/>
      </w:pPr>
      <w:rPr>
        <w:rFonts w:ascii="Arial" w:cs="Arial" w:eastAsia="Arial" w:hAnsi="Arial"/>
        <w:b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197" w:hanging="720"/>
      </w:pPr>
      <w:rPr>
        <w:rFonts w:ascii="Arial" w:cs="Arial" w:eastAsia="Arial" w:hAnsi="Arial"/>
        <w:b w:val="0"/>
        <w:i w:val="0"/>
        <w:sz w:val="32"/>
        <w:szCs w:val="32"/>
      </w:rPr>
    </w:lvl>
    <w:lvl w:ilvl="2">
      <w:start w:val="0"/>
      <w:numFmt w:val="bullet"/>
      <w:lvlText w:val="•"/>
      <w:lvlJc w:val="left"/>
      <w:pPr>
        <w:ind w:left="2015" w:hanging="720"/>
      </w:pPr>
      <w:rPr/>
    </w:lvl>
    <w:lvl w:ilvl="3">
      <w:start w:val="0"/>
      <w:numFmt w:val="bullet"/>
      <w:lvlText w:val="•"/>
      <w:lvlJc w:val="left"/>
      <w:pPr>
        <w:ind w:left="2831" w:hanging="720"/>
      </w:pPr>
      <w:rPr/>
    </w:lvl>
    <w:lvl w:ilvl="4">
      <w:start w:val="0"/>
      <w:numFmt w:val="bullet"/>
      <w:lvlText w:val="•"/>
      <w:lvlJc w:val="left"/>
      <w:pPr>
        <w:ind w:left="3646" w:hanging="720"/>
      </w:pPr>
      <w:rPr/>
    </w:lvl>
    <w:lvl w:ilvl="5">
      <w:start w:val="0"/>
      <w:numFmt w:val="bullet"/>
      <w:lvlText w:val="•"/>
      <w:lvlJc w:val="left"/>
      <w:pPr>
        <w:ind w:left="4462" w:hanging="720"/>
      </w:pPr>
      <w:rPr/>
    </w:lvl>
    <w:lvl w:ilvl="6">
      <w:start w:val="0"/>
      <w:numFmt w:val="bullet"/>
      <w:lvlText w:val="•"/>
      <w:lvlJc w:val="left"/>
      <w:pPr>
        <w:ind w:left="5277" w:hanging="720"/>
      </w:pPr>
      <w:rPr/>
    </w:lvl>
    <w:lvl w:ilvl="7">
      <w:start w:val="0"/>
      <w:numFmt w:val="bullet"/>
      <w:lvlText w:val="•"/>
      <w:lvlJc w:val="left"/>
      <w:pPr>
        <w:ind w:left="6093" w:hanging="720"/>
      </w:pPr>
      <w:rPr/>
    </w:lvl>
    <w:lvl w:ilvl="8">
      <w:start w:val="0"/>
      <w:numFmt w:val="bullet"/>
      <w:lvlText w:val="•"/>
      <w:lvlJc w:val="left"/>
      <w:pPr>
        <w:ind w:left="6908" w:hanging="72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477" w:hanging="36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86" w:hanging="361"/>
      </w:pPr>
      <w:rPr/>
    </w:lvl>
    <w:lvl w:ilvl="2">
      <w:start w:val="0"/>
      <w:numFmt w:val="bullet"/>
      <w:lvlText w:val="•"/>
      <w:lvlJc w:val="left"/>
      <w:pPr>
        <w:ind w:left="2092" w:hanging="361"/>
      </w:pPr>
      <w:rPr/>
    </w:lvl>
    <w:lvl w:ilvl="3">
      <w:start w:val="0"/>
      <w:numFmt w:val="bullet"/>
      <w:lvlText w:val="•"/>
      <w:lvlJc w:val="left"/>
      <w:pPr>
        <w:ind w:left="2898" w:hanging="361"/>
      </w:pPr>
      <w:rPr/>
    </w:lvl>
    <w:lvl w:ilvl="4">
      <w:start w:val="0"/>
      <w:numFmt w:val="bullet"/>
      <w:lvlText w:val="•"/>
      <w:lvlJc w:val="left"/>
      <w:pPr>
        <w:ind w:left="3704" w:hanging="361.00000000000045"/>
      </w:pPr>
      <w:rPr/>
    </w:lvl>
    <w:lvl w:ilvl="5">
      <w:start w:val="0"/>
      <w:numFmt w:val="bullet"/>
      <w:lvlText w:val="•"/>
      <w:lvlJc w:val="left"/>
      <w:pPr>
        <w:ind w:left="4510" w:hanging="361"/>
      </w:pPr>
      <w:rPr/>
    </w:lvl>
    <w:lvl w:ilvl="6">
      <w:start w:val="0"/>
      <w:numFmt w:val="bullet"/>
      <w:lvlText w:val="•"/>
      <w:lvlJc w:val="left"/>
      <w:pPr>
        <w:ind w:left="5316" w:hanging="361"/>
      </w:pPr>
      <w:rPr/>
    </w:lvl>
    <w:lvl w:ilvl="7">
      <w:start w:val="0"/>
      <w:numFmt w:val="bullet"/>
      <w:lvlText w:val="•"/>
      <w:lvlJc w:val="left"/>
      <w:pPr>
        <w:ind w:left="6122" w:hanging="361"/>
      </w:pPr>
      <w:rPr/>
    </w:lvl>
    <w:lvl w:ilvl="8">
      <w:start w:val="0"/>
      <w:numFmt w:val="bullet"/>
      <w:lvlText w:val="•"/>
      <w:lvlJc w:val="left"/>
      <w:pPr>
        <w:ind w:left="6928" w:hanging="361.0000000000009"/>
      </w:pPr>
      <w:rPr/>
    </w:lvl>
  </w:abstractNum>
  <w:abstractNum w:abstractNumId="4">
    <w:lvl w:ilvl="0">
      <w:start w:val="5"/>
      <w:numFmt w:val="decimal"/>
      <w:lvlText w:val="%1"/>
      <w:lvlJc w:val="left"/>
      <w:pPr>
        <w:ind w:left="837" w:hanging="720"/>
      </w:pPr>
      <w:rPr/>
    </w:lvl>
    <w:lvl w:ilvl="1">
      <w:start w:val="1"/>
      <w:numFmt w:val="decimal"/>
      <w:lvlText w:val="%1.%2"/>
      <w:lvlJc w:val="left"/>
      <w:pPr>
        <w:ind w:left="837" w:hanging="720"/>
      </w:pPr>
      <w:rPr>
        <w:rFonts w:ascii="Arial" w:cs="Arial" w:eastAsia="Arial" w:hAnsi="Arial"/>
        <w:b w:val="1"/>
        <w:i w:val="0"/>
        <w:color w:val="808080"/>
        <w:sz w:val="28"/>
        <w:szCs w:val="28"/>
      </w:rPr>
    </w:lvl>
    <w:lvl w:ilvl="2">
      <w:start w:val="0"/>
      <w:numFmt w:val="bullet"/>
      <w:lvlText w:val="●"/>
      <w:lvlJc w:val="left"/>
      <w:pPr>
        <w:ind w:left="837" w:hanging="36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597" w:hanging="361"/>
      </w:pPr>
      <w:rPr/>
    </w:lvl>
    <w:lvl w:ilvl="4">
      <w:start w:val="0"/>
      <w:numFmt w:val="bullet"/>
      <w:lvlText w:val="•"/>
      <w:lvlJc w:val="left"/>
      <w:pPr>
        <w:ind w:left="3446" w:hanging="361"/>
      </w:pPr>
      <w:rPr/>
    </w:lvl>
    <w:lvl w:ilvl="5">
      <w:start w:val="0"/>
      <w:numFmt w:val="bullet"/>
      <w:lvlText w:val="•"/>
      <w:lvlJc w:val="left"/>
      <w:pPr>
        <w:ind w:left="4295" w:hanging="361"/>
      </w:pPr>
      <w:rPr/>
    </w:lvl>
    <w:lvl w:ilvl="6">
      <w:start w:val="0"/>
      <w:numFmt w:val="bullet"/>
      <w:lvlText w:val="•"/>
      <w:lvlJc w:val="left"/>
      <w:pPr>
        <w:ind w:left="5144" w:hanging="361"/>
      </w:pPr>
      <w:rPr/>
    </w:lvl>
    <w:lvl w:ilvl="7">
      <w:start w:val="0"/>
      <w:numFmt w:val="bullet"/>
      <w:lvlText w:val="•"/>
      <w:lvlJc w:val="left"/>
      <w:pPr>
        <w:ind w:left="5993" w:hanging="361.0000000000009"/>
      </w:pPr>
      <w:rPr/>
    </w:lvl>
    <w:lvl w:ilvl="8">
      <w:start w:val="0"/>
      <w:numFmt w:val="bullet"/>
      <w:lvlText w:val="•"/>
      <w:lvlJc w:val="left"/>
      <w:pPr>
        <w:ind w:left="6842" w:hanging="361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837" w:hanging="720"/>
      </w:pPr>
      <w:rPr/>
    </w:lvl>
    <w:lvl w:ilvl="1">
      <w:start w:val="1"/>
      <w:numFmt w:val="decimal"/>
      <w:lvlText w:val="%1.%2"/>
      <w:lvlJc w:val="left"/>
      <w:pPr>
        <w:ind w:left="837" w:hanging="720"/>
      </w:pPr>
      <w:rPr>
        <w:rFonts w:ascii="Arial" w:cs="Arial" w:eastAsia="Arial" w:hAnsi="Arial"/>
        <w:b w:val="1"/>
        <w:i w:val="0"/>
        <w:color w:val="808080"/>
        <w:sz w:val="28"/>
        <w:szCs w:val="28"/>
      </w:rPr>
    </w:lvl>
    <w:lvl w:ilvl="2">
      <w:start w:val="0"/>
      <w:numFmt w:val="bullet"/>
      <w:lvlText w:val="•"/>
      <w:lvlJc w:val="left"/>
      <w:pPr>
        <w:ind w:left="2380" w:hanging="720"/>
      </w:pPr>
      <w:rPr/>
    </w:lvl>
    <w:lvl w:ilvl="3">
      <w:start w:val="0"/>
      <w:numFmt w:val="bullet"/>
      <w:lvlText w:val="•"/>
      <w:lvlJc w:val="left"/>
      <w:pPr>
        <w:ind w:left="3150" w:hanging="720"/>
      </w:pPr>
      <w:rPr/>
    </w:lvl>
    <w:lvl w:ilvl="4">
      <w:start w:val="0"/>
      <w:numFmt w:val="bullet"/>
      <w:lvlText w:val="•"/>
      <w:lvlJc w:val="left"/>
      <w:pPr>
        <w:ind w:left="3920" w:hanging="720"/>
      </w:pPr>
      <w:rPr/>
    </w:lvl>
    <w:lvl w:ilvl="5">
      <w:start w:val="0"/>
      <w:numFmt w:val="bullet"/>
      <w:lvlText w:val="•"/>
      <w:lvlJc w:val="left"/>
      <w:pPr>
        <w:ind w:left="4690" w:hanging="720"/>
      </w:pPr>
      <w:rPr/>
    </w:lvl>
    <w:lvl w:ilvl="6">
      <w:start w:val="0"/>
      <w:numFmt w:val="bullet"/>
      <w:lvlText w:val="•"/>
      <w:lvlJc w:val="left"/>
      <w:pPr>
        <w:ind w:left="5460" w:hanging="720"/>
      </w:pPr>
      <w:rPr/>
    </w:lvl>
    <w:lvl w:ilvl="7">
      <w:start w:val="0"/>
      <w:numFmt w:val="bullet"/>
      <w:lvlText w:val="•"/>
      <w:lvlJc w:val="left"/>
      <w:pPr>
        <w:ind w:left="6230" w:hanging="720"/>
      </w:pPr>
      <w:rPr/>
    </w:lvl>
    <w:lvl w:ilvl="8">
      <w:start w:val="0"/>
      <w:numFmt w:val="bullet"/>
      <w:lvlText w:val="•"/>
      <w:lvlJc w:val="left"/>
      <w:pPr>
        <w:ind w:left="700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73" w:hanging="357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837" w:hanging="72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83" w:lineRule="auto"/>
      <w:ind w:left="460" w:right="450" w:hanging="1.0000000000000142"/>
      <w:jc w:val="center"/>
    </w:pPr>
    <w:rPr>
      <w:sz w:val="56"/>
      <w:szCs w:val="56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ind w:left="473" w:hanging="357"/>
      <w:outlineLvl w:val="0"/>
    </w:pPr>
    <w:rPr>
      <w:b w:val="1"/>
      <w:bCs w:val="1"/>
      <w:sz w:val="32"/>
      <w:szCs w:val="32"/>
    </w:rPr>
  </w:style>
  <w:style w:type="paragraph" w:styleId="Heading2">
    <w:name w:val="heading 2"/>
    <w:basedOn w:val="Normal"/>
    <w:uiPriority w:val="9"/>
    <w:unhideWhenUsed w:val="1"/>
    <w:qFormat w:val="1"/>
    <w:pPr>
      <w:ind w:left="837" w:hanging="721"/>
      <w:outlineLvl w:val="1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837"/>
    </w:pPr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483"/>
      <w:ind w:left="460" w:right="450" w:hanging="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 w:val="1"/>
    <w:pPr>
      <w:spacing w:line="292" w:lineRule="exact"/>
      <w:ind w:left="837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D26ED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6ED5"/>
    <w:rPr>
      <w:rFonts w:ascii="Arial" w:cs="Arial" w:eastAsia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D26ED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6ED5"/>
    <w:rPr>
      <w:rFonts w:ascii="Arial" w:cs="Arial" w:eastAsia="Arial" w:hAnsi="Arial"/>
    </w:rPr>
  </w:style>
  <w:style w:type="paragraph" w:styleId="Revision">
    <w:name w:val="Revision"/>
    <w:hidden w:val="1"/>
    <w:uiPriority w:val="99"/>
    <w:semiHidden w:val="1"/>
    <w:rsid w:val="006A5BC4"/>
    <w:pPr>
      <w:widowControl w:val="1"/>
      <w:autoSpaceDE w:val="1"/>
      <w:autoSpaceDN w:val="1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HNn7khj1VmJ7rnKCvZTculuLA==">CgMxLjAyCWlkLmdqZGd4czIKaWQuMzBqMHpsbDIKaWQuMWZvYjl0ZTIKaWQuM3pueXNoNzgAciExZlc2TS1FRTNMZ0NnUjRid0g5YkdvVXFBcXJuUURhX3o=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2022-11-25T06:42:00Z</dcterms:created>
  <dc:creator>linda.conway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2009-10-15T00:00:00Z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2022-01-12T00:00:00Z</vt:filetime>
  </property>
</Properties>
</file>