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EE1" w:rsidRDefault="005A5540" w:rsidP="00656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547360" cy="71333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 S3.t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521" cy="713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7D" w:rsidRPr="00656EE1" w:rsidRDefault="00656EE1" w:rsidP="00190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90BC0">
        <w:rPr>
          <w:rFonts w:ascii="Times New Roman" w:hAnsi="Times New Roman" w:cs="Times New Roman"/>
          <w:b/>
          <w:sz w:val="24"/>
          <w:szCs w:val="24"/>
        </w:rPr>
        <w:t>Figure S</w:t>
      </w:r>
      <w:r w:rsidR="00317DC5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Habitat suitability change of each </w:t>
      </w:r>
      <w:r w:rsidR="005A5540">
        <w:rPr>
          <w:rFonts w:ascii="Times New Roman" w:hAnsi="Times New Roman" w:cs="Times New Roman"/>
          <w:sz w:val="24"/>
          <w:szCs w:val="24"/>
        </w:rPr>
        <w:t>ecological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group at a global scale comparing present </w:t>
      </w:r>
      <w:r w:rsidRPr="002D3226">
        <w:rPr>
          <w:rFonts w:ascii="Times New Roman" w:hAnsi="Times New Roman" w:cs="Times New Roman"/>
          <w:i/>
          <w:sz w:val="24"/>
          <w:szCs w:val="24"/>
        </w:rPr>
        <w:t>vs.</w:t>
      </w:r>
      <w:r>
        <w:rPr>
          <w:rFonts w:ascii="Times New Roman" w:hAnsi="Times New Roman" w:cs="Times New Roman"/>
          <w:sz w:val="24"/>
          <w:szCs w:val="24"/>
        </w:rPr>
        <w:t xml:space="preserve"> future scenarios (2050 and 2100). Percentage of gain </w:t>
      </w:r>
      <w:r w:rsidRPr="0090557A">
        <w:rPr>
          <w:rFonts w:ascii="Times New Roman" w:hAnsi="Times New Roman" w:cs="Times New Roman"/>
          <w:sz w:val="24"/>
          <w:szCs w:val="24"/>
          <w:lang w:val="en-GB"/>
        </w:rPr>
        <w:t xml:space="preserve">(+) or loss (-)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in habitat suitability (HS) is shown for each taxonomic group. </w:t>
      </w:r>
      <w:r w:rsidRPr="0090557A">
        <w:rPr>
          <w:rFonts w:ascii="Times New Roman" w:hAnsi="Times New Roman" w:cs="Times New Roman"/>
          <w:sz w:val="24"/>
          <w:szCs w:val="24"/>
          <w:lang w:val="en-GB"/>
        </w:rPr>
        <w:t>Coloured areas correspond to suitable habitats only in the present (</w:t>
      </w:r>
      <w:r>
        <w:rPr>
          <w:rFonts w:ascii="Times New Roman" w:hAnsi="Times New Roman" w:cs="Times New Roman"/>
          <w:sz w:val="24"/>
          <w:szCs w:val="24"/>
          <w:lang w:val="en-GB"/>
        </w:rPr>
        <w:t>loss</w:t>
      </w:r>
      <w:r w:rsidRPr="0090557A">
        <w:rPr>
          <w:rFonts w:ascii="Times New Roman" w:hAnsi="Times New Roman" w:cs="Times New Roman"/>
          <w:sz w:val="24"/>
          <w:szCs w:val="24"/>
          <w:lang w:val="en-GB"/>
        </w:rPr>
        <w:t>), only in the future (</w:t>
      </w:r>
      <w:r>
        <w:rPr>
          <w:rFonts w:ascii="Times New Roman" w:hAnsi="Times New Roman" w:cs="Times New Roman"/>
          <w:sz w:val="24"/>
          <w:szCs w:val="24"/>
          <w:lang w:val="en-GB"/>
        </w:rPr>
        <w:t>gain</w:t>
      </w:r>
      <w:r w:rsidRPr="0090557A">
        <w:rPr>
          <w:rFonts w:ascii="Times New Roman" w:hAnsi="Times New Roman" w:cs="Times New Roman"/>
          <w:sz w:val="24"/>
          <w:szCs w:val="24"/>
          <w:lang w:val="en-GB"/>
        </w:rPr>
        <w:t>), and both in the present and the future (</w:t>
      </w:r>
      <w:r>
        <w:rPr>
          <w:rFonts w:ascii="Times New Roman" w:hAnsi="Times New Roman" w:cs="Times New Roman"/>
          <w:sz w:val="24"/>
          <w:szCs w:val="24"/>
          <w:lang w:val="en-GB"/>
        </w:rPr>
        <w:t>no change</w:t>
      </w:r>
      <w:r w:rsidRPr="0090557A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sectPr w:rsidR="00A3557D" w:rsidRPr="00656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E1"/>
    <w:rsid w:val="00190BC0"/>
    <w:rsid w:val="00317DC5"/>
    <w:rsid w:val="005A5540"/>
    <w:rsid w:val="00656EE1"/>
    <w:rsid w:val="008D382F"/>
    <w:rsid w:val="00A3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4552B-547B-4C9A-8467-F4026B10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E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DFO-MPO</dc:creator>
  <cp:keywords/>
  <dc:description/>
  <cp:lastModifiedBy>DFO-MPO</cp:lastModifiedBy>
  <cp:revision>5</cp:revision>
  <dcterms:created xsi:type="dcterms:W3CDTF">2019-09-25T17:03:00Z</dcterms:created>
  <dcterms:modified xsi:type="dcterms:W3CDTF">2020-01-31T15:22:00Z</dcterms:modified>
</cp:coreProperties>
</file>