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media/image3.jpeg" ContentType="image/jpeg"/>
  <Override PartName="/word/media/image2.wmf" ContentType="image/x-wmf"/>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NS, Canada</w:t>
      </w:r>
      <w:r>
        <w:rPr/>
        <w:br/>
      </w:r>
      <w:r>
        <w:rPr>
          <w:vertAlign w:val="superscript"/>
        </w:rPr>
        <w:t>2</w:t>
      </w:r>
      <w:r>
        <w:rPr/>
        <w:t>Department of Biodiversity and Conservation Biology, University of the Western Cape, Bellville, South Africa</w:t>
      </w:r>
      <w:r>
        <w:rPr/>
        <w:br/>
      </w:r>
      <w:r>
        <w:rPr>
          <w:vertAlign w:val="superscript"/>
        </w:rPr>
        <w:t>3</w:t>
      </w:r>
      <w:r>
        <w:rPr/>
        <w:t>CSIRO Oceans and Atmosphere, Hobart, TAS,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long-term trend</w:t>
      </w:r>
    </w:p>
    <w:p>
      <w:pPr>
        <w:pStyle w:val="Heading1"/>
        <w:numPr>
          <w:ilvl w:val="0"/>
          <w:numId w:val="2"/>
        </w:numPr>
        <w:rPr/>
      </w:pPr>
      <w:bookmarkStart w:id="0" w:name="abstract"/>
      <w:bookmarkEnd w:id="0"/>
      <w:r>
        <w:rPr/>
        <w:t>Abstract</w:t>
      </w:r>
    </w:p>
    <w:p>
      <w:pPr>
        <w:pStyle w:val="Normal"/>
        <w:rPr/>
      </w:pPr>
      <w:r>
        <w:rP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0.10°C/decade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in the results. Time series length has less of an effect on MHW detection than missing data, but adds a larger range of uncertainty to the results. We provide suggestions for best practices to improve the accuracy of MHW detection with sub-optimal time series and show how the accuracy of these corrections may change regionally. </w:t>
      </w:r>
    </w:p>
    <w:p>
      <w:pPr>
        <w:pStyle w:val="Heading1"/>
        <w:numPr>
          <w:ilvl w:val="0"/>
          <w:numId w:val="2"/>
        </w:numPr>
        <w:rPr/>
      </w:pPr>
      <w:bookmarkStart w:id="1" w:name="introduction"/>
      <w:bookmarkEnd w:id="1"/>
      <w:r>
        <w:rPr/>
        <w:t>Introduction</w:t>
      </w:r>
    </w:p>
    <w:p>
      <w:pPr>
        <w:pStyle w:val="Normal"/>
        <w:rPr/>
      </w:pPr>
      <w:r>
        <w:rPr/>
        <w:t>The idea of locally warm seawater disrupting species distributions or ecosystem functioning is not a novel concept. We have known for decades that transient warm water occurrences in the ocean could result in major impacts on marine ecosystems (e.g. Baumgartner, 1992; Salinger et al., 2016). The study of the effects of anomalously warm seawater temperatures began in earnest in the early 1980s when research into the ENSO phenomenon intensified (e.g. Philander, 1983). After the 1980s, researchers began noticing that warm water events were becoming more frequent and with large ecosystem impacts (e.g. Dayton et al., 1992), but it was not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 (Hobday et al., 2016). One limitation with this definition that has not yet been addressed is the assumption that a researcher has access to the highest quality data available when detecting MHWs. In the context of MHW detection, a ‘high quality’ time series is spatio/temporally consistent, quality controlled, and at least 30 years in length (Hobday et al., 2016, Table 3). While not stated explicitly in Hobday et al. (2016), a ‘high quality’ time series should also not have any missing days of data. To avoid contention on the use of the word ‘quality’, time series that meet the aforementioned standards are referred to here as ‘optimal’, whereas those that do not meet one or more of the standards are referred to as ‘sub-optimal’. Another unresolved issue with the Hobday et al. (2016) algorithm, which does not fall within the requirements for optimal data, is how much of an effect the long-term (secular) trend in a time series may have on detection of MHWs compared to that same time series when the trend has been removed.</w:t>
      </w:r>
    </w:p>
    <w:p>
      <w:pPr>
        <w:pStyle w:val="TextBody"/>
        <w:rPr/>
      </w:pPr>
      <w:r>
        <w:rPr/>
        <w:t xml:space="preserve">Most remotely-sensed data, and more recently output from ocean models and reanalyses, consist of over 30 years of data and utilise </w:t>
      </w:r>
      <w:r>
        <w:rPr>
          <w:i/>
        </w:rPr>
        <w:t>in situ</w:t>
      </w:r>
      <w:r>
        <w:rPr/>
        <w:t xml:space="preserve"> collected data or statistical techniques to fill gaps in their time series. This means that these ‘complete’ data are considered optimal for MHW detection. A summary of remotely-sensed products currently available, as well as their strengths and weaknesses, is provided by Harrison et al. (2019, Table 12.3). Even though remotely-sensed data products are considered optimal, they still have other issues (e.g. land bleed, incorrect data flagging, spatial and temporal infilling) and so it may be necessary that for coastal MHW applications, researchers utilise sub-optimal data, such as sporadically collected </w:t>
      </w:r>
      <w:r>
        <w:rPr>
          <w:i/>
        </w:rPr>
        <w:t>in situ</w:t>
      </w:r>
      <w:r>
        <w:rPr/>
        <w:t xml:space="preserve"> time series (Smit et al., 2013; Hobday et al., 2016).</w:t>
      </w:r>
    </w:p>
    <w:p>
      <w:pPr>
        <w:pStyle w:val="TextBody"/>
        <w:rPr/>
      </w:pPr>
      <w:r>
        <w:rPr/>
        <w:t>This paper seeks to understand the limitations the use of sub-optimal data impose on the accurate detection of MHWs. Of primary interest are three key challenges:</w:t>
      </w:r>
    </w:p>
    <w:p>
      <w:pPr>
        <w:pStyle w:val="Normal"/>
        <w:numPr>
          <w:ilvl w:val="0"/>
          <w:numId w:val="4"/>
        </w:numPr>
        <w:rPr/>
      </w:pPr>
      <w:r>
        <w:rPr/>
        <w:t>The use of time series shorter than 30 years</w:t>
      </w:r>
    </w:p>
    <w:p>
      <w:pPr>
        <w:pStyle w:val="Normal"/>
        <w:numPr>
          <w:ilvl w:val="0"/>
          <w:numId w:val="4"/>
        </w:numPr>
        <w:rPr/>
      </w:pPr>
      <w:r>
        <w:rPr/>
        <w:t>The use of temporally inconsistent (missing data) time series</w:t>
      </w:r>
    </w:p>
    <w:p>
      <w:pPr>
        <w:pStyle w:val="Normal"/>
        <w:numPr>
          <w:ilvl w:val="0"/>
          <w:numId w:val="4"/>
        </w:numPr>
        <w:rPr/>
      </w:pPr>
      <w:r>
        <w:rPr/>
        <w:t>The use of time series in areas with large (steep) long-term sea surface temperature trends</w:t>
      </w:r>
    </w:p>
    <w:p>
      <w:pPr>
        <w:pStyle w:val="Normal"/>
        <w:rPr/>
      </w:pPr>
      <w:r>
        <w:rPr/>
        <w:t>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bookmarkEnd w:id="2"/>
      <w:r>
        <w:rPr/>
        <w:t>Defining marine heatwaves</w:t>
      </w:r>
    </w:p>
    <w:p>
      <w:pPr>
        <w:pStyle w:val="Normal"/>
        <w:rPr/>
      </w:pPr>
      <w:r>
        <w:rPr/>
        <w:t>The MHW definition used here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allow comparison with ecological observations. The calculation of these metrics first requires determining the mean and 90th percentile temperature for each calendar day-of-year (‘doy’) in a time series. The mean ‘doy’ temperatures, which also represent the seasonal signal in the time series, provide the expected baseline temperature whose daily exceedance is used to calculate the local intensity of MHWs. The 90th percentile ‘doy’ temperatures serve as the threshold that must be exceeded for five or more consecutive days for the anomalously warm temperatures to be classified as a MHW and for the calculation of the additional MHW metrics.</w:t>
      </w:r>
    </w:p>
    <w:p>
      <w:pPr>
        <w:pStyle w:val="TextBody"/>
        <w:rPr/>
      </w:pPr>
      <w:r>
        <w:rPr/>
        <w:t xml:space="preserve">In this paper we focus on the three metrics that succinctly summarise a MHW, from the set described in Table 2 of Hobday et al. (2016). The first metric, </w:t>
      </w:r>
      <w:r>
        <w:rPr>
          <w:i/>
        </w:rPr>
        <w:t>duration</w:t>
      </w:r>
      <w:r>
        <w:rPr/>
        <w:t xml:space="preserve">, is defined as the period of time that the temperature remains at or above the 90th percentile threshold without dipping below it for more than two consecutive days. The duration of an event may be used as a measurement of the chronic stress that a MHW may inflict upon a target species or ecosystem (e.g. Oliver et al., 2017; Smale et al., 2019). The second metric, </w:t>
      </w:r>
      <w:r>
        <w:rPr>
          <w:i/>
        </w:rPr>
        <w:t>maximum intensity</w:t>
      </w:r>
      <w:r>
        <w:rPr/>
        <w:t xml:space="preserve">, is the highest temperature anomaly during the event and is calculated by subtracting the climatological mean ‘doy’ temperature from the recorded temperature on that day. This metric may be used as a measurement of acute stress (e.g. Oliver et al., 2017; Smale et al., 2019). A third metric, </w:t>
      </w:r>
      <w:r>
        <w:rPr>
          <w:i/>
        </w:rPr>
        <w:t>cumulative intensity</w:t>
      </w:r>
      <w:r>
        <w:rPr/>
        <w:t>, is used to determine the ‘largest’ MHW in a time series (see Methods). This metric is the integral of the temperature anomalies of a MHW, and so has units of °C-days, and represents the sum of temperature anomalies over the duration of the MHW. Cumulative intensity is comparable to the degree heating day metrics used in coral reef studies (Fordyce et al., 2019).</w:t>
      </w:r>
    </w:p>
    <w:p>
      <w:pPr>
        <w:pStyle w:val="TextBody"/>
        <w:rPr/>
      </w:pPr>
      <w:r>
        <w:rPr/>
        <w:t>We used the R implementation of the Hobday et al. (2016) MHW definition (Schlegel and Smit, 2018), which is also available in python (</w:t>
      </w:r>
      <w:hyperlink r:id="rId3">
        <w:r>
          <w:rPr>
            <w:rStyle w:val="InternetLink"/>
          </w:rPr>
          <w:t>https://github.com/ecjoliver/marineHeatWaves</w:t>
        </w:r>
      </w:hyperlink>
      <w:r>
        <w:rPr/>
        <w:t>), and MATLAB (Zhao and Marin, 2019).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ne-heatwaves"/>
      <w:bookmarkEnd w:id="3"/>
      <w:r>
        <w:rPr/>
        <w:t>What are optimal data for detecting marine heatwaves?</w:t>
      </w:r>
    </w:p>
    <w:p>
      <w:pPr>
        <w:pStyle w:val="Normal"/>
        <w:rPr/>
      </w:pPr>
      <w:r>
        <w:rPr/>
        <w:t>When working with extreme values in a time series, such as MHWs, it is important that the quality of the data are high (Hobday et al., 2016). Hobday et al. (2016) stated that high quality data, referred to here as ‘optimal’, used for the detection of MHWs should meet the following criteria:</w:t>
      </w:r>
    </w:p>
    <w:p>
      <w:pPr>
        <w:pStyle w:val="Normal"/>
        <w:numPr>
          <w:ilvl w:val="0"/>
          <w:numId w:val="3"/>
        </w:numPr>
        <w:rPr/>
      </w:pPr>
      <w:r>
        <w:rPr/>
        <w:t>A time series length of at least 30 years</w:t>
      </w:r>
    </w:p>
    <w:p>
      <w:pPr>
        <w:pStyle w:val="Normal"/>
        <w:numPr>
          <w:ilvl w:val="0"/>
          <w:numId w:val="3"/>
        </w:numPr>
        <w:rPr/>
      </w:pPr>
      <w:r>
        <w:rPr/>
        <w:t>Quality controlled</w:t>
      </w:r>
    </w:p>
    <w:p>
      <w:pPr>
        <w:pStyle w:val="Normal"/>
        <w:numPr>
          <w:ilvl w:val="0"/>
          <w:numId w:val="3"/>
        </w:numPr>
        <w:rPr/>
      </w:pPr>
      <w:r>
        <w:rPr/>
        <w:t>Spatially and temporally consistent</w:t>
      </w:r>
    </w:p>
    <w:p>
      <w:pPr>
        <w:pStyle w:val="Normal"/>
        <w:numPr>
          <w:ilvl w:val="0"/>
          <w:numId w:val="3"/>
        </w:numPr>
        <w:rPr/>
      </w:pPr>
      <w:r>
        <w:rPr/>
        <w:t>Be of the highest spatial and temporal resolution possible/available</w:t>
      </w:r>
    </w:p>
    <w:p>
      <w:pPr>
        <w:pStyle w:val="Normal"/>
        <w:numPr>
          <w:ilvl w:val="0"/>
          <w:numId w:val="3"/>
        </w:numPr>
        <w:rPr/>
      </w:pPr>
      <w:r>
        <w:rPr>
          <w:i/>
        </w:rPr>
        <w:t>In situ</w:t>
      </w:r>
      <w:r>
        <w:rPr/>
        <w:t xml:space="preserve"> data should be used to compliment remotely sensed data where possible</w:t>
      </w:r>
    </w:p>
    <w:p>
      <w:pPr>
        <w:pStyle w:val="Normal"/>
        <w:rPr/>
      </w:pPr>
      <w:r>
        <w:rPr/>
        <w:t>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 (Hobday et al., 2016) is the presence of long-term trends in a time series. (Oliver et al., 2018) have shown how dominant the climate change signal can be in the detection of MHWs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the presence of an anomalously warm or cold year will have a larger effect on the climatology than with a sample size of 30 years. The second cause is that because the world is generally warming (Pachauri et al., 2014),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 than would be obtained with a longer time series.</w:t>
      </w:r>
    </w:p>
    <w:p>
      <w:pPr>
        <w:pStyle w:val="TextBody"/>
        <w:rPr/>
      </w:pPr>
      <w:r>
        <w:rPr/>
        <w:t>The climatology derived from a time series serves two main roles (WMO,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(WMO, 2011) stipulate that daily climatologies (which they call ‘climate normals’) must be based on the most recent 30-year period that ends on a complete decade (currently 1981 – 2010). The suggested length of a time series for MHW detection was based on this WMO guideline (Hobday et al., 2016), and a fixed reference period (e.g. 1983 – 2012) proposed (Hobday et al., 2018).</w:t>
      </w:r>
    </w:p>
    <w:p>
      <w:pPr>
        <w:pStyle w:val="TextBody"/>
        <w:rPr/>
      </w:pPr>
      <w:r>
        <w:rPr/>
        <w:t xml:space="preserve">Some remotely sensed products suffer from ‘gappiness’ 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 </w:t>
      </w:r>
      <w:r>
        <w:rPr>
          <w:i/>
        </w:rPr>
        <w:t>in situ</w:t>
      </w:r>
      <w:r>
        <w:rPr/>
        <w:t xml:space="preserve"> collected data (Smit et al., 2013), however; other research that has shown similarity between these different data types (Smale and Wernberg, 2009; Stobart et al., 2016). These data are also prone to large gaps and so issues with regards to accurate MHW detection are also uncertain.</w:t>
      </w:r>
    </w:p>
    <w:p>
      <w:pPr>
        <w:pStyle w:val="Heading1"/>
        <w:numPr>
          <w:ilvl w:val="0"/>
          <w:numId w:val="2"/>
        </w:numPr>
        <w:rPr/>
      </w:pPr>
      <w:bookmarkStart w:id="4" w:name="methods"/>
      <w:bookmarkEnd w:id="4"/>
      <w:r>
        <w:rPr/>
        <w:t>Methods</w:t>
      </w:r>
    </w:p>
    <w:p>
      <w:pPr>
        <w:pStyle w:val="Normal"/>
        <w:rPr/>
      </w:pPr>
      <w:r>
        <w:rPr/>
        <w:t>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 ‘average MHWs’. The single largest MHW in each time series, as determined by cumulative intensity, is drawn from the same ten year sample and is referred to hereafter as the ‘focal MHW’.</w:t>
      </w:r>
    </w:p>
    <w:p>
      <w:pPr>
        <w:pStyle w:val="TextBody"/>
        <w:rPr/>
      </w:pPr>
      <w:r>
        <w:rPr/>
        <w:t>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the given application.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TextBody"/>
        <w:rPr/>
      </w:pPr>
      <w:r>
        <w:rPr/>
        <w:t xml:space="preserve">We use the remotely sensed NOAA OISST dataset (Reynolds et al., 2007; Banzon et al., 2016) in this study. This daily remotely-sensed global SST product has a 1/4 degree spatial resolution with 1982 the first full year of sampling. These data are interpolated and where possible verified against a database of </w:t>
      </w:r>
      <w:r>
        <w:rPr>
          <w:i/>
        </w:rPr>
        <w:t>in situ</w:t>
      </w:r>
      <w:r>
        <w:rPr/>
        <w:t xml:space="preserve"> collected temperatures so that the final product does not have any spatial or temporal gaps. The NOAA OISST dataset was used during the creation of the MHW algorithm in (Hobday et al., 2016) and is used here for consistency. A simple linear model is fit to the time series at each location (pixel) and the residuals are taken as the de-trended anomaly values on which the MHW algorithm is run. This must be performed to control for the effects of time series length and long-term trends separately. Once de-trended, each anomaly time series (hereafter referred to as ‘time series’) is treated to the suite of sub-optimal controls (see following sub-sections) and the results are extracted.</w:t>
      </w:r>
    </w:p>
    <w:p>
      <w:pPr>
        <w:pStyle w:val="TextBody"/>
        <w:rPr/>
      </w:pPr>
      <w:r>
        <w:rPr/>
        <w:t xml:space="preserve">The percent change in the average and focal MHW results from sub-optimal data is highlighted with the three reference OISST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 </w:t>
      </w:r>
      <w:r>
        <w:rPr/>
        <w:t>(e.g., Garrabou et al., 2009, Wernberg et al., 2012; Mills et al., 2013)</w:t>
      </w:r>
      <w:r>
        <w:rPr/>
        <w:t>. The effect of the sub-optimal tests on these three time series are overlaid on the effect of the same sub-optimal tests on 1000 randomly selected pixels from the global OISST dataset. The following three sub-sections describe how the three sub-optimal time series tests are implemented. While not a specific focus in this study, the effects that the sub-optimal tests have on the seasonal mean and threshold climatologies have been included in the supplementary material (Figure S1).</w:t>
      </w:r>
    </w:p>
    <w:p>
      <w:pPr>
        <w:pStyle w:val="Heading2"/>
        <w:numPr>
          <w:ilvl w:val="1"/>
          <w:numId w:val="2"/>
        </w:numPr>
        <w:rPr/>
      </w:pPr>
      <w:bookmarkStart w:id="5" w:name="controlling-for-time-series-length"/>
      <w:bookmarkEnd w:id="5"/>
      <w:r>
        <w:rPr/>
        <w:t>Controlling for time series length</w:t>
      </w:r>
    </w:p>
    <w:p>
      <w:pPr>
        <w:pStyle w:val="Normal"/>
        <w:rPr/>
      </w:pPr>
      <w:r>
        <w:rPr/>
        <w:t>There are currently 37 complete years of data available in the NOAA OISST dataset (1982 – 2018). In order to determine the effect that time series length has on the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TextBody"/>
        <w:rPr/>
      </w:pPr>
      <w:r>
        <w:rPr/>
        <w:t>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for all of the other tests.</w:t>
      </w:r>
    </w:p>
    <w:p>
      <w:pPr>
        <w:pStyle w:val="TextBody"/>
        <w:rPr/>
      </w:pPr>
      <w:r>
        <w:rPr/>
        <w:t>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suggested climatology period of 1983 – 2012 that would more closely match the WMO standard (Hobday et al., 2018). The effect of shifting the 30 year climatology base is shown in the supplementary material (Figure S2).</w:t>
      </w:r>
    </w:p>
    <w:p>
      <w:pPr>
        <w:pStyle w:val="TextBody"/>
        <w:rPr/>
      </w:pPr>
      <w:r>
        <w:rPr/>
        <w:t xml:space="preserve">The </w:t>
      </w:r>
      <w:r>
        <w:rPr>
          <w:i/>
        </w:rPr>
        <w:t>a 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(Hobday et al., 2016) method. It is beyond the scope of this paper to compare every possible climatology calculation technique.</w:t>
      </w:r>
    </w:p>
    <w:p>
      <w:pPr>
        <w:pStyle w:val="Heading2"/>
        <w:numPr>
          <w:ilvl w:val="1"/>
          <w:numId w:val="2"/>
        </w:numPr>
        <w:rPr/>
      </w:pPr>
      <w:bookmarkStart w:id="6" w:name="controlling-for-missing-data"/>
      <w:bookmarkEnd w:id="6"/>
      <w:r>
        <w:rPr/>
        <w:t>Controlling for missing data</w:t>
      </w:r>
    </w:p>
    <w:p>
      <w:pPr>
        <w:pStyle w:val="Normal"/>
        <w:rPr/>
      </w:pPr>
      <w:r>
        <w:rPr/>
        <w:t>In order to determine the effect of random missing data on the MHW results, each time series has 0 – 50% of its data removed in 1% steps before running the MHW algorithm. The control time series are the complete versions.</w:t>
      </w:r>
    </w:p>
    <w:p>
      <w:pPr>
        <w:pStyle w:val="TextBody"/>
        <w:rPr/>
      </w:pPr>
      <w:r>
        <w:rPr/>
        <w:t xml:space="preserve">The </w:t>
      </w:r>
      <w:r>
        <w:rPr>
          <w:i/>
        </w:rPr>
        <w:t>a priori</w:t>
      </w:r>
      <w:r>
        <w:rPr/>
        <w:t xml:space="preserve"> fix for missing data in the time series is to linearly interpolate over any gaps. There are many methods of interpolating (imputing) gaps in time series, such as spline interpolation, but we choose linear interpolation here due to its speed, simplicity, and it imposes fewer assumptions on the data. It is beyond the scope of this paper to account for every possible method of interpolation.</w:t>
      </w:r>
    </w:p>
    <w:p>
      <w:pPr>
        <w:pStyle w:val="Heading2"/>
        <w:numPr>
          <w:ilvl w:val="1"/>
          <w:numId w:val="2"/>
        </w:numPr>
        <w:rPr/>
      </w:pPr>
      <w:bookmarkStart w:id="7" w:name="controlling-for-long-term-trend"/>
      <w:bookmarkEnd w:id="7"/>
      <w:r>
        <w:rPr/>
        <w:t>Controlling for long-term trend</w:t>
      </w:r>
    </w:p>
    <w:p>
      <w:pPr>
        <w:pStyle w:val="Normal"/>
        <w:rPr/>
      </w:pPr>
      <w:r>
        <w:rPr/>
        <w:t>To quantify the effect of a long-term (secular) trend on the MHW results we add linear trends of 0.00 – 0.30°C/decade in 0.01°C/decade steps to each time series. The control time series are those with no added trend (e.g. 0.00°C/decade).</w:t>
      </w:r>
    </w:p>
    <w:p>
      <w:pPr>
        <w:pStyle w:val="TextBody"/>
        <w:rPr/>
      </w:pPr>
      <w:r>
        <w:rPr/>
        <w:t xml:space="preserve">There is no proposed </w:t>
      </w:r>
      <w:r>
        <w:rPr>
          <w:i/>
        </w:rPr>
        <w:t>a priori</w:t>
      </w:r>
      <w:r>
        <w:rPr/>
        <w:t xml:space="preserve"> 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 </w:t>
      </w:r>
      <w:r>
        <w:rPr>
          <w:i/>
        </w:rPr>
        <w:t>post hoc</w:t>
      </w:r>
      <w:r>
        <w:rPr/>
        <w:t xml:space="preserve"> corrections.</w:t>
      </w:r>
    </w:p>
    <w:p>
      <w:pPr>
        <w:pStyle w:val="Heading1"/>
        <w:numPr>
          <w:ilvl w:val="0"/>
          <w:numId w:val="2"/>
        </w:numPr>
        <w:rPr/>
      </w:pPr>
      <w:bookmarkStart w:id="8" w:name="results"/>
      <w:bookmarkEnd w:id="8"/>
      <w:r>
        <w:rPr/>
        <w:t>Results</w:t>
      </w:r>
    </w:p>
    <w:p>
      <w:pPr>
        <w:pStyle w:val="Heading2"/>
        <w:numPr>
          <w:ilvl w:val="1"/>
          <w:numId w:val="2"/>
        </w:numPr>
        <w:rPr/>
      </w:pPr>
      <w:bookmarkStart w:id="9" w:name="time-series-length"/>
      <w:bookmarkEnd w:id="9"/>
      <w:r>
        <w:rPr/>
        <w:t>Time series length</w:t>
      </w:r>
    </w:p>
    <w:p>
      <w:pPr>
        <w:pStyle w:val="Normal"/>
        <w:rPr/>
      </w:pPr>
      <w:r>
        <w:rPr/>
        <w:t>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TextBody"/>
        <w:rPr/>
      </w:pPr>
      <w:r>
        <w:rPr/>
        <w:t>Increasing the climatology period to more than 30 years had almost as rapid an effect on creating dissimilar results as using fewer years of data. This result stresses the importance of adhering to the WMO standard as closely as possible to ensure the comparability of results (Hobday et al., 2018). It also demonstrates the arbitrariness of the 30 year climatological base period.</w:t>
      </w:r>
    </w:p>
    <w:p>
      <w:pPr>
        <w:pStyle w:val="TextBody"/>
        <w:rPr/>
      </w:pPr>
      <w:r>
        <w:rPr/>
        <w:t>Shortening time series length tended to decrease both the duration and maximum intensity of the focal MHW from each time series (Figure 3B and 3C), while the count of MHWs within the duration of the focal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focal MHW into smaller events (Figure 3A).</w:t>
      </w:r>
    </w:p>
    <w:p>
      <w:pPr>
        <w:pStyle w:val="TextBody"/>
        <w:rPr/>
      </w:pPr>
      <w:r>
        <w:rPr/>
        <w:t>There are clear global patterns in the changes in MHW results as time series are shortened from 30 to 10 years (Figure 4). The median change in the count of average MHWs due to changes in time series length is only 0.24%/year,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median change in the maximum intensity of average MHWs throughout most of the oceans is -0.21%/year (Figure 4C).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increases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TextBody"/>
        <w:rPr/>
      </w:pPr>
      <w:r>
        <w:rPr/>
        <w:t>The global patterns of the effect of shortened time series on the focal MHWs are similar to the average MHWs. Much of the ocean that shows a decrease in the count of MHWs as a time series is shortened (Figure 4A) also show an increase in the count of MHWs during the duration of the focal MHW at 10% more MHWs per year the time series is shortened (Figure 4D). This may seem contradictory, but this increase in the count of MHWs during the focal MHW in a time series is due to it being broken into smaller events. When this occurs on the smaller MHWs they may be broken up enough to no longer be counted, and therefore the count of average MHWs decreases. The decrease in the durations of the focal MHWs are greater than the decreases for the average MHWs and the spatial homogeneity of this pattern is more broken up (Figure 4B and 4E). The regions that show increasing durations in the focal MHW are spatially smaller than the average MHWs and the rates of increase are roughly one quarter of those for the average MHWs (Figure 4B and 4E). Finally, the rates of increase or decrease in maximum intensities were similar in scale between the average and focal MHWs, but differed in their spatial patterns. Whereas the average MHWs show clear warming trends in the northeast and south Pacific (Figure 4C), these features are much reduced for the focal MHWs (Figure 4F). The strong cooling signal in the average MHWs north of Europe is replaced by a spatially broad warming trend in the focal MHWs in the area. The minor warming trend in the average MHWs around the Kuroshio Current is replaced by a spatially larger and more intense warming trend in the focal MHWs.</w:t>
      </w:r>
    </w:p>
    <w:p>
      <w:pPr>
        <w:pStyle w:val="Heading2"/>
        <w:numPr>
          <w:ilvl w:val="1"/>
          <w:numId w:val="2"/>
        </w:numPr>
        <w:rPr/>
      </w:pPr>
      <w:bookmarkStart w:id="10" w:name="missing-data"/>
      <w:bookmarkEnd w:id="10"/>
      <w:r>
        <w:rPr/>
        <w:t>Missing data</w:t>
      </w:r>
    </w:p>
    <w:p>
      <w:pPr>
        <w:pStyle w:val="Normal"/>
        <w:rPr/>
      </w:pPr>
      <w:r>
        <w:rPr/>
        <w:t>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TextBody"/>
        <w:rPr/>
      </w:pPr>
      <w:r>
        <w:rPr/>
        <w:t>The effect of random missing data on the focal MHW in each time series was dramatic. As missing data in a time series increased, it becomes increasingly likely that the focal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focal MHW was almost always negatively impacted by missing data (Figure 3E). The decrease in duration follows a linear trend of a reduction ranging from 1 – 3% per 1% of missing data. At 26% missing data at least 5% of the time series had their focal MHW removed entirely from the time series, as seen by a reduction in maximum intensity of 100% (Figure 3F). At 41% missing data at least 25% of the time series had their focal MHW removed.</w:t>
      </w:r>
    </w:p>
    <w:p>
      <w:pPr>
        <w:pStyle w:val="TextBody"/>
        <w:rPr/>
      </w:pPr>
      <w:r>
        <w:rPr/>
        <w:t>The effect of missing data on a MHW depends largely on their shape, which is the area above the threshold climatology and below the observed anomaly. The WA event has a very pronounced peak (Figure 1A), so when more data are missing it becomes increasingly likely that this peak is not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Mediterranean MHWs. The global patterns in missing data are unremarkable and generally consistent across the oceans (Figure S3).</w:t>
      </w:r>
    </w:p>
    <w:p>
      <w:pPr>
        <w:pStyle w:val="Heading2"/>
        <w:numPr>
          <w:ilvl w:val="1"/>
          <w:numId w:val="2"/>
        </w:numPr>
        <w:rPr/>
      </w:pPr>
      <w:bookmarkStart w:id="11" w:name="long-term-trend"/>
      <w:bookmarkEnd w:id="11"/>
      <w:r>
        <w:rPr/>
        <w:t>Long-term trend</w:t>
      </w:r>
    </w:p>
    <w:p>
      <w:pPr>
        <w:pStyle w:val="Normal"/>
        <w:rPr/>
      </w:pPr>
      <w:r>
        <w:rPr/>
        <w:t>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0.01°C/decade added (Figure 2G). The effect that these additional MHWs had on the sum of average MHW days was an increase, ranging from 1.7 – 11.5% for every 0.01°C/decade added (Figure 2H). This means that the average MHWs detected in a time series with a long-term trend of 0.30°C/decade could be 48 – 347% longer than in the same time series with no long-term trend. The effect of linear trends on the maximum intensity of the average MHWs, though generally linear, could be either positive or negative at a rate of -0.1 – 0.6% per 0.01°C/decade added.</w:t>
      </w:r>
    </w:p>
    <w:p>
      <w:pPr>
        <w:pStyle w:val="TextBody"/>
        <w:rPr/>
      </w:pPr>
      <w:r>
        <w:rPr/>
        <w:t>The focal MHW in each time series was never broken into multiple events due to the added long-term trend (Figure 3G), however, the duration of the focal MHWs were affected differently. The Mediterranean MHW showed practically no increase in duration due to an added long-term trend, the WA MHW saw a large jump at 0.03°C/decade, and the NWA MHW had a dramatic jump at an added trend of 0.09°C/decade,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focal MHWs was also linear and at an added trend of 0.30°C/decade the 90% CI was from 8 – 35% of the control value (Figure 3I). The global patterns in added long-term trends generally show that MHW metrics increase (Figure S4).</w:t>
      </w:r>
    </w:p>
    <w:p>
      <w:pPr>
        <w:pStyle w:val="Heading1"/>
        <w:numPr>
          <w:ilvl w:val="0"/>
          <w:numId w:val="2"/>
        </w:numPr>
        <w:rPr/>
      </w:pPr>
      <w:bookmarkStart w:id="12" w:name="best-practices"/>
      <w:bookmarkEnd w:id="12"/>
      <w:r>
        <w:rPr/>
        <w:t>Best practices</w:t>
      </w:r>
    </w:p>
    <w:p>
      <w:pPr>
        <w:pStyle w:val="Normal"/>
        <w:rPr/>
      </w:pPr>
      <w:r>
        <w:rPr/>
        <w:t>Given the effect of time series length, missing data, and long-term trends on the detection of MHWs, we can quantify the uncertainty in the results when using sub-optimal data. In Table 1 the increasing rates of uncertainty per step in the sub-optimal tests for average MHWs is shown, while Table 2 shows the uncertainty for the focal MHWs. For example, a time series that is 20 years in length (10 years shorter than optimal), will result in a median difference in the duration of average MHWs that is 3% lower, and the 90% CI will be ±27% around that median difference. These rates of uncertainty at the 90% CI are large, but knowing where in the world a time series comes from it is possible to make a more accurate inference. For example, the change in the duration of average MHWs in the North Sea as the time series are shortened is very consistently positive and near the high end of the global distribution (Figure 4B). This means that one can be more confident that the upper range of the 90% CI is an appropriate choice when estimating the possible change in results if they had been calculated with an optimal time series (30 years). One final point of consideration in the application of this information for judging uncertainty is to consider how linear the response of the results to the sub-optimal tests is. The values in parentheses in Table 1 and 2 show the R</w:t>
      </w:r>
      <w:r>
        <w:rPr>
          <w:vertAlign w:val="superscript"/>
        </w:rPr>
        <w:t>2</w:t>
      </w:r>
      <w:r>
        <w:rPr/>
        <w:t xml:space="preserve"> (coefficient of determination) for each linear model that was used to determine the change in uncertainty as time series become more sub-optimal. More examples, as well as a step-by-step walk through for how to use the numbers in these tables, are provided in each sub-section below. The </w:t>
      </w:r>
      <w:r>
        <w:rPr>
          <w:i/>
        </w:rPr>
        <w:t>a priori</w:t>
      </w:r>
      <w:r>
        <w:rPr/>
        <w:t xml:space="preserve"> and </w:t>
      </w:r>
      <w:r>
        <w:rPr>
          <w:i/>
        </w:rPr>
        <w:t>post hoc</w:t>
      </w:r>
      <w:r>
        <w:rPr/>
        <w:t xml:space="preserve"> fixes proposed in the methods are also covered in more detail in the following sub-sections. It must be stressed here that the methods proposed below for working with sub-optimal data do not address the issues that remotely-sensed data have near coastlines.</w:t>
      </w:r>
    </w:p>
    <w:p>
      <w:pPr>
        <w:pStyle w:val="Heading2"/>
        <w:numPr>
          <w:ilvl w:val="1"/>
          <w:numId w:val="2"/>
        </w:numPr>
        <w:rPr/>
      </w:pPr>
      <w:bookmarkStart w:id="13" w:name="correcting-for-time-series-length"/>
      <w:bookmarkEnd w:id="13"/>
      <w:r>
        <w:rPr/>
        <w:t>Correcting for time series length</w:t>
      </w:r>
    </w:p>
    <w:p>
      <w:pPr>
        <w:pStyle w:val="Normal"/>
        <w:rPr/>
      </w:pPr>
      <w:r>
        <w:rPr/>
        <w:t xml:space="preserve">The </w:t>
      </w:r>
      <w:r>
        <w:rPr>
          <w:i/>
        </w:rPr>
        <w:t>a priori</w:t>
      </w:r>
      <w:r>
        <w:rPr/>
        <w:t xml:space="preserve"> fix proposed for shorter time series, creating a smoother seasonal signal by expanding the window half-width of the moving average, was not a reliable option and this should be left as the standard 5 day period. Increasing the window half-width to as much as 30 days has very little effect on the 50% (interquartile) and 90% CI ranges for the count of average MHWs, the effect on individual time series is inconsistent (Figure 5, top row). The effect of this change to the detection algorithm on the duration of average MHWs was negligible at all window half-widths tested (Figure 5, middle row). The effect of wider window half-widths on the maximum intensity of the average MHWs appeared to help keep the results comparable (Figure 5, bottom row), but upon closer inspection this was found to be misleading. The effect of widening the window half-widths was similar for the results of the focal MHWs (Figure S5). The widening of the window half-widths affects MHW detection by flattening the shape of the sinusoidal seasonal climatology. The overall mean value does not change, but the peaks and troughs are pulled closer to the mean while the slopes between them become more gradual. Because the mean of the seasonal signal does not change, the total anomalous observations remain similar, but where along the seasonal signal those anomalies are detected may shift dramatically. This is particularly noticeable for MHWs that occur at the peak of summer because the seasonal and threshold climatologies are lowered the most here, making these events appear more intense.</w:t>
      </w:r>
    </w:p>
    <w:p>
      <w:pPr>
        <w:pStyle w:val="TextBody"/>
        <w:rPr/>
      </w:pPr>
      <w:r>
        <w:rPr/>
        <w:t xml:space="preserve">Although an </w:t>
      </w:r>
      <w:r>
        <w:rPr>
          <w:i/>
        </w:rPr>
        <w:t>a priori</w:t>
      </w:r>
      <w:r>
        <w:rPr/>
        <w:t xml:space="preserve"> fix for time series length is not effective, the known rates of uncertainty can be used to provide the </w:t>
      </w:r>
      <w:r>
        <w:rPr>
          <w:i/>
        </w:rPr>
        <w:t>post hoc</w:t>
      </w:r>
      <w:r>
        <w:rPr/>
        <w:t xml:space="preserve"> uncertainty to detected MHWs. Using the focal MHW uncertainty rates as an example, the first six rows of Table 2 show the rate of uncertainty introduced into results for a focal MHW for each year less or more than 30 years. The ‘range’ column in Tables 1 and 2 indicate which direction from the 30 year control the slope in uncertainty is moving. The focal MHW detected in a 10 year time series will have a median (50th quantile) difference in maximum intensity of -3% from that same MHW in a 30 year time series (Table 2, row 5, column ‘q50’, value = -0.15%/year shorter than 30). This may be estimated by taking the value found in the corresponding cell of the table and multiplying it by the number of years that the time series is shorter (or longer) than the 30 year optimal length. It is unlikely that results will match the median difference. It is more likely that the detected MHW will fall somewhere within the 50% CI (Table 1 and 2, column ‘q25’ to ‘q75’), or the 90% CI (Table 1 and 2, column ‘q05’ to ‘q95’) range. To determine these ranges in uncertainty, an approach is to use the slope found in the respective columns and multiply each slope by the number of years that the time series is shorter or longer than the 30 year control. This provides the full range of uncertainty within the 50% CI or 90% CI as well as the median change. For example, the 50% CI in the change in the maximum intensity of a focal MHW in a 10 year time series is found by multiplying the 25th and 75th quantiles of change. Using the 10 year time series example described above, this means that the overall range of uncertainty around the median change is: 0.38% x 20 (difference in years) = 7.6%, the change in the 25th quantile is -0.36% x 20 = -7.2%, and the change in the 75th percentile is 0.02% x 20 = 0.4%. The final estimate of the 50 CI around the median change in maximum intensity is therefore: -7.2% – -3.8% – 0.4%. This means that in a 10 year time series one can assume that the focal MHW detected has a 50% chance of having a maximum intensity that is somewhere between -7.2% to 0.4% of the same MHW estimated using a 30 year times series.</w:t>
      </w:r>
    </w:p>
    <w:p>
      <w:pPr>
        <w:pStyle w:val="Heading2"/>
        <w:numPr>
          <w:ilvl w:val="1"/>
          <w:numId w:val="2"/>
        </w:numPr>
        <w:rPr/>
      </w:pPr>
      <w:bookmarkStart w:id="14" w:name="correcting-for-missing-data"/>
      <w:bookmarkEnd w:id="14"/>
      <w:r>
        <w:rPr/>
        <w:t>Correcting for missing data</w:t>
      </w:r>
    </w:p>
    <w:p>
      <w:pPr>
        <w:pStyle w:val="Normal"/>
        <w:rPr/>
      </w:pPr>
      <w:r>
        <w:rPr/>
        <w:t xml:space="preserve">Linear interpolation was proposed as an </w:t>
      </w:r>
      <w:r>
        <w:rPr>
          <w:i/>
        </w:rPr>
        <w:t>a priori</w:t>
      </w:r>
      <w:r>
        <w:rPr/>
        <w:t xml:space="preserve"> fix to address the issue of missing data and was effective. This fix could allow the use of time series missing more than 50% of their data (Figure 6), assuming that there is not so much missing data that the period of time during a MHW is completely missing. The rates of uncertainty that missing data introduce into detected MHWs may be found in rows 7 – 10 of Tables 1 and 2, but we will focus on the use of the rates of uncertainty for interpolated data here as this is an effective fix. Note that rows 7 and 8 of Tables 1 and 2 show rates of change in the count of MHWs for missing data between different ranges of missing data. This is because the change in the count of MHWs due to missing data is not linear. If one cuts the data at roughly 25% this provides the highest R</w:t>
      </w:r>
      <w:r>
        <w:rPr>
          <w:vertAlign w:val="superscript"/>
        </w:rPr>
        <w:t>2</w:t>
      </w:r>
      <w:r>
        <w:rPr/>
        <w:t xml:space="preserve"> values for the two slopes (most linear fit).</w:t>
      </w:r>
    </w:p>
    <w:p>
      <w:pPr>
        <w:pStyle w:val="TextBody"/>
        <w:rPr/>
      </w:pPr>
      <w:r>
        <w:rPr/>
        <w:t>As an example for the use of linear interpolation over missing data in a time series we show how to calculate the 90% CI around the average MHW duration in a time series missing 30% data. The median rate of change in average MHW duration per 1% missing data after linear interpolation is 0.3% (Table 1, row 12, column ‘q50’), the rate of change for the 5th quantile is 0.09% (Table 1, row 12, column ‘q05’), and for the 95th quantile it is 0.85% (Table 1, row 12, column ‘q95’). At 30% linearly interpolated data one may assume a 90% CI around the average MHW duration to be 2.7% – 9.0% – 25.5%. In other words, there is a 90% chance that the average duration of the MHWs detected in a time series with 30% interpolated data are between 2.7% to 25.5% that of the MHWs detected in the same time series without any missing data.</w:t>
      </w:r>
    </w:p>
    <w:p>
      <w:pPr>
        <w:pStyle w:val="Heading2"/>
        <w:numPr>
          <w:ilvl w:val="1"/>
          <w:numId w:val="2"/>
        </w:numPr>
        <w:rPr/>
      </w:pPr>
      <w:bookmarkStart w:id="15" w:name="correcting-for-long-term-trend"/>
      <w:bookmarkEnd w:id="15"/>
      <w:r>
        <w:rPr/>
        <w:t>Correcting for long-term trend</w:t>
      </w:r>
    </w:p>
    <w:p>
      <w:pPr>
        <w:pStyle w:val="Normal"/>
        <w:rPr/>
      </w:pPr>
      <w:r>
        <w:rPr/>
        <w:t xml:space="preserve">There was no </w:t>
      </w:r>
      <w:r>
        <w:rPr>
          <w:i/>
        </w:rPr>
        <w:t>a priori</w:t>
      </w:r>
      <w:r>
        <w:rPr/>
        <w:t xml:space="preserve"> fix proposed for the correction of an added linear trend. Rather, by knowing the trend in a time series </w:t>
      </w:r>
      <w:r>
        <w:rPr>
          <w:i/>
        </w:rPr>
        <w:t>a priori</w:t>
      </w:r>
      <w:r>
        <w:rPr/>
        <w:t xml:space="preserve"> we have been able to model the effect that it has on detected MHWs. The effect that long-term trends have on the results are much greater than for time series length or missing data, and the effects are more linear, therefore; we can be more confident in the uncertainty we assign to the detected MHWs. However, the ranges of uncertainty introduced by long-term trends are also much greater than for the other two tests. To illustrate how long-term trends affect the count of average MHWs we use a time series with a known linear trend of 0.25°C/decade. The median rate at which a long-term trend in a time series affects the count of average MHWs is 2.69% per 0.01°C/decade (Table 1, row 14, column ‘q50’), the 5th quantile is 0.71% (Table 1, row 14, column ‘q05’), and the 95th quantile is 7.44% (Table 1, row 14, column ‘q95’), therefore; the count of average MHWs detected in a time series with a long-term trend of 0.25°C/decade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numPr>
          <w:ilvl w:val="0"/>
          <w:numId w:val="2"/>
        </w:numPr>
        <w:rPr/>
      </w:pPr>
      <w:bookmarkStart w:id="16" w:name="discussion"/>
      <w:bookmarkEnd w:id="16"/>
      <w:r>
        <w:rPr/>
        <w:t>Discussion</w:t>
      </w:r>
    </w:p>
    <w:p>
      <w:pPr>
        <w:pStyle w:val="Normal"/>
        <w:rPr/>
      </w:pPr>
      <w:r>
        <w:rPr/>
        <w:t>This investigation into the effects of sub-optimal data on MHW detection revealed that there are no clear statistical thresholds at which the outputs of the MHW algorithm diverge from optimal data. The ranges of uncertainty that sub-optimal data introduce into MHW results could be determined and users may now decide their acceptable level of uncertainty. It must be noted that having used only SST data for these investigations the results may not accurately represent the properties of sub-surface MHWs, which may last longer and be more intense than those at the surface (Schaeffer and Roughan, 2017; Darmaraki et al., 2019).</w:t>
      </w:r>
    </w:p>
    <w:p>
      <w:pPr>
        <w:pStyle w:val="TextBody"/>
        <w:rPr/>
      </w:pPr>
      <w:r>
        <w:rP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of uncertainty in Table 1 may therefore be applied </w:t>
      </w:r>
      <w:r>
        <w:rPr>
          <w:i/>
        </w:rPr>
        <w:t>post hoc</w:t>
      </w:r>
      <w:r>
        <w:rPr/>
        <w:t xml:space="preserve"> to MHWs detected in shorter time series to provide the uncertainly range within which the results are comparable to those from an optimal time series.</w:t>
      </w:r>
    </w:p>
    <w:p>
      <w:pPr>
        <w:pStyle w:val="TextBody"/>
        <w:rPr/>
      </w:pPr>
      <w:r>
        <w:rPr/>
        <w:t>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decadal to multi-decadal variability there will be no appreciable difference between results calculated with a 30 year base period versus the 30+ years. In a time series with large decadal to multi-decadal variability, a base period of 30 years is not long enough to remove this variability. It is therefore important to stress the adherence to the WMO standards for climatology periods as closely as possible to ensure results are comparable to other studies (Hobday et al., 2018). Increased smoothing of the climatologies derived from shortened time series was not an effective fix so it is recommend that the default climatology method in Hobday et al. (2016) also be followed to maximise comparability between studies.</w:t>
      </w:r>
    </w:p>
    <w:p>
      <w:pPr>
        <w:pStyle w:val="TextBody"/>
        <w:rPr/>
      </w:pPr>
      <w:r>
        <w:rPr/>
        <w:t>The MHW algorithm proved to be resilient to missing data. Time series missing up to 25% of their data resulted in a count of MHWs comparable to using a 10 year time series and the rate of increase in uncertainty can be modelled with some accuracy. Time series missing more than 25% were affected too much and too unpredictably for the results to be reliable, while focal MHWs were sometimes not detected with 26% or more missing data. Fortunately, the effect that missing data has on the duration of average MHWs in a time series is predictable and can be corrected (Table 1). A simple correction for missing data in a time series is to linearly interpolate over the gaps - for more than 50% missing data, the results will have less uncertainty in them than using a 10 year time series. This advice assumes that missing data is distributed through the time series, if the period of time during a MHW is missing large sections of data, interpolation will not be effective.</w:t>
      </w:r>
    </w:p>
    <w:p>
      <w:pPr>
        <w:pStyle w:val="TextBody"/>
        <w:rPr/>
      </w:pPr>
      <w:r>
        <w:rPr/>
        <w:t>The long-term temperature trends in times series have the largest potential effect on the MHWs detected. These effects are the most predictable of the three issues examined but also introduce the largest ranges of uncertainty. The increase in duration from added long-term trends led to temperatures in the time series usually increasing ‘faster’ than the 90th percentile threshold. So as the slope of the added trend increases, the length of a given MHW increases. MHWs with a slow onset/decline (e.g. the NWA event) will increase in duration more rapidly, while those with a more rapid onset/decline (e.g. the Mediterranean event) will not appreciably change in duration with a larger long-term trend. A series of MHWs separated by short periods of time may merge into a single larger event (e.g. the WA event). This reduces the overall count of the MHWs detected in a time series while increasing the mean duration of the events detected.</w:t>
      </w:r>
    </w:p>
    <w:p>
      <w:pPr>
        <w:pStyle w:val="Heading1"/>
        <w:numPr>
          <w:ilvl w:val="0"/>
          <w:numId w:val="2"/>
        </w:numPr>
        <w:rPr/>
      </w:pPr>
      <w:bookmarkStart w:id="17" w:name="conclusions"/>
      <w:bookmarkEnd w:id="17"/>
      <w:r>
        <w:rPr/>
        <w:t>Conclusions</w:t>
      </w:r>
    </w:p>
    <w:p>
      <w:pPr>
        <w:pStyle w:val="Normal"/>
        <w:rPr/>
      </w:pPr>
      <w:r>
        <w:rPr/>
        <w:t>The acceptable sub-optimal data limits, their proposed corrections, and the amount of uncertainty they introduce into the results are as follows:</w:t>
      </w:r>
    </w:p>
    <w:p>
      <w:pPr>
        <w:pStyle w:val="Normal"/>
        <w:numPr>
          <w:ilvl w:val="0"/>
          <w:numId w:val="5"/>
        </w:numPr>
        <w:rPr/>
      </w:pPr>
      <w:r>
        <w:rPr/>
        <w:t>Time series length:</w:t>
      </w:r>
    </w:p>
    <w:p>
      <w:pPr>
        <w:pStyle w:val="Normal"/>
        <w:numPr>
          <w:ilvl w:val="1"/>
          <w:numId w:val="5"/>
        </w:numPr>
        <w:rPr/>
      </w:pPr>
      <w:r>
        <w:rPr/>
        <w:t>A length of 10 years produces acceptable MHW metrics that may be used with some caution</w:t>
      </w:r>
    </w:p>
    <w:p>
      <w:pPr>
        <w:pStyle w:val="Normal"/>
        <w:numPr>
          <w:ilvl w:val="1"/>
          <w:numId w:val="5"/>
        </w:numPr>
        <w:rPr/>
      </w:pPr>
      <w:r>
        <w:rPr/>
        <w:t>Smoothing the climatology before detecting MHWs does not improve the results and should not be done</w:t>
      </w:r>
    </w:p>
    <w:p>
      <w:pPr>
        <w:pStyle w:val="Normal"/>
        <w:numPr>
          <w:ilvl w:val="1"/>
          <w:numId w:val="5"/>
        </w:numPr>
        <w:rPr/>
      </w:pPr>
      <w:r>
        <w:rPr/>
        <w:t>The largest uncertainty that shorter time series introduce into average or focal MHWs is duration:</w:t>
      </w:r>
    </w:p>
    <w:p>
      <w:pPr>
        <w:pStyle w:val="Normal"/>
        <w:numPr>
          <w:ilvl w:val="2"/>
          <w:numId w:val="5"/>
        </w:numPr>
        <w:rPr/>
      </w:pPr>
      <w:r>
        <w:rPr/>
        <w:t>Average MHW duration changes by -1.62 – 3.8%/year shorter than 30 (90% CI)</w:t>
      </w:r>
    </w:p>
    <w:p>
      <w:pPr>
        <w:pStyle w:val="Normal"/>
        <w:numPr>
          <w:ilvl w:val="2"/>
          <w:numId w:val="5"/>
        </w:numPr>
        <w:rPr/>
      </w:pPr>
      <w:r>
        <w:rPr/>
        <w:t>Focal MHW duration changes by -2.16 – 1.05%/year shorter than 30 (90% CI)</w:t>
      </w:r>
    </w:p>
    <w:p>
      <w:pPr>
        <w:pStyle w:val="Normal"/>
        <w:numPr>
          <w:ilvl w:val="0"/>
          <w:numId w:val="5"/>
        </w:numPr>
        <w:rPr/>
      </w:pPr>
      <w:r>
        <w:rPr/>
        <w:t>Missing data:</w:t>
      </w:r>
    </w:p>
    <w:p>
      <w:pPr>
        <w:pStyle w:val="Normal"/>
        <w:numPr>
          <w:ilvl w:val="1"/>
          <w:numId w:val="5"/>
        </w:numPr>
        <w:rPr/>
      </w:pPr>
      <w:r>
        <w:rPr/>
        <w:t>The effect of missing data up to 25% on MHW results is comparable to the effect of a 10 year time series</w:t>
      </w:r>
    </w:p>
    <w:p>
      <w:pPr>
        <w:pStyle w:val="Normal"/>
        <w:numPr>
          <w:ilvl w:val="1"/>
          <w:numId w:val="5"/>
        </w:numPr>
        <w:rPr/>
      </w:pPr>
      <w:r>
        <w:rPr/>
        <w:t>Focal MHWs may begin to disappear from time series missing 26% or more data</w:t>
      </w:r>
    </w:p>
    <w:p>
      <w:pPr>
        <w:pStyle w:val="Normal"/>
        <w:numPr>
          <w:ilvl w:val="1"/>
          <w:numId w:val="5"/>
        </w:numPr>
        <w:rPr/>
      </w:pPr>
      <w:r>
        <w:rPr/>
        <w:t>Linear interpolation is an excellent fix for missing data up to 50%, assuming that the time period of interest is not completely missing</w:t>
      </w:r>
    </w:p>
    <w:p>
      <w:pPr>
        <w:pStyle w:val="Normal"/>
        <w:numPr>
          <w:ilvl w:val="1"/>
          <w:numId w:val="5"/>
        </w:numPr>
        <w:rPr/>
      </w:pPr>
      <w:r>
        <w:rPr/>
        <w:t>The largest uncertainty that linearly interpolated missing data introduce into MHW results is duration:</w:t>
      </w:r>
    </w:p>
    <w:p>
      <w:pPr>
        <w:pStyle w:val="Normal"/>
        <w:numPr>
          <w:ilvl w:val="2"/>
          <w:numId w:val="5"/>
        </w:numPr>
        <w:rPr/>
      </w:pPr>
      <w:r>
        <w:rPr/>
        <w:t>Average MHW duration changes by 0.09 – 0.85% per % interpolated (90% CI)</w:t>
      </w:r>
    </w:p>
    <w:p>
      <w:pPr>
        <w:pStyle w:val="Normal"/>
        <w:numPr>
          <w:ilvl w:val="2"/>
          <w:numId w:val="5"/>
        </w:numPr>
        <w:rPr/>
      </w:pPr>
      <w:r>
        <w:rPr/>
        <w:t>Focal MHW duration changes by -0.12 – 1.26% per % interpolated (90% CI)</w:t>
      </w:r>
    </w:p>
    <w:p>
      <w:pPr>
        <w:pStyle w:val="Normal"/>
        <w:numPr>
          <w:ilvl w:val="0"/>
          <w:numId w:val="5"/>
        </w:numPr>
        <w:rPr/>
      </w:pPr>
      <w:r>
        <w:rPr/>
        <w:t>Long-term trends</w:t>
      </w:r>
    </w:p>
    <w:p>
      <w:pPr>
        <w:pStyle w:val="Normal"/>
        <w:numPr>
          <w:ilvl w:val="1"/>
          <w:numId w:val="5"/>
        </w:numPr>
        <w:rPr/>
      </w:pPr>
      <w:r>
        <w:rPr/>
        <w:t>Long-term trends had the greatest effect on MHWs of the three sub-optimal tests and had the greatest range of uncertainty around those effects</w:t>
      </w:r>
    </w:p>
    <w:p>
      <w:pPr>
        <w:pStyle w:val="Normal"/>
        <w:numPr>
          <w:ilvl w:val="1"/>
          <w:numId w:val="5"/>
        </w:numPr>
        <w:rPr/>
      </w:pPr>
      <w:r>
        <w:rPr/>
        <w:t>Long-term trends in excess of those tested in this paper occur naturally and are rarely controlled for so no limit is proposed here</w:t>
      </w:r>
    </w:p>
    <w:p>
      <w:pPr>
        <w:pStyle w:val="Normal"/>
        <w:numPr>
          <w:ilvl w:val="1"/>
          <w:numId w:val="5"/>
        </w:numPr>
        <w:rPr/>
      </w:pPr>
      <w:r>
        <w:rPr/>
        <w:t>The duration of MHWs is what is affected most by a long term trend in the data:</w:t>
      </w:r>
    </w:p>
    <w:p>
      <w:pPr>
        <w:pStyle w:val="Normal"/>
        <w:numPr>
          <w:ilvl w:val="2"/>
          <w:numId w:val="5"/>
        </w:numPr>
        <w:rPr/>
      </w:pPr>
      <w:r>
        <w:rPr/>
        <w:t>Average MHW duration changes by 1.66 – 11.47% per 0.01°C/decade (90% CI)</w:t>
      </w:r>
    </w:p>
    <w:p>
      <w:pPr>
        <w:pStyle w:val="Normal"/>
        <w:numPr>
          <w:ilvl w:val="2"/>
          <w:numId w:val="5"/>
        </w:numPr>
        <w:rPr/>
      </w:pPr>
      <w:r>
        <w:rPr/>
        <w:t>Focal MHW duration changes by 0.00 – 5.66% per % interpolated (90% CI)</w:t>
      </w:r>
    </w:p>
    <w:p>
      <w:pPr>
        <w:pStyle w:val="Normal"/>
        <w:rPr/>
      </w:pPr>
      <w:r>
        <w:rPr/>
        <w:t>Researchers need not avoid using sub-optimal time series, such as might be the best available for coastal research or sub-surface analyses. Time series length may have an unpredictable effect on MHW results, but this may be corrected, and time series lengths as short as 10 years are still useful for MHW research. Missing data has a larger effect on MHW detection, but linear interpolation can compensate for up to 50% missing data. Lastly, the effect of long-term trends on MHW detection are the largest and most linear but also have the largest uncertainties. The MHW detection algorithm is robust and researchers may be confident in the inter-comparability of results when using time series within a generous range of sub-optimal data challenges.</w:t>
      </w:r>
    </w:p>
    <w:p>
      <w:pPr>
        <w:pStyle w:val="Heading1"/>
        <w:numPr>
          <w:ilvl w:val="0"/>
          <w:numId w:val="2"/>
        </w:numPr>
        <w:rPr/>
      </w:pPr>
      <w:bookmarkStart w:id="18" w:name="conflict-of-interest"/>
      <w:bookmarkEnd w:id="18"/>
      <w:r>
        <w:rPr/>
        <w:t>Conflict of Interest</w:t>
      </w:r>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9" w:name="author-contributions"/>
      <w:bookmarkEnd w:id="19"/>
      <w:r>
        <w:rPr/>
        <w:t>Author Contributions</w:t>
      </w:r>
    </w:p>
    <w:p>
      <w:pPr>
        <w:pStyle w:val="Normal"/>
        <w:rPr/>
      </w:pPr>
      <w:r>
        <w:rPr/>
        <w:t>RS prepared the majority of the text, figures, synthesized the comments, and uploaded the manuscript. AS prepared a large portion of an early version of the text and a number of initial figures. AH, EO, and AS provided several rounds of comments on the manuscript as it was developed.</w:t>
      </w:r>
    </w:p>
    <w:p>
      <w:pPr>
        <w:pStyle w:val="Heading1"/>
        <w:numPr>
          <w:ilvl w:val="0"/>
          <w:numId w:val="2"/>
        </w:numPr>
        <w:rPr/>
      </w:pPr>
      <w:bookmarkStart w:id="20" w:name="funding"/>
      <w:bookmarkEnd w:id="20"/>
      <w:r>
        <w:rPr/>
        <w:t>Funding</w:t>
      </w:r>
    </w:p>
    <w:p>
      <w:pPr>
        <w:pStyle w:val="Normal"/>
        <w:rPr/>
      </w:pPr>
      <w:r>
        <w:rPr/>
        <w:t>This research was supported by the Ocean Frontier Institute through an award from the Canada First Research Excellence Fund. Funding was also provided through the National Sciences and Engineering Research Council of Canada Discovery Grant RGPIN-2018-05255.</w:t>
      </w:r>
    </w:p>
    <w:p>
      <w:pPr>
        <w:pStyle w:val="Heading1"/>
        <w:numPr>
          <w:ilvl w:val="0"/>
          <w:numId w:val="2"/>
        </w:numPr>
        <w:rPr/>
      </w:pPr>
      <w:bookmarkStart w:id="21" w:name="acknowledgements"/>
      <w:bookmarkEnd w:id="21"/>
      <w:r>
        <w:rPr/>
        <w:t>Acknowledgements</w:t>
      </w:r>
    </w:p>
    <w:p>
      <w:pPr>
        <w:pStyle w:val="Normal"/>
        <w:rPr/>
      </w:pPr>
      <w:r>
        <w:rPr/>
        <w:t>The authors would like to acknowledge the contributions of two anonymous reviewers in the development of this manuscript.</w:t>
      </w:r>
    </w:p>
    <w:p>
      <w:pPr>
        <w:pStyle w:val="Heading1"/>
        <w:numPr>
          <w:ilvl w:val="0"/>
          <w:numId w:val="2"/>
        </w:numPr>
        <w:rPr/>
      </w:pPr>
      <w:bookmarkStart w:id="22" w:name="data-availability-statement"/>
      <w:bookmarkEnd w:id="22"/>
      <w:r>
        <w:rPr/>
        <w:t>Data Availability Statement</w:t>
      </w:r>
    </w:p>
    <w:p>
      <w:pPr>
        <w:pStyle w:val="Normal"/>
        <w:rPr/>
      </w:pPr>
      <w:r>
        <w:rPr/>
        <w:t xml:space="preserve">The code and datasets generated for this study may be found at </w:t>
      </w:r>
      <w:hyperlink r:id="rId4">
        <w:r>
          <w:rPr>
            <w:rStyle w:val="InternetLink"/>
          </w:rPr>
          <w:t>https://github.com/robwschlegel/MHWdetection</w:t>
        </w:r>
      </w:hyperlink>
      <w:r>
        <w:rPr/>
        <w:t xml:space="preserve">. A detailed outline of the code used in this methodology may be found at </w:t>
      </w:r>
      <w:hyperlink r:id="rId5">
        <w:r>
          <w:rPr>
            <w:rStyle w:val="InternetLink"/>
          </w:rPr>
          <w:t>https://robwschlegel.github.io/MHWdetection/</w:t>
        </w:r>
      </w:hyperlink>
      <w:r>
        <w:rPr/>
        <w:t>.</w:t>
      </w:r>
    </w:p>
    <w:p>
      <w:pPr>
        <w:pStyle w:val="Heading1"/>
        <w:numPr>
          <w:ilvl w:val="0"/>
          <w:numId w:val="2"/>
        </w:numPr>
        <w:rPr/>
      </w:pPr>
      <w:bookmarkStart w:id="23" w:name="table-legends"/>
      <w:bookmarkEnd w:id="23"/>
      <w:r>
        <w:rPr/>
        <w:t>Table legends</w:t>
      </w:r>
    </w:p>
    <w:p>
      <w:pPr>
        <w:pStyle w:val="Normal"/>
        <w:rPr/>
      </w:pPr>
      <w:r>
        <w:rPr/>
        <w:t>Table 1: The degree of uncertainty introduced into the average marine heatwave (MHW) results as time series become increasingly sub-optimal. Starting from the left, the ‘Test’ column shows which of the three sub-optimal tests the results are for. The rows labelled ‘interp’ are for the interpolation fix for the missing data tests. The ‘Variable’ column shows the different MHW results that were focussed on in the sub-optimal tests. The ‘Range’ column shows the range of values over which the various uncertainty rates were measured. Note that there are two entries for each variable in the length test. This is done to show the difference in the uncertainty that increasing OR decreasing a time series past the 30 year standard affects the results. Also note that there are two rows for the effect of missing data on the count of MHWs, this is because the response is made more linear, and therefore a better predictor, if broken in half from 0 – 25% and 26 – 50%. The final five columns show the rate of uncertainty as a percentage difference caused by each test on each variable at the five different quantiles used in the boxplot figures: ‘q05’ = the 5th quantile, ‘q25’ = the 25th quantile, ‘q50’ = the 50th quantile, ‘q75’ = the 75th quantile, and ‘q95’ = the 95th quantile. To use these information the slope from a quantile column is multiplied by the number of steps away from an optimal time series the data are. The R</w:t>
      </w:r>
      <w:r>
        <w:rPr>
          <w:vertAlign w:val="superscript"/>
        </w:rPr>
        <w:t>2</w:t>
      </w:r>
      <w:r>
        <w:rPr/>
        <w:t xml:space="preserve"> value (coefficient of determination) of the slope in each cell is given in </w:t>
      </w:r>
      <w:r>
        <w:drawing>
          <wp:anchor behindDoc="0" distT="0" distB="0" distL="0" distR="0" simplePos="0" locked="0" layoutInCell="1" allowOverlap="1" relativeHeight="29">
            <wp:simplePos x="0" y="0"/>
            <wp:positionH relativeFrom="column">
              <wp:posOffset>-114935</wp:posOffset>
            </wp:positionH>
            <wp:positionV relativeFrom="paragraph">
              <wp:posOffset>3171825</wp:posOffset>
            </wp:positionV>
            <wp:extent cx="6374130" cy="2763520"/>
            <wp:effectExtent l="0" t="0" r="0" b="0"/>
            <wp:wrapSquare wrapText="bothSides"/>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6"/>
                    <a:stretch>
                      <a:fillRect/>
                    </a:stretch>
                  </pic:blipFill>
                  <pic:spPr bwMode="auto">
                    <a:xfrm>
                      <a:off x="0" y="0"/>
                      <a:ext cx="6374130" cy="2763520"/>
                    </a:xfrm>
                    <a:prstGeom prst="rect">
                      <a:avLst/>
                    </a:prstGeom>
                  </pic:spPr>
                </pic:pic>
              </a:graphicData>
            </a:graphic>
          </wp:anchor>
        </w:drawing>
      </w:r>
      <w:r>
        <w:rPr/>
        <w:t>p</w:t>
      </w:r>
      <w:r>
        <w:rPr/>
        <w:t>arentheses.</w:t>
      </w:r>
    </w:p>
    <w:p>
      <w:pPr>
        <w:pStyle w:val="Normal"/>
        <w:rPr/>
      </w:pPr>
      <w:r>
        <w:rPr/>
      </w:r>
    </w:p>
    <w:p>
      <w:pPr>
        <w:pStyle w:val="TextBody"/>
        <w:rPr/>
      </w:pPr>
      <w:r>
        <w:rPr/>
        <w:t>Table 2: The degree of uncertainty introduced into the focal marine heatwave (MHW) results as time series become increasingly sub-optimal All elements of this table are the same as Table 1 and are used the same in the calculation of uncertainties introduced into MHW results from sub-optimal data.</w:t>
      </w:r>
    </w:p>
    <w:p>
      <w:pPr>
        <w:pStyle w:val="TextBody"/>
        <w:rPr/>
      </w:pPr>
      <w:r>
        <w:rPr/>
        <w:drawing>
          <wp:anchor behindDoc="0" distT="0" distB="0" distL="0" distR="0" simplePos="0" locked="0" layoutInCell="1" allowOverlap="1" relativeHeight="30">
            <wp:simplePos x="0" y="0"/>
            <wp:positionH relativeFrom="column">
              <wp:posOffset>-149225</wp:posOffset>
            </wp:positionH>
            <wp:positionV relativeFrom="paragraph">
              <wp:posOffset>635</wp:posOffset>
            </wp:positionV>
            <wp:extent cx="6442710" cy="2763520"/>
            <wp:effectExtent l="0" t="0" r="0" b="0"/>
            <wp:wrapSquare wrapText="bothSides"/>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7"/>
                    <a:stretch>
                      <a:fillRect/>
                    </a:stretch>
                  </pic:blipFill>
                  <pic:spPr bwMode="auto">
                    <a:xfrm>
                      <a:off x="0" y="0"/>
                      <a:ext cx="6442710" cy="2763520"/>
                    </a:xfrm>
                    <a:prstGeom prst="rect">
                      <a:avLst/>
                    </a:prstGeom>
                  </pic:spPr>
                </pic:pic>
              </a:graphicData>
            </a:graphic>
          </wp:anchor>
        </w:drawing>
      </w:r>
    </w:p>
    <w:p>
      <w:pPr>
        <w:pStyle w:val="Heading1"/>
        <w:numPr>
          <w:ilvl w:val="0"/>
          <w:numId w:val="2"/>
        </w:numPr>
        <w:rPr/>
      </w:pPr>
      <w:bookmarkStart w:id="24" w:name="figure-legends"/>
      <w:bookmarkEnd w:id="24"/>
      <w:r>
        <w:rPr/>
        <w:t>Figure legends</w:t>
      </w:r>
    </w:p>
    <w:p>
      <w:pPr>
        <w:pStyle w:val="Normal"/>
        <w:rPr/>
      </w:pPr>
      <w:r>
        <w:rPr/>
        <w:t>Figure 1: The focal marine heatwaves (MHWs) shown in red for the three reference time series A) Western Australia (WA), B) Northwest Atlantic (NWA), and C) Mediterranean (Med). Other MHWs shown in salmon. Each panel is centred around the peak date of the focal MHW, which is highlighted by a dark green vertical segment. The beginning and end of each MHW are demarcated with light green vertical segments. The seasonal mean climatology for each time series is shown as a light blue line, while the threshold climatology is shown with a dark blue line. The observed temperatures are shown as a black line. Note that only the WA focal MHW is the same as the event in the literature, the focal MHWs shown here for the NWA and Med time series are larger than the MHWs from the literature so are shown here in their stead.</w:t>
      </w:r>
    </w:p>
    <w:p>
      <w:pPr>
        <w:pStyle w:val="TextBody"/>
        <w:rPr/>
      </w:pPr>
      <w:r>
        <w:rPr/>
        <w:t>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0.30°C/decade).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where there has been no change from the control time series. The coloured lines show the effect of the sub-optimal tests on the three reference time series shown in Figure 1. Note that the x-axes differ between columns, and the y-axes differ between rows.</w:t>
      </w:r>
    </w:p>
    <w:p>
      <w:pPr>
        <w:pStyle w:val="TextBody"/>
        <w:rPr/>
      </w:pPr>
      <w:r>
        <w:rPr/>
        <w:t>Figure 3: The effects of sub-optimal data on the focal MHWs detected in 1000 randomly selected time series (pixels) from the OISST dataset. The columns and rows of this figure are laid out the same as Figure 2. The top row of panels, “Count (% n)”, shows the difference in the count of MHWs during the duration of the focal event from the control time series. A value of -100% means that no events were detected, and a value of 0 means that no additional MHWs were detected in addition to the focal MHW. Theoretically this value should remain at 0, when it increases that means that the focal MHW is being broken up into multiple smaller events. The bottom two rows of panels show percentage changes in the duration of the focal MHW and its maximum intensity. A value 0f -100% means that no MHW was detected. The 0 line on the y-axis is highlighted with a dashed black line and the effect of the sub-optimal tests on the three reference time series are shown in colour.</w:t>
      </w:r>
    </w:p>
    <w:p>
      <w:pPr>
        <w:pStyle w:val="TextBody"/>
        <w:rPr/>
      </w:pPr>
      <w:r>
        <w:rPr/>
        <w:t>Figure 4: Global map showing changes in MHW detection as the time series at each pixel is shortened from 30 to 10 years. The left column shows the effect of time series length on the average MHWs detected, while the right column shows the effect on the focal MHW. Panels A and D show the change in the count of MHWs as the time series are shortened, panels B and E show the change in the duration (days) of the detected MHW(s), and panels C and F show the change in the maximum intensity (°C). The labels on the colour bars at the bottom of each panel show what the global values are at the 5th, 25th, 50th, 75th, and 95th quantiles. Any values smaller/larger than the 5th/95th quantile were rounded to prevent the very long tails of the distribution from interfering with the visualisation of the results.</w:t>
      </w:r>
    </w:p>
    <w:p>
      <w:pPr>
        <w:pStyle w:val="TextBody"/>
        <w:rPr/>
      </w:pPr>
      <w:r>
        <w:rPr/>
        <w:t>Figure 5: The effect of changing the window half-widths used for seasonal and threshold climatology creation on average MHW detection. The left column (A, B, C) is reproduced from Figure 2 (A, B, C) and included here for ease of comparison to the effects of the three different window half-widths tested: 10, 20, and 30 days. The default window half-width of 5 days is used in the left column. All other elements are the same as Figures 2 and 3.</w:t>
      </w:r>
    </w:p>
    <w:p>
      <w:pPr>
        <w:pStyle w:val="TextBody"/>
        <w:rPr/>
      </w:pPr>
      <w:r>
        <w:rPr/>
        <w:t>Figure 6: The effect of linear interpolation on the MHW results from time series with missing data. The left column (A, B, C) and centre-right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Heading1"/>
        <w:numPr>
          <w:ilvl w:val="0"/>
          <w:numId w:val="2"/>
        </w:numPr>
        <w:rPr/>
      </w:pPr>
      <w:bookmarkStart w:id="25" w:name="references"/>
      <w:bookmarkEnd w:id="25"/>
      <w:r>
        <w:rPr/>
        <w:t>References</w:t>
      </w:r>
    </w:p>
    <w:p>
      <w:pPr>
        <w:pStyle w:val="Normal"/>
        <w:rPr/>
      </w:pPr>
      <w:r>
        <w:rPr/>
        <w:t xml:space="preserve">Banzon, V., Smith, T. M., Chin, T. M., Liu, C., and Hankins, W. (2016). A long-term record of blended satellite and in situ sea-surface temperature for climate monitoring, modeling and environmental studies. </w:t>
      </w:r>
      <w:r>
        <w:rPr>
          <w:i/>
        </w:rPr>
        <w:t>Earth System Science Data</w:t>
      </w:r>
      <w:r>
        <w:rPr/>
        <w:t xml:space="preserve"> 8, 165–176. doi:</w:t>
      </w:r>
      <w:hyperlink r:id="rId8">
        <w:r>
          <w:rPr>
            <w:rStyle w:val="InternetLink"/>
          </w:rPr>
          <w:t>10.5194/essd-8-165-2016</w:t>
        </w:r>
      </w:hyperlink>
      <w:bookmarkStart w:id="26" w:name="ref-Banzon2016"/>
      <w:bookmarkEnd w:id="26"/>
      <w:r>
        <w:rPr/>
        <w:t>.</w:t>
      </w:r>
    </w:p>
    <w:p>
      <w:pPr>
        <w:pStyle w:val="Normal"/>
        <w:rPr/>
      </w:pPr>
      <w:r>
        <w:rPr/>
        <w:t xml:space="preserve">Baumgartner, T. R. (1992). Reconstruction of the history of the pacific sardine and northern anchovy populations over the past two millenia from sediments of the Santa Barbara basin, California. </w:t>
      </w:r>
      <w:r>
        <w:rPr>
          <w:i/>
        </w:rPr>
        <w:t>CalCOFI Rep</w:t>
      </w:r>
      <w:bookmarkStart w:id="27" w:name="ref-Baumgartner1992"/>
      <w:bookmarkEnd w:id="27"/>
      <w:r>
        <w:rPr/>
        <w:t xml:space="preserve"> 33, 24–40.</w:t>
      </w:r>
    </w:p>
    <w:p>
      <w:pPr>
        <w:pStyle w:val="Normal"/>
        <w:rPr/>
      </w:pPr>
      <w:r>
        <w:rPr/>
        <w:t xml:space="preserve">Darmaraki, S., Somot, S., Sevault, F., Nabat, P. (2019). Past Variability of Mediterranean Sea marine heatwaves. </w:t>
      </w:r>
      <w:bookmarkStart w:id="28" w:name="ref-Darmaraki2019"/>
      <w:bookmarkEnd w:id="28"/>
      <w:r>
        <w:rPr>
          <w:i/>
        </w:rPr>
        <w:t>Geophysical Research Letters</w:t>
      </w:r>
      <w:r>
        <w:rPr/>
        <w:t xml:space="preserve"> 46, 9813–9823. doi:</w:t>
      </w:r>
      <w:r>
        <w:rPr>
          <w:color w:val="0000FF"/>
          <w:u w:val="single"/>
        </w:rPr>
        <w:t>10.1029/2019GL082933</w:t>
      </w:r>
    </w:p>
    <w:p>
      <w:pPr>
        <w:pStyle w:val="Normal"/>
        <w:rPr/>
      </w:pPr>
      <w:r>
        <w:rPr/>
        <w:t xml:space="preserve">Dayton, P. K., Tegner, M. J., Parnell, P. E., and Edwards, P. B. (1992). Temporal and spatial patterns of disturbance and recovery in a kelp forest community. </w:t>
      </w:r>
      <w:r>
        <w:rPr>
          <w:i/>
        </w:rPr>
        <w:t>Ecological Monographs</w:t>
      </w:r>
      <w:r>
        <w:rPr/>
        <w:t xml:space="preserve"> 62, 421–445. doi:</w:t>
      </w:r>
      <w:hyperlink r:id="rId9">
        <w:r>
          <w:rPr>
            <w:rStyle w:val="InternetLink"/>
          </w:rPr>
          <w:t>10.2307/2937118</w:t>
        </w:r>
      </w:hyperlink>
      <w:bookmarkStart w:id="29" w:name="ref-Dayton1992"/>
      <w:bookmarkEnd w:id="29"/>
      <w:r>
        <w:rPr/>
        <w:t>.</w:t>
      </w:r>
    </w:p>
    <w:p>
      <w:pPr>
        <w:pStyle w:val="Normal"/>
        <w:rPr/>
      </w:pPr>
      <w:r>
        <w:rPr/>
        <w:t xml:space="preserve">Fordyce, A. J., Ainsworth, T. D., Heron, S. F., and Leggat, W. (2019). Marine heatwave hotspots in coral reef environments: Physical drivers, ecophysiological outcomes and impact upon structural complexity. </w:t>
      </w:r>
      <w:r>
        <w:rPr>
          <w:i/>
        </w:rPr>
        <w:t>Frontiers in Marine Science</w:t>
      </w:r>
      <w:r>
        <w:rPr/>
        <w:t xml:space="preserve"> 6, 498. doi:</w:t>
      </w:r>
      <w:hyperlink r:id="rId10">
        <w:r>
          <w:rPr>
            <w:rStyle w:val="InternetLink"/>
          </w:rPr>
          <w:t>10.3389/fmars.2019.00498</w:t>
        </w:r>
      </w:hyperlink>
      <w:bookmarkStart w:id="30" w:name="ref-Fordyce2019"/>
      <w:bookmarkEnd w:id="30"/>
      <w:r>
        <w:rPr/>
        <w:t>.</w:t>
      </w:r>
    </w:p>
    <w:p>
      <w:pPr>
        <w:pStyle w:val="Normal"/>
        <w:rPr/>
      </w:pPr>
      <w:r>
        <w:rPr/>
        <w:t xml:space="preserve">Garrabou, J., Coma, R., Bensoussan, N., Bally, M., Chevaldonné, P., Cigliano, et al. (2009). Mass mortality in Northwestern Mediterranean rocky benthic communities: effects of the 2003 heat wave. </w:t>
      </w:r>
      <w:r>
        <w:rPr>
          <w:i/>
        </w:rPr>
        <w:t>Global Change Biology</w:t>
      </w:r>
      <w:r>
        <w:rPr/>
        <w:t xml:space="preserve"> 15, 1090–1103. doi:</w:t>
      </w:r>
      <w:hyperlink r:id="rId11">
        <w:r>
          <w:rPr>
            <w:rStyle w:val="InternetLink"/>
          </w:rPr>
          <w:t>10.1111/j.1365-2486.2008.01823.x</w:t>
        </w:r>
      </w:hyperlink>
      <w:bookmarkStart w:id="31" w:name="ref-Garrabou2009"/>
      <w:bookmarkEnd w:id="31"/>
      <w:r>
        <w:rPr/>
        <w:t>.</w:t>
      </w:r>
    </w:p>
    <w:p>
      <w:pPr>
        <w:pStyle w:val="Normal"/>
        <w:rPr/>
      </w:pPr>
      <w:r>
        <w:rPr/>
        <w:t xml:space="preserve">Harrison, B., Jupp, D., Lewis, M., Forster, B., Mueller, N., Smith, C., et al. (2019). </w:t>
      </w:r>
      <w:r>
        <w:rPr>
          <w:i/>
        </w:rPr>
        <w:t>Earth observation: Data, processing and applications</w:t>
      </w:r>
      <w:bookmarkStart w:id="32" w:name="ref-Harrison2019"/>
      <w:bookmarkEnd w:id="32"/>
      <w:r>
        <w:rPr/>
        <w:t>. Australia; New Zealand CRC for Spatial Information.</w:t>
      </w:r>
    </w:p>
    <w:p>
      <w:pPr>
        <w:pStyle w:val="Normal"/>
        <w:rPr/>
      </w:pPr>
      <w:r>
        <w:rPr/>
        <w:t xml:space="preserve">Hobday, A. J., Alexander, L. V., Perkins, S. E., Smale, D. A., Straub, S. C., Oliver, E. C. J., et al. (2016). A hierarchical approach to defining marine heatwaves. </w:t>
      </w:r>
      <w:r>
        <w:rPr>
          <w:i/>
        </w:rPr>
        <w:t>Progress in Oceanography</w:t>
      </w:r>
      <w:r>
        <w:rPr/>
        <w:t xml:space="preserve"> 141, 227–238. doi:</w:t>
      </w:r>
      <w:hyperlink r:id="rId12">
        <w:r>
          <w:rPr>
            <w:rStyle w:val="InternetLink"/>
          </w:rPr>
          <w:t>10.1016/j.pocean.2015.12.014</w:t>
        </w:r>
      </w:hyperlink>
      <w:bookmarkStart w:id="33" w:name="ref-Hobday2016"/>
      <w:bookmarkEnd w:id="33"/>
      <w:r>
        <w:rPr/>
        <w:t>.</w:t>
      </w:r>
    </w:p>
    <w:p>
      <w:pPr>
        <w:pStyle w:val="Normal"/>
        <w:rPr/>
      </w:pPr>
      <w:r>
        <w:rPr/>
        <w:t xml:space="preserve">Hobday, A. J., Oliver, E. C. J., Gupta, A. S., Benthuysen, J. A., Burrows, M. T., Donat, M. G., et al. (2018). Categorizing and naming marine heatwaves. </w:t>
      </w:r>
      <w:r>
        <w:rPr>
          <w:i/>
        </w:rPr>
        <w:t>Oceanography</w:t>
      </w:r>
      <w:r>
        <w:rPr/>
        <w:t xml:space="preserve"> 31, 162–173. doi:</w:t>
      </w:r>
      <w:hyperlink r:id="rId13">
        <w:r>
          <w:rPr>
            <w:rStyle w:val="InternetLink"/>
          </w:rPr>
          <w:t>10.5670/oceanog.2018.5205</w:t>
        </w:r>
      </w:hyperlink>
      <w:bookmarkStart w:id="34" w:name="ref-Hobday2018"/>
      <w:bookmarkEnd w:id="34"/>
      <w:r>
        <w:rPr/>
        <w:t>.</w:t>
      </w:r>
    </w:p>
    <w:p>
      <w:pPr>
        <w:pStyle w:val="Normal"/>
        <w:rPr/>
      </w:pPr>
      <w:r>
        <w:rPr/>
        <w:t xml:space="preserve">Mills, K., Pershing, A., Brown, C., Chen, Y., Chiang, F. S., Holland, D., et al. (2013). Fisheries Management in a Changing Climate: Lessons From the 2012 Ocean Heat Wave in the Northwest Atlantic. </w:t>
      </w:r>
      <w:r>
        <w:rPr>
          <w:i/>
        </w:rPr>
        <w:t>Oceanography</w:t>
      </w:r>
      <w:r>
        <w:rPr/>
        <w:t xml:space="preserve"> 26, 191–195. doi:</w:t>
      </w:r>
      <w:hyperlink r:id="rId14">
        <w:r>
          <w:rPr>
            <w:rStyle w:val="InternetLink"/>
          </w:rPr>
          <w:t>10.5670/oceanog.2013.27</w:t>
        </w:r>
      </w:hyperlink>
      <w:bookmarkStart w:id="35" w:name="ref-Mills2013"/>
      <w:bookmarkEnd w:id="35"/>
      <w:r>
        <w:rPr/>
        <w:t>.</w:t>
      </w:r>
    </w:p>
    <w:p>
      <w:pPr>
        <w:pStyle w:val="Normal"/>
        <w:rPr/>
      </w:pPr>
      <w:r>
        <w:rPr/>
        <w:t xml:space="preserve">Oliver, E. C. J., Donat, M. G., Burrows, M. T., Moore, P. J., Smale, D. A., Alexander, L. V., et al. (2018). Longer and more frequent marine heatwaves over the past century. </w:t>
      </w:r>
      <w:r>
        <w:rPr>
          <w:i/>
        </w:rPr>
        <w:t>Nature communications</w:t>
      </w:r>
      <w:r>
        <w:rPr/>
        <w:t xml:space="preserve"> 9, 1324. doi:</w:t>
      </w:r>
      <w:hyperlink r:id="rId15">
        <w:r>
          <w:rPr>
            <w:rStyle w:val="InternetLink"/>
          </w:rPr>
          <w:t>10.1038/s41467-018-03732-9</w:t>
        </w:r>
      </w:hyperlink>
      <w:bookmarkStart w:id="36" w:name="ref-Oliver2018"/>
      <w:bookmarkEnd w:id="36"/>
      <w:r>
        <w:rPr/>
        <w:t>.</w:t>
      </w:r>
    </w:p>
    <w:p>
      <w:pPr>
        <w:pStyle w:val="Normal"/>
        <w:rPr/>
      </w:pPr>
      <w:r>
        <w:rPr/>
        <w:t>Oliver, E. C. J., Lago, V., Holbrook, N. J., Ling, S. D., Mundy, C. N., and Hobday, A. J. (2017). Eastern Tasmania Marine Heatwave Atlas. doi:</w:t>
      </w:r>
      <w:hyperlink r:id="rId16">
        <w:r>
          <w:rPr>
            <w:rStyle w:val="InternetLink"/>
          </w:rPr>
          <w:t>10.4226/77/587e97d9b2bf9</w:t>
        </w:r>
      </w:hyperlink>
      <w:bookmarkStart w:id="37" w:name="ref-Oliver2017"/>
      <w:bookmarkEnd w:id="37"/>
      <w:r>
        <w:rPr/>
        <w:t>.</w:t>
      </w:r>
    </w:p>
    <w:p>
      <w:pPr>
        <w:pStyle w:val="Normal"/>
        <w:rPr/>
      </w:pPr>
      <w:r>
        <w:rPr/>
        <w:t xml:space="preserve">Pachauri, R. K., Allen, M. R., Barros, V. R., Broome, J., Cramer, W., Christ, R., et al. (2014). </w:t>
      </w:r>
      <w:r>
        <w:rPr>
          <w:i/>
        </w:rPr>
        <w:t>Climate change 2014: Synthesis report. Contribution of working groups i, ii and iii to the fifth assessment report of the intergovernmental panel on climate change</w:t>
      </w:r>
      <w:bookmarkStart w:id="38" w:name="ref-IPCC2014"/>
      <w:bookmarkEnd w:id="38"/>
      <w:r>
        <w:rPr/>
        <w:t>. IPCC.</w:t>
      </w:r>
    </w:p>
    <w:p>
      <w:pPr>
        <w:pStyle w:val="Normal"/>
        <w:rPr/>
      </w:pPr>
      <w:r>
        <w:rPr/>
        <w:t xml:space="preserve">Philander, S. G. H. (1983). El nino southern oscillation phenomena. </w:t>
      </w:r>
      <w:r>
        <w:rPr>
          <w:i/>
        </w:rPr>
        <w:t>Nature</w:t>
      </w:r>
      <w:r>
        <w:rPr/>
        <w:t xml:space="preserve"> 302, 295. doi:</w:t>
      </w:r>
      <w:hyperlink r:id="rId17">
        <w:r>
          <w:rPr>
            <w:rStyle w:val="InternetLink"/>
          </w:rPr>
          <w:t>10.1038/302295a0</w:t>
        </w:r>
      </w:hyperlink>
      <w:bookmarkStart w:id="39" w:name="ref-Philander1983"/>
      <w:bookmarkEnd w:id="39"/>
      <w:r>
        <w:rPr/>
        <w:t>.</w:t>
      </w:r>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 doi:</w:t>
      </w:r>
      <w:hyperlink r:id="rId18">
        <w:r>
          <w:rPr>
            <w:rStyle w:val="InternetLink"/>
          </w:rPr>
          <w:t>10.1175/2007JCLI1824.1</w:t>
        </w:r>
      </w:hyperlink>
      <w:bookmarkStart w:id="40" w:name="ref-Reynolds2007"/>
      <w:bookmarkEnd w:id="40"/>
      <w:r>
        <w:rPr/>
        <w:t>.</w:t>
      </w:r>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19">
        <w:r>
          <w:rPr>
            <w:rStyle w:val="InternetLink"/>
          </w:rPr>
          <w:t>https://doi.org/10.1016/bs.amb.2016.04.002</w:t>
        </w:r>
      </w:hyperlink>
      <w:bookmarkStart w:id="41" w:name="ref-Salinger2016"/>
      <w:bookmarkEnd w:id="41"/>
      <w:r>
        <w:rPr/>
        <w:t>.</w:t>
      </w:r>
    </w:p>
    <w:p>
      <w:pPr>
        <w:pStyle w:val="Normal"/>
        <w:rPr/>
      </w:pPr>
      <w:r>
        <w:rPr/>
        <w:t xml:space="preserve">Schaeffer, A., and Roughan, M. (2017). Sub-surface intensification of marine heatwaves off southeastern Australia: the role of stratification and local winds. </w:t>
      </w:r>
      <w:r>
        <w:rPr>
          <w:i/>
        </w:rPr>
        <w:t>Geophysical Research Letters</w:t>
      </w:r>
      <w:r>
        <w:rPr/>
        <w:t>. doi:</w:t>
      </w:r>
      <w:hyperlink r:id="rId20">
        <w:r>
          <w:rPr>
            <w:rStyle w:val="InternetLink"/>
          </w:rPr>
          <w:t>10.1002/2017GL073714</w:t>
        </w:r>
      </w:hyperlink>
      <w:bookmarkStart w:id="42" w:name="ref-Schaeffer2017"/>
      <w:bookmarkEnd w:id="42"/>
      <w:r>
        <w:rPr/>
        <w:t>.</w:t>
      </w:r>
    </w:p>
    <w:p>
      <w:pPr>
        <w:pStyle w:val="Normal"/>
        <w:rPr/>
      </w:pPr>
      <w:r>
        <w:rPr/>
        <w:t xml:space="preserve">Schlegel, R. W., and Smit, A. J. (2018). heatwaveR: A central algorithm for the detection of heatwaves and cold-spells. </w:t>
      </w:r>
      <w:r>
        <w:rPr>
          <w:i/>
        </w:rPr>
        <w:t>The Journal of Open Source Software</w:t>
      </w:r>
      <w:r>
        <w:rPr/>
        <w:t xml:space="preserve"> 3, 821. doi:</w:t>
      </w:r>
      <w:hyperlink r:id="rId21">
        <w:r>
          <w:rPr>
            <w:rStyle w:val="InternetLink"/>
          </w:rPr>
          <w:t>10.21105/joss.00821</w:t>
        </w:r>
      </w:hyperlink>
      <w:bookmarkStart w:id="43" w:name="ref-Schlegel2018"/>
      <w:bookmarkEnd w:id="43"/>
      <w:r>
        <w:rPr/>
        <w:t>.</w:t>
      </w:r>
    </w:p>
    <w:p>
      <w:pPr>
        <w:pStyle w:val="Normal"/>
        <w:rPr/>
      </w:pPr>
      <w:r>
        <w:rPr/>
        <w:t xml:space="preserve">Smale, D. A., and Wernberg, T. (2009). Satellite-derived SST data as a proxy for water temperature in nearshore benthic ecology. </w:t>
      </w:r>
      <w:r>
        <w:rPr>
          <w:i/>
        </w:rPr>
        <w:t>Marine Ecology Progress Series</w:t>
      </w:r>
      <w:r>
        <w:rPr/>
        <w:t xml:space="preserve"> 387, 27–37. doi:</w:t>
      </w:r>
      <w:hyperlink r:id="rId22">
        <w:r>
          <w:rPr>
            <w:rStyle w:val="InternetLink"/>
          </w:rPr>
          <w:t>10.3354/meps08132</w:t>
        </w:r>
      </w:hyperlink>
      <w:bookmarkStart w:id="44" w:name="ref-Smale2009"/>
      <w:bookmarkEnd w:id="44"/>
      <w:r>
        <w:rPr/>
        <w:t>.</w:t>
      </w:r>
    </w:p>
    <w:p>
      <w:pPr>
        <w:pStyle w:val="Normal"/>
        <w:rPr/>
      </w:pPr>
      <w:r>
        <w:rPr/>
        <w:t xml:space="preserve">Smale, D. A., Wernberg, T., Oliver, E. C. J., Thomsen, M., Harvey, B. P., Straub, S. C., et al. (2019). Marine heatwaves threaten global biodiversity and the provision of ecosystem services. </w:t>
      </w:r>
      <w:r>
        <w:rPr>
          <w:i/>
        </w:rPr>
        <w:t>Nature Climate Change</w:t>
      </w:r>
      <w:r>
        <w:rPr/>
        <w:t xml:space="preserve"> 9, 306–312. doi:</w:t>
      </w:r>
      <w:hyperlink r:id="rId23">
        <w:r>
          <w:rPr>
            <w:rStyle w:val="InternetLink"/>
          </w:rPr>
          <w:t>10.1038/s41558-019-0412-1</w:t>
        </w:r>
      </w:hyperlink>
      <w:bookmarkStart w:id="45" w:name="ref-Smale2019"/>
      <w:bookmarkEnd w:id="45"/>
      <w:r>
        <w:rPr/>
        <w:t>.</w:t>
      </w:r>
    </w:p>
    <w:p>
      <w:pPr>
        <w:pStyle w:val="Normal"/>
        <w:rPr/>
      </w:pPr>
      <w:r>
        <w:rPr/>
        <w:t xml:space="preserve">Smit, A. J., Roberts, M., Anderson, R. J., Dufois, F., Dudley, S. F. J., Bornman, T. G., et al. (2013). A coastal seawater temperature dataset for biogeographical studies: large biases between in situ and remotely-sensed data sets around the coast of South Africa. </w:t>
      </w:r>
      <w:r>
        <w:rPr>
          <w:i/>
        </w:rPr>
        <w:t>PLOS ONE</w:t>
      </w:r>
      <w:r>
        <w:rPr/>
        <w:t xml:space="preserve"> 8. doi:</w:t>
      </w:r>
      <w:hyperlink r:id="rId24">
        <w:r>
          <w:rPr>
            <w:rStyle w:val="InternetLink"/>
          </w:rPr>
          <w:t>10.1371/journal.pone.0081944</w:t>
        </w:r>
      </w:hyperlink>
      <w:bookmarkStart w:id="46" w:name="ref-Smit2013"/>
      <w:bookmarkEnd w:id="46"/>
      <w:r>
        <w:rPr/>
        <w:t>.</w:t>
      </w:r>
    </w:p>
    <w:p>
      <w:pPr>
        <w:pStyle w:val="Normal"/>
        <w:rPr/>
      </w:pPr>
      <w:r>
        <w:rPr/>
        <w:t xml:space="preserve">Stobart, B., Mayfield, S., Mundy, C., Hobday, A., and Hartog, J. (2016). Comparison of in situ and satellite sea surface-temperature data from south Australia and Tasmania: How reliable are satellite data as a proxy for coastal temperatures in temperate southern Australia? </w:t>
      </w:r>
      <w:r>
        <w:rPr>
          <w:i/>
        </w:rPr>
        <w:t>Marine and Freshwater Research</w:t>
      </w:r>
      <w:r>
        <w:rPr/>
        <w:t xml:space="preserve"> 67, 612–625. doi:</w:t>
      </w:r>
      <w:hyperlink r:id="rId25">
        <w:r>
          <w:rPr>
            <w:rStyle w:val="InternetLink"/>
          </w:rPr>
          <w:t>10.1071/MF14340</w:t>
        </w:r>
      </w:hyperlink>
      <w:bookmarkStart w:id="47" w:name="ref-Stobart2016"/>
      <w:bookmarkEnd w:id="47"/>
      <w:r>
        <w:rPr/>
        <w:t>.</w:t>
      </w:r>
    </w:p>
    <w:p>
      <w:pPr>
        <w:pStyle w:val="Normal"/>
        <w:rPr/>
      </w:pPr>
      <w:r>
        <w:rPr/>
        <w:t xml:space="preserve">Wernberg, T., Smale, D. A., Tuya, F., Thomsen, M. S., Langlois, T. J., de Bettignies, T., et al. (2012). An extreme climatic event alters marine ecosystem structure in a global biodiversity hotspot. </w:t>
      </w:r>
      <w:r>
        <w:rPr>
          <w:i/>
        </w:rPr>
        <w:t>Nature Climate Change</w:t>
      </w:r>
      <w:r>
        <w:rPr/>
        <w:t xml:space="preserve"> 3, 78–82. doi:</w:t>
      </w:r>
      <w:hyperlink r:id="rId26">
        <w:r>
          <w:rPr>
            <w:rStyle w:val="InternetLink"/>
          </w:rPr>
          <w:t>10.1038/nclimate1627</w:t>
        </w:r>
      </w:hyperlink>
      <w:bookmarkStart w:id="48" w:name="ref-Wernberg2012a"/>
      <w:bookmarkEnd w:id="48"/>
      <w:r>
        <w:rPr/>
        <w:t>.</w:t>
      </w:r>
    </w:p>
    <w:p>
      <w:pPr>
        <w:pStyle w:val="Normal"/>
        <w:rPr/>
      </w:pPr>
      <w:bookmarkStart w:id="49" w:name="ref-WMO2011"/>
      <w:bookmarkEnd w:id="49"/>
      <w:r>
        <w:rPr/>
        <w:t>WMO (2011). Guide to climatological practices.</w:t>
      </w:r>
    </w:p>
    <w:p>
      <w:pPr>
        <w:pStyle w:val="Normal"/>
        <w:rPr/>
      </w:pPr>
      <w:bookmarkStart w:id="50" w:name="ref-WMO2017"/>
      <w:bookmarkEnd w:id="50"/>
      <w:r>
        <w:rPr/>
        <w:t>WMO (2017). WMO guidelines on the calculation of climate normals.</w:t>
      </w:r>
    </w:p>
    <w:p>
      <w:pPr>
        <w:pStyle w:val="Normal"/>
        <w:widowControl/>
        <w:bidi w:val="0"/>
        <w:spacing w:lineRule="auto" w:line="240" w:before="120" w:after="240"/>
        <w:jc w:val="left"/>
        <w:rPr/>
      </w:pPr>
      <w:r>
        <w:rPr/>
        <w:t xml:space="preserve">Zhao, Z., and Marin, M. (2019). A MATLAB toolbox to detect and analyze marine heatwaves. </w:t>
      </w:r>
      <w:r>
        <w:rPr>
          <w:i/>
        </w:rPr>
        <w:t>The Journal of Open Source Software</w:t>
      </w:r>
      <w:r>
        <w:rPr/>
        <w:t xml:space="preserve"> 4, 1124. doi:</w:t>
      </w:r>
      <w:r>
        <w:rPr>
          <w:color w:val="0000FF"/>
          <w:u w:val="single"/>
        </w:rPr>
        <w:t>10.21105/joss.01124</w:t>
      </w:r>
    </w:p>
    <w:sectPr>
      <w:headerReference w:type="even" r:id="rId27"/>
      <w:headerReference w:type="default" r:id="rId28"/>
      <w:headerReference w:type="first" r:id="rId29"/>
      <w:footerReference w:type="even" r:id="rId30"/>
      <w:footerReference w:type="default" r:id="rId31"/>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mbria">
    <w:charset w:val="01"/>
    <w:family w:val="swiss"/>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9" wp14:anchorId="51D4B8BD">
              <wp:simplePos x="0" y="0"/>
              <wp:positionH relativeFrom="margin">
                <wp:align>right</wp:align>
              </wp:positionH>
              <wp:positionV relativeFrom="paragraph">
                <wp:posOffset>635</wp:posOffset>
              </wp:positionV>
              <wp:extent cx="1512570" cy="342265"/>
              <wp:effectExtent l="0" t="0" r="0" b="0"/>
              <wp:wrapNone/>
              <wp:docPr id="4" name="Text Box 1"/>
              <a:graphic xmlns:a="http://schemas.openxmlformats.org/drawingml/2006/main">
                <a:graphicData uri="http://schemas.microsoft.com/office/word/2010/wordprocessingShape">
                  <wps:wsp>
                    <wps:cNvSpPr/>
                    <wps:spPr>
                      <a:xfrm>
                        <a:off x="0" y="0"/>
                        <a:ext cx="151200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20</w:t>
                          </w:r>
                          <w:r>
                            <w:fldChar w:fldCharType="end"/>
                          </w:r>
                        </w:p>
                      </w:txbxContent>
                    </wps:txbx>
                    <wps:bodyPr>
                      <a:prstTxWarp prst="textNoShape"/>
                      <a:spAutoFit/>
                    </wps:bodyPr>
                  </wps:wsp>
                </a:graphicData>
              </a:graphic>
            </wp:anchor>
          </w:drawing>
        </mc:Choice>
        <mc:Fallback>
          <w:pict>
            <v:rect id="shape_0" ID="Text Box 1" stroked="f" style="position:absolute;margin-left:360.75pt;margin-top:0.05pt;width:119pt;height:26.8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20</w:t>
                    </w:r>
                    <w:r>
                      <w:fldChar w:fldCharType="end"/>
                    </w:r>
                  </w:p>
                </w:txbxContent>
              </v:textbox>
            </v:rect>
          </w:pict>
        </mc:Fallback>
      </mc:AlternateContent>
      <mc:AlternateContent>
        <mc:Choice Requires="wps">
          <w:drawing>
            <wp:anchor behindDoc="1" distT="0" distB="0" distL="114300" distR="114300" simplePos="0" locked="0" layoutInCell="1" allowOverlap="1" relativeHeight="28" wp14:anchorId="31D8D0F9">
              <wp:simplePos x="0" y="0"/>
              <wp:positionH relativeFrom="column">
                <wp:posOffset>-108585</wp:posOffset>
              </wp:positionH>
              <wp:positionV relativeFrom="paragraph">
                <wp:posOffset>-42545</wp:posOffset>
              </wp:positionV>
              <wp:extent cx="3676015" cy="343535"/>
              <wp:effectExtent l="0" t="0" r="4445" b="0"/>
              <wp:wrapNone/>
              <wp:docPr id="6" name="Text Box 2"/>
              <a:graphic xmlns:a="http://schemas.openxmlformats.org/drawingml/2006/main">
                <a:graphicData uri="http://schemas.microsoft.com/office/word/2010/wordprocessingShape">
                  <wps:wsp>
                    <wps:cNvSpPr/>
                    <wps:spPr>
                      <a:xfrm>
                        <a:off x="0" y="0"/>
                        <a:ext cx="3675240" cy="34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3.35pt;width:289.35pt;height:26.9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10" wp14:anchorId="2C4AF3B6">
              <wp:simplePos x="0" y="0"/>
              <wp:positionH relativeFrom="margin">
                <wp:align>right</wp:align>
              </wp:positionH>
              <wp:positionV relativeFrom="paragraph">
                <wp:posOffset>635</wp:posOffset>
              </wp:positionV>
              <wp:extent cx="1512570" cy="342265"/>
              <wp:effectExtent l="0" t="0" r="0" b="0"/>
              <wp:wrapNone/>
              <wp:docPr id="8" name="Text Box 56"/>
              <a:graphic xmlns:a="http://schemas.openxmlformats.org/drawingml/2006/main">
                <a:graphicData uri="http://schemas.microsoft.com/office/word/2010/wordprocessingShape">
                  <wps:wsp>
                    <wps:cNvSpPr/>
                    <wps:spPr>
                      <a:xfrm>
                        <a:off x="0" y="0"/>
                        <a:ext cx="151200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19</w:t>
                          </w:r>
                          <w:r>
                            <w:fldChar w:fldCharType="end"/>
                          </w:r>
                        </w:p>
                      </w:txbxContent>
                    </wps:txbx>
                    <wps:bodyPr>
                      <a:prstTxWarp prst="textNoShape"/>
                      <a:spAutoFit/>
                    </wps:bodyPr>
                  </wps:wsp>
                </a:graphicData>
              </a:graphic>
            </wp:anchor>
          </w:drawing>
        </mc:Choice>
        <mc:Fallback>
          <w:pict>
            <v:rect id="shape_0" ID="Text Box 56" stroked="f" style="position:absolute;margin-left:360.75pt;margin-top:0.05pt;width:119pt;height:26.8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3"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00000A"/>
      <w:sz w:val="24"/>
      <w:szCs w:val="22"/>
      <w:lang w:val="en-US" w:eastAsia="en-US" w:bidi="ar-SA"/>
    </w:rPr>
  </w:style>
  <w:style w:type="paragraph" w:styleId="Heading1">
    <w:name w:val="Heading 1"/>
    <w:basedOn w:val="Heading"/>
    <w:next w:val="Normal"/>
    <w:link w:val="Heading1Char"/>
    <w:uiPriority w:val="2"/>
    <w:qFormat/>
    <w:rsid w:val="00d80d99"/>
    <w:pPr>
      <w:widowControl w:val="false"/>
      <w:numPr>
        <w:ilvl w:val="0"/>
        <w:numId w:val="1"/>
      </w:numPr>
      <w:bidi w:val="0"/>
      <w:spacing w:before="240" w:after="0"/>
      <w:jc w:val="left"/>
      <w:outlineLvl w:val="0"/>
      <w:outlineLvl w:val="0"/>
    </w:pPr>
    <w:rPr>
      <w:rFonts w:ascii="Cambria" w:hAnsi="Cambria" w:eastAsia="Calibri" w:cs="" w:asciiTheme="majorHAnsi" w:cstheme="minorBidi" w:eastAsiaTheme="minorHAnsi" w:hAnsiTheme="majorHAnsi"/>
      <w:b/>
      <w:color w:val="00000A"/>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outlineLvl w:val="1"/>
    </w:pPr>
    <w:rPr/>
  </w:style>
  <w:style w:type="paragraph" w:styleId="Heading3">
    <w:name w:val="Heading 3"/>
    <w:basedOn w:val="Normal"/>
    <w:next w:val="Normal"/>
    <w:link w:val="Heading3Char"/>
    <w:uiPriority w:val="2"/>
    <w:qFormat/>
    <w:rsid w:val="00d80d99"/>
    <w:pPr>
      <w:keepNext/>
      <w:keepLines/>
      <w:numPr>
        <w:ilvl w:val="2"/>
        <w:numId w:val="1"/>
      </w:numPr>
      <w:spacing w:before="40" w:after="120"/>
      <w:outlineLvl w:val="2"/>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outlineLvl w:val="3"/>
    </w:pPr>
    <w:rPr>
      <w:iCs/>
    </w:rPr>
  </w:style>
  <w:style w:type="paragraph" w:styleId="Heading5">
    <w:name w:val="Heading 5"/>
    <w:basedOn w:val="Heading4"/>
    <w:next w:val="Normal"/>
    <w:link w:val="Heading5Char"/>
    <w:uiPriority w:val="2"/>
    <w:qFormat/>
    <w:rsid w:val="00d80d99"/>
    <w:pPr>
      <w:numPr>
        <w:ilvl w:val="4"/>
        <w:numId w:val="1"/>
      </w:numPr>
      <w:outlineLvl w:val="4"/>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reference">
    <w:name w:val="footnote reference"/>
    <w:basedOn w:val="DefaultParagraphFont"/>
    <w:uiPriority w:val="99"/>
    <w:semiHidden/>
    <w:unhideWhenUsed/>
    <w:qFormat/>
    <w:rsid w:val="00117666"/>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reference">
    <w:name w:val="endnote reference"/>
    <w:basedOn w:val="DefaultParagraphFont"/>
    <w:uiPriority w:val="99"/>
    <w:semiHidden/>
    <w:unhideWhenUsed/>
    <w:qFormat/>
    <w:rsid w:val="00cd066b"/>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00000A"/>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00000A"/>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neNumbering">
    <w:name w:val="Line Numbering"/>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text">
    <w:name w:val="footnote text"/>
    <w:basedOn w:val="Normal"/>
    <w:link w:val="FootnoteTextChar"/>
    <w:uiPriority w:val="99"/>
    <w:semiHidden/>
    <w:unhideWhenUsed/>
    <w:qFormat/>
    <w:rsid w:val="00117666"/>
    <w:pPr>
      <w:spacing w:before="120" w:after="0"/>
    </w:pPr>
    <w:rPr>
      <w:sz w:val="20"/>
      <w:szCs w:val="20"/>
    </w:rPr>
  </w:style>
  <w:style w:type="paragraph" w:styleId="Caption1">
    <w:name w:val="caption"/>
    <w:basedOn w:val="Normal"/>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text">
    <w:name w:val="endnote text"/>
    <w:basedOn w:val="Normal"/>
    <w:link w:val="EndnoteTextChar"/>
    <w:uiPriority w:val="99"/>
    <w:semiHidden/>
    <w:unhideWhenUsed/>
    <w:qFormat/>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robwschlegel.github.io/MHWdetection/" TargetMode="Externa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hyperlink" Target="https://doi.org/10.5194/essd-8-165-2016" TargetMode="External"/><Relationship Id="rId9" Type="http://schemas.openxmlformats.org/officeDocument/2006/relationships/hyperlink" Target="https://doi.org/10.2307/2937118" TargetMode="External"/><Relationship Id="rId10" Type="http://schemas.openxmlformats.org/officeDocument/2006/relationships/hyperlink" Target="https://doi.org/10.3389/fmars.2019.00498" TargetMode="External"/><Relationship Id="rId11" Type="http://schemas.openxmlformats.org/officeDocument/2006/relationships/hyperlink" Target="https://doi.org/10.1111/j.1365-2486.2008.01823.x" TargetMode="External"/><Relationship Id="rId12" Type="http://schemas.openxmlformats.org/officeDocument/2006/relationships/hyperlink" Target="https://doi.org/10.1016/j.pocean.2015.12.014" TargetMode="External"/><Relationship Id="rId13" Type="http://schemas.openxmlformats.org/officeDocument/2006/relationships/hyperlink" Target="https://doi.org/10.5670/oceanog.2018.5205" TargetMode="External"/><Relationship Id="rId14" Type="http://schemas.openxmlformats.org/officeDocument/2006/relationships/hyperlink" Target="https://doi.org/10.5670/oceanog.2013.27" TargetMode="External"/><Relationship Id="rId15" Type="http://schemas.openxmlformats.org/officeDocument/2006/relationships/hyperlink" Target="https://doi.org/10.1038/s41467-018-03732-9" TargetMode="External"/><Relationship Id="rId16" Type="http://schemas.openxmlformats.org/officeDocument/2006/relationships/hyperlink" Target="https://doi.org/10.4226/77/587e97d9b2bf9" TargetMode="External"/><Relationship Id="rId17" Type="http://schemas.openxmlformats.org/officeDocument/2006/relationships/hyperlink" Target="https://doi.org/10.1038/302295a0" TargetMode="External"/><Relationship Id="rId18" Type="http://schemas.openxmlformats.org/officeDocument/2006/relationships/hyperlink" Target="https://doi.org/10.1175/2007JCLI1824.1" TargetMode="External"/><Relationship Id="rId19" Type="http://schemas.openxmlformats.org/officeDocument/2006/relationships/hyperlink" Target="https://doi.org/https://doi.org/10.1016/bs.amb.2016.04.002" TargetMode="External"/><Relationship Id="rId20" Type="http://schemas.openxmlformats.org/officeDocument/2006/relationships/hyperlink" Target="https://doi.org/10.1002/2017GL073714" TargetMode="External"/><Relationship Id="rId21" Type="http://schemas.openxmlformats.org/officeDocument/2006/relationships/hyperlink" Target="https://doi.org/10.21105/joss.00821" TargetMode="External"/><Relationship Id="rId22" Type="http://schemas.openxmlformats.org/officeDocument/2006/relationships/hyperlink" Target="https://doi.org/10.3354/meps08132" TargetMode="External"/><Relationship Id="rId23" Type="http://schemas.openxmlformats.org/officeDocument/2006/relationships/hyperlink" Target="https://doi.org/10.1038/s41558-019-0412-1" TargetMode="External"/><Relationship Id="rId24" Type="http://schemas.openxmlformats.org/officeDocument/2006/relationships/hyperlink" Target="https://doi.org/10.1371/journal.pone.0081944" TargetMode="External"/><Relationship Id="rId25" Type="http://schemas.openxmlformats.org/officeDocument/2006/relationships/hyperlink" Target="https://doi.org/10.1071/MF14340" TargetMode="External"/><Relationship Id="rId26" Type="http://schemas.openxmlformats.org/officeDocument/2006/relationships/hyperlink" Target="https://doi.org/10.1038/nclimate1627"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66</TotalTime>
  <Application>LibreOffice/5.1.6.2$Linux_X86_64 LibreOffice_project/10m0$Build-2</Application>
  <Pages>19</Pages>
  <Words>10063</Words>
  <Characters>49656</Characters>
  <CharactersWithSpaces>59544</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2019-11-01T19:50:03Z</dcterms:created>
  <dc:creator>Robert W. Schlegel1,2,*, Eric C. J. Oliver1, Alistair J. Hobday3, Albertus J. Smit2</dc:creator>
  <dc:description/>
  <dc:language>en-ZA</dc:language>
  <cp:lastModifiedBy/>
  <dcterms:modified xsi:type="dcterms:W3CDTF">2019-11-19T10:47:13Z</dcterms:modified>
  <cp:revision>27</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