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30"/>
          <w:szCs w:val="30"/>
        </w:rPr>
        <w:t xml:space="preserve">Initial Gompertz analysis of mortality rate doubling time in BXD family females on chow and high-fat diets</w:t>
      </w:r>
    </w:p>
    <w:p>
      <w:pPr>
        <w:spacing w:after="60"/>
      </w:pPr>
      <w:r>
        <w:rPr>
          <w:rFonts w:ascii="Calibri" w:cs="Calibri" w:eastAsia="Calibri" w:hAnsi="Calibri"/>
          <w:color w:val="404040"/>
          <w:sz w:val="22"/>
          <w:szCs w:val="22"/>
        </w:rPr>
        <w:t xml:space="preserve">What was done, step by step. Exploratory analysis, 23 October 2026.</w:t>
      </w:r>
    </w:p>
    <w:p>
      <w:pPr>
        <w:pBdr>
          <w:bottom w:val="single" w:color="BFBFBF" w:sz="6" w:space="6"/>
        </w:pBdr>
        <w:spacing w:after="160"/>
      </w:pPr>
      <w:r>
        <w:rPr>
          <w:rFonts w:ascii="Calibri" w:cs="Calibri" w:eastAsia="Calibri" w:hAnsi="Calibri"/>
          <w:sz w:val="21"/>
          <w:szCs w:val="21"/>
        </w:rPr>
        <w:t xml:space="preserve">Code and outputs: github.com/robwwilliams/bxd_mortality_rates_2026, folders Gompertz/ and output/ Read with Figures 1 to 4; legends are in section 8.</w:t>
      </w:r>
    </w:p>
    <w:p>
      <w:pPr>
        <w:pStyle w:val="Heading1"/>
      </w:pPr>
      <w:r>
        <w:rPr>
          <w:rFonts w:ascii="Calibri" w:cs="Calibri" w:eastAsia="Calibri" w:hAnsi="Calibri"/>
          <w:sz w:val="26"/>
          <w:szCs w:val="26"/>
        </w:rPr>
        <w:t xml:space="preserve">1. Question and answer</w:t>
      </w:r>
    </w:p>
    <w:p>
      <w:pPr>
        <w:spacing w:after="100"/>
      </w:pPr>
      <w:r>
        <w:rPr>
          <w:rFonts w:ascii="Calibri" w:cs="Calibri" w:eastAsia="Calibri" w:hAnsi="Calibri"/>
          <w:sz w:val="21"/>
          <w:szCs w:val="21"/>
        </w:rPr>
        <w:t xml:space="preserve">Does a high-fat diet (HF) change how fast mortality accelerates with age, measured as the Gompertz slope and expressed as the mortality rate doubling time (MRDT)? Or does it change the age-independent level of mortality (R0)? Or both?</w:t>
      </w:r>
    </w:p>
    <w:p>
      <w:pPr>
        <w:spacing w:after="100"/>
      </w:pPr>
      <w:r>
        <w:rPr>
          <w:rFonts w:ascii="Calibri" w:cs="Calibri" w:eastAsia="Calibri" w:hAnsi="Calibri"/>
          <w:b/>
          <w:bCs/>
          <w:sz w:val="21"/>
          <w:szCs w:val="21"/>
        </w:rPr>
        <w:t xml:space="preserve">Answer:</w:t>
      </w:r>
      <w:r>
        <w:rPr>
          <w:rFonts w:ascii="Calibri" w:cs="Calibri" w:eastAsia="Calibri" w:hAnsi="Calibri"/>
          <w:sz w:val="21"/>
          <w:szCs w:val="21"/>
        </w:rPr>
        <w:t xml:space="preserve"> HF does not change MRDT: 153 d on chow (CD) and 149 d on HF, with p = 0.55 for equal slopes. HF raises mortality </w:t>
      </w:r>
      <w:r>
        <w:rPr>
          <w:rFonts w:ascii="Calibri" w:cs="Calibri" w:eastAsia="Calibri" w:hAnsi="Calibri"/>
          <w:b/>
          <w:bCs/>
          <w:sz w:val="21"/>
          <w:szCs w:val="21"/>
        </w:rPr>
        <w:t xml:space="preserve">1.42-fold at every age</w:t>
      </w:r>
      <w:r>
        <w:rPr>
          <w:rFonts w:ascii="Calibri" w:cs="Calibri" w:eastAsia="Calibri" w:hAnsi="Calibri"/>
          <w:sz w:val="21"/>
          <w:szCs w:val="21"/>
        </w:rPr>
        <w:t xml:space="preserve"> (95% CI 1.29–1.55). That is equivalent to aging 76 days sooner, and the observed difference in median age at death is 72 days (Figures 1 and 3).</w:t>
      </w:r>
    </w:p>
    <w:p>
      <w:pPr>
        <w:pStyle w:val="Heading1"/>
      </w:pPr>
      <w:r>
        <w:rPr>
          <w:rFonts w:ascii="Calibri" w:cs="Calibri" w:eastAsia="Calibri" w:hAnsi="Calibri"/>
          <w:sz w:val="26"/>
          <w:szCs w:val="26"/>
        </w:rPr>
        <w:t xml:space="preserve">2. Data</w:t>
      </w:r>
    </w:p>
    <w:p>
      <w:pPr>
        <w:pStyle w:val="ListParagraph"/>
        <w:numPr>
          <w:ilvl w:val="0"/>
          <w:numId w:val="2"/>
        </w:numPr>
        <w:spacing w:after="50"/>
      </w:pPr>
      <w:r>
        <w:rPr>
          <w:rFonts w:ascii="Calibri" w:cs="Calibri" w:eastAsia="Calibri" w:hAnsi="Calibri"/>
          <w:b/>
          <w:bCs/>
          <w:sz w:val="21"/>
          <w:szCs w:val="21"/>
        </w:rPr>
        <w:t xml:space="preserve">Source:</w:t>
      </w:r>
      <w:r>
        <w:rPr>
          <w:rFonts w:ascii="Calibri" w:cs="Calibri" w:eastAsia="Calibri" w:hAnsi="Calibri"/>
          <w:sz w:val="21"/>
          <w:szCs w:val="21"/>
        </w:rPr>
        <w:t xml:space="preserve"> Suheeta Roy’s curated file of females used for actuarial mapping (BXD_Mortality_for_Mapping_Arends.xlsx), unchanged. The columns used are Diet, Strain, Age at death and Age at set up.</w:t>
      </w:r>
    </w:p>
    <w:p>
      <w:pPr>
        <w:pStyle w:val="ListParagraph"/>
        <w:numPr>
          <w:ilvl w:val="0"/>
          <w:numId w:val="2"/>
        </w:numPr>
        <w:spacing w:after="50"/>
      </w:pPr>
      <w:r>
        <w:rPr>
          <w:rFonts w:ascii="Calibri" w:cs="Calibri" w:eastAsia="Calibri" w:hAnsi="Calibri"/>
          <w:b/>
          <w:bCs/>
          <w:sz w:val="21"/>
          <w:szCs w:val="21"/>
        </w:rPr>
        <w:t xml:space="preserve">Included:</w:t>
      </w:r>
      <w:r>
        <w:rPr>
          <w:rFonts w:ascii="Calibri" w:cs="Calibri" w:eastAsia="Calibri" w:hAnsi="Calibri"/>
          <w:sz w:val="21"/>
          <w:szCs w:val="21"/>
        </w:rPr>
        <w:t xml:space="preserve"> all CD and HF females, 1,934 animals in 124 strains (Table 1). </w:t>
      </w:r>
      <w:r>
        <w:rPr>
          <w:rFonts w:ascii="Calibri" w:cs="Calibri" w:eastAsia="Calibri" w:hAnsi="Calibri"/>
          <w:b/>
          <w:bCs/>
          <w:sz w:val="21"/>
          <w:szCs w:val="21"/>
        </w:rPr>
        <w:t xml:space="preserve">Excluded:</w:t>
      </w:r>
      <w:r>
        <w:rPr>
          <w:rFonts w:ascii="Calibri" w:cs="Calibri" w:eastAsia="Calibri" w:hAnsi="Calibri"/>
          <w:sz w:val="21"/>
          <w:szCs w:val="21"/>
        </w:rPr>
        <w:t xml:space="preserve"> the 172 HF + 1% NAM females. The file contains no males and no BXD × BXD F1s.</w:t>
      </w:r>
    </w:p>
    <w:p>
      <w:pPr>
        <w:pStyle w:val="ListParagraph"/>
        <w:numPr>
          <w:ilvl w:val="0"/>
          <w:numId w:val="2"/>
        </w:numPr>
        <w:spacing w:after="50"/>
      </w:pPr>
      <w:r>
        <w:rPr>
          <w:rFonts w:ascii="Calibri" w:cs="Calibri" w:eastAsia="Calibri" w:hAnsi="Calibri"/>
          <w:b/>
          <w:bCs/>
          <w:sz w:val="21"/>
          <w:szCs w:val="21"/>
        </w:rPr>
        <w:t xml:space="preserve">No censoring:</w:t>
      </w:r>
      <w:r>
        <w:rPr>
          <w:rFonts w:ascii="Calibri" w:cs="Calibri" w:eastAsia="Calibri" w:hAnsi="Calibri"/>
          <w:sz w:val="21"/>
          <w:szCs w:val="21"/>
        </w:rPr>
        <w:t xml:space="preserve"> every animal in the file died.</w:t>
      </w:r>
    </w:p>
    <w:p>
      <w:pPr>
        <w:pStyle w:val="ListParagraph"/>
        <w:numPr>
          <w:ilvl w:val="0"/>
          <w:numId w:val="2"/>
        </w:numPr>
        <w:spacing w:after="50"/>
      </w:pPr>
      <w:r>
        <w:rPr>
          <w:rFonts w:ascii="Calibri" w:cs="Calibri" w:eastAsia="Calibri" w:hAnsi="Calibri"/>
          <w:b/>
          <w:bCs/>
          <w:sz w:val="21"/>
          <w:szCs w:val="21"/>
        </w:rPr>
        <w:t xml:space="preserve">Left truncation:</w:t>
      </w:r>
      <w:r>
        <w:rPr>
          <w:rFonts w:ascii="Calibri" w:cs="Calibri" w:eastAsia="Calibri" w:hAnsi="Calibri"/>
          <w:sz w:val="21"/>
          <w:szCs w:val="21"/>
        </w:rPr>
        <w:t xml:space="preserve"> each animal counts as at risk only from its age at set up, which ranges from 26 to 877 d. Animals that entered late therefore do not make the early ages look safer than they were.</w:t>
      </w:r>
    </w:p>
    <w:p>
      <w:pPr>
        <w:keepNext/>
        <w:spacing w:after="50" w:before="80"/>
      </w:pPr>
      <w:r>
        <w:rPr>
          <w:rFonts w:ascii="Calibri" w:cs="Calibri" w:eastAsia="Calibri" w:hAnsi="Calibri"/>
          <w:b/>
          <w:bCs/>
          <w:sz w:val="19"/>
          <w:szCs w:val="19"/>
        </w:rPr>
        <w:t xml:space="preserve">Table 1.</w:t>
      </w:r>
      <w:r>
        <w:rPr>
          <w:rFonts w:ascii="Calibri" w:cs="Calibri" w:eastAsia="Calibri" w:hAnsi="Calibri"/>
          <w:sz w:val="19"/>
          <w:szCs w:val="19"/>
        </w:rPr>
        <w:t xml:space="preserve"> Females analyzed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200"/>
        <w:gridCol w:w="2200"/>
        <w:gridCol w:w="1660"/>
      </w:tblGrid>
      <w:tr>
        <w:trPr>
          <w:tblHeader/>
        </w:trPr>
        <w:tc>
          <w:tcPr>
            <w:tcW w:type="dxa" w:w="1800"/>
            <w:tcBorders>
              <w:top w:val="single" w:color="BFBFBF" w:sz="4"/>
              <w:left w:val="single" w:color="BFBFBF" w:sz="4"/>
              <w:bottom w:val="single" w:color="BFBFBF" w:sz="4"/>
              <w:right w:val="single" w:color="BFBFBF" w:sz="4"/>
            </w:tcBorders>
            <w:shd w:fill="DCE6F1" w:color="auto" w:val="clear"/>
            <w:tcMar>
              <w:top w:type="dxa" w:w="30"/>
              <w:left w:type="dxa" w:w="70"/>
              <w:bottom w:type="dxa" w:w="30"/>
              <w:right w:type="dxa" w:w="70"/>
            </w:tcMar>
          </w:tcPr>
          <w:p>
            <w:r>
              <w:rPr>
                <w:rFonts w:ascii="Calibri" w:cs="Calibri" w:eastAsia="Calibri" w:hAnsi="Calibri"/>
                <w:b/>
                <w:bCs/>
                <w:sz w:val="18"/>
                <w:szCs w:val="18"/>
              </w:rPr>
              <w:t xml:space="preserve">Diet</w:t>
            </w:r>
          </w:p>
        </w:tc>
        <w:tc>
          <w:tcPr>
            <w:tcW w:type="dxa" w:w="1500"/>
            <w:tcBorders>
              <w:top w:val="single" w:color="BFBFBF" w:sz="4"/>
              <w:left w:val="single" w:color="BFBFBF" w:sz="4"/>
              <w:bottom w:val="single" w:color="BFBFBF" w:sz="4"/>
              <w:right w:val="single" w:color="BFBFBF" w:sz="4"/>
            </w:tcBorders>
            <w:shd w:fill="DCE6F1" w:color="auto" w:val="clear"/>
            <w:tcMar>
              <w:top w:type="dxa" w:w="30"/>
              <w:left w:type="dxa" w:w="70"/>
              <w:bottom w:type="dxa" w:w="30"/>
              <w:right w:type="dxa" w:w="70"/>
            </w:tcMar>
          </w:tcPr>
          <w:p>
            <w:r>
              <w:rPr>
                <w:rFonts w:ascii="Calibri" w:cs="Calibri" w:eastAsia="Calibri" w:hAnsi="Calibri"/>
                <w:b/>
                <w:bCs/>
                <w:sz w:val="18"/>
                <w:szCs w:val="18"/>
              </w:rPr>
              <w:t xml:space="preserve">BXD</w:t>
            </w:r>
          </w:p>
        </w:tc>
        <w:tc>
          <w:tcPr>
            <w:tcW w:type="dxa" w:w="2200"/>
            <w:tcBorders>
              <w:top w:val="single" w:color="BFBFBF" w:sz="4"/>
              <w:left w:val="single" w:color="BFBFBF" w:sz="4"/>
              <w:bottom w:val="single" w:color="BFBFBF" w:sz="4"/>
              <w:right w:val="single" w:color="BFBFBF" w:sz="4"/>
            </w:tcBorders>
            <w:shd w:fill="DCE6F1" w:color="auto" w:val="clear"/>
            <w:tcMar>
              <w:top w:type="dxa" w:w="30"/>
              <w:left w:type="dxa" w:w="70"/>
              <w:bottom w:type="dxa" w:w="30"/>
              <w:right w:type="dxa" w:w="70"/>
            </w:tcMar>
          </w:tcPr>
          <w:p>
            <w:r>
              <w:rPr>
                <w:rFonts w:ascii="Calibri" w:cs="Calibri" w:eastAsia="Calibri" w:hAnsi="Calibri"/>
                <w:b/>
                <w:bCs/>
                <w:sz w:val="18"/>
                <w:szCs w:val="18"/>
              </w:rPr>
              <w:t xml:space="preserve">C57BL/6J and DBA/2J</w:t>
            </w:r>
          </w:p>
        </w:tc>
        <w:tc>
          <w:tcPr>
            <w:tcW w:type="dxa" w:w="2200"/>
            <w:tcBorders>
              <w:top w:val="single" w:color="BFBFBF" w:sz="4"/>
              <w:left w:val="single" w:color="BFBFBF" w:sz="4"/>
              <w:bottom w:val="single" w:color="BFBFBF" w:sz="4"/>
              <w:right w:val="single" w:color="BFBFBF" w:sz="4"/>
            </w:tcBorders>
            <w:shd w:fill="DCE6F1" w:color="auto" w:val="clear"/>
            <w:tcMar>
              <w:top w:type="dxa" w:w="30"/>
              <w:left w:type="dxa" w:w="70"/>
              <w:bottom w:type="dxa" w:w="30"/>
              <w:right w:type="dxa" w:w="70"/>
            </w:tcMar>
          </w:tcPr>
          <w:p>
            <w:r>
              <w:rPr>
                <w:rFonts w:ascii="Calibri" w:cs="Calibri" w:eastAsia="Calibri" w:hAnsi="Calibri"/>
                <w:b/>
                <w:bCs/>
                <w:sz w:val="18"/>
                <w:szCs w:val="18"/>
              </w:rPr>
              <w:t xml:space="preserve">B6D2F1 and D2B6F1</w:t>
            </w:r>
          </w:p>
        </w:tc>
        <w:tc>
          <w:tcPr>
            <w:tcW w:type="dxa" w:w="1660"/>
            <w:tcBorders>
              <w:top w:val="single" w:color="BFBFBF" w:sz="4"/>
              <w:left w:val="single" w:color="BFBFBF" w:sz="4"/>
              <w:bottom w:val="single" w:color="BFBFBF" w:sz="4"/>
              <w:right w:val="single" w:color="BFBFBF" w:sz="4"/>
            </w:tcBorders>
            <w:shd w:fill="DCE6F1" w:color="auto" w:val="clear"/>
            <w:tcMar>
              <w:top w:type="dxa" w:w="30"/>
              <w:left w:type="dxa" w:w="70"/>
              <w:bottom w:type="dxa" w:w="30"/>
              <w:right w:type="dxa" w:w="70"/>
            </w:tcMar>
          </w:tcPr>
          <w:p>
            <w:r>
              <w:rPr>
                <w:rFonts w:ascii="Calibri" w:cs="Calibri" w:eastAsia="Calibri" w:hAnsi="Calibri"/>
                <w:b/>
                <w:bCs/>
                <w:sz w:val="18"/>
                <w:szCs w:val="18"/>
              </w:rPr>
              <w:t xml:space="preserve">Total</w:t>
            </w:r>
          </w:p>
        </w:tc>
      </w:tr>
      <w:tr>
        <w:trPr>
          <w:cantSplit/>
        </w:trPr>
        <w:tc>
          <w:tcPr>
            <w:tcW w:type="dxa" w:w="18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Calibri" w:cs="Calibri" w:eastAsia="Calibri" w:hAnsi="Calibri"/>
                <w:b w:val="false"/>
                <w:bCs w:val="false"/>
                <w:sz w:val="18"/>
                <w:szCs w:val="18"/>
              </w:rPr>
              <w:t xml:space="preserve">Chow (CD)</w:t>
            </w:r>
          </w:p>
        </w:tc>
        <w:tc>
          <w:tcPr>
            <w:tcW w:type="dxa" w:w="15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Calibri" w:cs="Calibri" w:eastAsia="Calibri" w:hAnsi="Calibri"/>
                <w:b w:val="false"/>
                <w:bCs w:val="false"/>
                <w:sz w:val="18"/>
                <w:szCs w:val="18"/>
              </w:rPr>
              <w:t xml:space="preserve">929</w:t>
            </w:r>
          </w:p>
        </w:tc>
        <w:tc>
          <w:tcPr>
            <w:tcW w:type="dxa" w:w="22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Calibri" w:cs="Calibri" w:eastAsia="Calibri" w:hAnsi="Calibri"/>
                <w:b w:val="false"/>
                <w:bCs w:val="false"/>
                <w:sz w:val="18"/>
                <w:szCs w:val="18"/>
              </w:rPr>
              <w:t xml:space="preserve">88</w:t>
            </w:r>
          </w:p>
        </w:tc>
        <w:tc>
          <w:tcPr>
            <w:tcW w:type="dxa" w:w="22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Calibri" w:cs="Calibri" w:eastAsia="Calibri" w:hAnsi="Calibri"/>
                <w:b w:val="false"/>
                <w:bCs w:val="false"/>
                <w:sz w:val="18"/>
                <w:szCs w:val="18"/>
              </w:rPr>
              <w:t xml:space="preserve">27</w:t>
            </w:r>
          </w:p>
        </w:tc>
        <w:tc>
          <w:tcPr>
            <w:tcW w:type="dxa" w:w="166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Calibri" w:cs="Calibri" w:eastAsia="Calibri" w:hAnsi="Calibri"/>
                <w:b w:val="false"/>
                <w:bCs w:val="false"/>
                <w:sz w:val="18"/>
                <w:szCs w:val="18"/>
              </w:rPr>
              <w:t xml:space="preserve">1,044</w:t>
            </w:r>
          </w:p>
        </w:tc>
      </w:tr>
      <w:tr>
        <w:trPr>
          <w:cantSplit/>
        </w:trPr>
        <w:tc>
          <w:tcPr>
            <w:tcW w:type="dxa" w:w="18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Calibri" w:cs="Calibri" w:eastAsia="Calibri" w:hAnsi="Calibri"/>
                <w:b w:val="false"/>
                <w:bCs w:val="false"/>
                <w:sz w:val="18"/>
                <w:szCs w:val="18"/>
              </w:rPr>
              <w:t xml:space="preserve">High fat (HF)</w:t>
            </w:r>
          </w:p>
        </w:tc>
        <w:tc>
          <w:tcPr>
            <w:tcW w:type="dxa" w:w="15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Calibri" w:cs="Calibri" w:eastAsia="Calibri" w:hAnsi="Calibri"/>
                <w:b w:val="false"/>
                <w:bCs w:val="false"/>
                <w:sz w:val="18"/>
                <w:szCs w:val="18"/>
              </w:rPr>
              <w:t xml:space="preserve">818</w:t>
            </w:r>
          </w:p>
        </w:tc>
        <w:tc>
          <w:tcPr>
            <w:tcW w:type="dxa" w:w="22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Calibri" w:cs="Calibri" w:eastAsia="Calibri" w:hAnsi="Calibri"/>
                <w:b w:val="false"/>
                <w:bCs w:val="false"/>
                <w:sz w:val="18"/>
                <w:szCs w:val="18"/>
              </w:rPr>
              <w:t xml:space="preserve">47</w:t>
            </w:r>
          </w:p>
        </w:tc>
        <w:tc>
          <w:tcPr>
            <w:tcW w:type="dxa" w:w="22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Calibri" w:cs="Calibri" w:eastAsia="Calibri" w:hAnsi="Calibri"/>
                <w:b w:val="false"/>
                <w:bCs w:val="false"/>
                <w:sz w:val="18"/>
                <w:szCs w:val="18"/>
              </w:rPr>
              <w:t xml:space="preserve">25</w:t>
            </w:r>
          </w:p>
        </w:tc>
        <w:tc>
          <w:tcPr>
            <w:tcW w:type="dxa" w:w="166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Calibri" w:cs="Calibri" w:eastAsia="Calibri" w:hAnsi="Calibri"/>
                <w:b w:val="false"/>
                <w:bCs w:val="false"/>
                <w:sz w:val="18"/>
                <w:szCs w:val="18"/>
              </w:rPr>
              <w:t xml:space="preserve">890</w:t>
            </w:r>
          </w:p>
        </w:tc>
      </w:tr>
    </w:tbl>
    <w:p>
      <w:pPr>
        <w:spacing w:after="40"/>
      </w:pPr>
    </w:p>
    <w:p>
      <w:pPr>
        <w:pStyle w:val="Heading1"/>
      </w:pPr>
      <w:r>
        <w:rPr>
          <w:rFonts w:ascii="Calibri" w:cs="Calibri" w:eastAsia="Calibri" w:hAnsi="Calibri"/>
          <w:sz w:val="26"/>
          <w:szCs w:val="26"/>
        </w:rPr>
        <w:t xml:space="preserve">3. Model and fitting</w:t>
      </w:r>
    </w:p>
    <w:p>
      <w:pPr>
        <w:spacing w:after="100"/>
      </w:pPr>
      <w:r>
        <w:rPr>
          <w:rFonts w:ascii="Calibri" w:cs="Calibri" w:eastAsia="Calibri" w:hAnsi="Calibri"/>
          <w:sz w:val="21"/>
          <w:szCs w:val="21"/>
        </w:rPr>
        <w:t xml:space="preserve">We write the Gompertz law in base 2, so its parameters read directly. The hazard at age </w:t>
      </w:r>
      <w:r>
        <w:rPr>
          <w:rFonts w:ascii="Calibri" w:cs="Calibri" w:eastAsia="Calibri" w:hAnsi="Calibri"/>
          <w:i/>
          <w:iCs/>
          <w:sz w:val="21"/>
          <w:szCs w:val="21"/>
        </w:rPr>
        <w:t xml:space="preserve">t</w:t>
      </w:r>
      <w:r>
        <w:rPr>
          <w:rFonts w:ascii="Calibri" w:cs="Calibri" w:eastAsia="Calibri" w:hAnsi="Calibri"/>
          <w:sz w:val="21"/>
          <w:szCs w:val="21"/>
        </w:rPr>
        <w:t xml:space="preserve"> (days) is</w:t>
      </w:r>
    </w:p>
    <w:p>
      <w:pPr>
        <w:spacing w:after="80" w:before="40"/>
        <w:jc w:val="center"/>
      </w:pPr>
      <w:r>
        <w:rPr>
          <w:rFonts w:ascii="Calibri" w:cs="Calibri" w:eastAsia="Calibri" w:hAnsi="Calibri"/>
          <w:i/>
          <w:iCs/>
          <w:sz w:val="21"/>
          <w:szCs w:val="21"/>
        </w:rPr>
        <w:t xml:space="preserve">h</w:t>
      </w:r>
      <w:r>
        <w:rPr>
          <w:rFonts w:ascii="Calibri" w:cs="Calibri" w:eastAsia="Calibri" w:hAnsi="Calibri"/>
          <w:sz w:val="21"/>
          <w:szCs w:val="21"/>
        </w:rPr>
        <w:t xml:space="preserve">(</w:t>
      </w:r>
      <w:r>
        <w:rPr>
          <w:rFonts w:ascii="Calibri" w:cs="Calibri" w:eastAsia="Calibri" w:hAnsi="Calibri"/>
          <w:i/>
          <w:iCs/>
          <w:sz w:val="21"/>
          <w:szCs w:val="21"/>
        </w:rPr>
        <w:t xml:space="preserve">t</w:t>
      </w:r>
      <w:r>
        <w:rPr>
          <w:rFonts w:ascii="Calibri" w:cs="Calibri" w:eastAsia="Calibri" w:hAnsi="Calibri"/>
          <w:sz w:val="21"/>
          <w:szCs w:val="21"/>
        </w:rPr>
        <w:t xml:space="preserve">) = R0 · 2</w:t>
      </w:r>
      <w:r>
        <w:rPr>
          <w:rFonts w:ascii="Calibri" w:cs="Calibri" w:eastAsia="Calibri" w:hAnsi="Calibri"/>
          <w:sz w:val="21"/>
          <w:szCs w:val="21"/>
          <w:vertAlign w:val="superscript"/>
        </w:rPr>
        <w:t xml:space="preserve">*t* / MRDT</w:t>
      </w:r>
      <w:r>
        <w:rPr>
          <w:rFonts w:ascii="Calibri" w:cs="Calibri" w:eastAsia="Calibri" w:hAnsi="Calibri"/>
          <w:sz w:val="21"/>
          <w:szCs w:val="21"/>
        </w:rPr>
        <w:t xml:space="preserve">,</w:t>
      </w:r>
    </w:p>
    <w:p>
      <w:pPr>
        <w:spacing w:after="100"/>
      </w:pPr>
      <w:r>
        <w:rPr>
          <w:rFonts w:ascii="Calibri" w:cs="Calibri" w:eastAsia="Calibri" w:hAnsi="Calibri"/>
          <w:sz w:val="21"/>
          <w:szCs w:val="21"/>
        </w:rPr>
        <w:t xml:space="preserve">where R0 is the mortality rate extrapolated to age 0 (per day), and mortality doubles every MRDT days. This is the same law as </w:t>
      </w:r>
      <w:r>
        <w:rPr>
          <w:rFonts w:ascii="Calibri" w:cs="Calibri" w:eastAsia="Calibri" w:hAnsi="Calibri"/>
          <w:i/>
          <w:iCs/>
          <w:sz w:val="21"/>
          <w:szCs w:val="21"/>
        </w:rPr>
        <w:t xml:space="preserve">h</w:t>
      </w:r>
      <w:r>
        <w:rPr>
          <w:rFonts w:ascii="Calibri" w:cs="Calibri" w:eastAsia="Calibri" w:hAnsi="Calibri"/>
          <w:sz w:val="21"/>
          <w:szCs w:val="21"/>
        </w:rPr>
        <w:t xml:space="preserve">(</w:t>
      </w:r>
      <w:r>
        <w:rPr>
          <w:rFonts w:ascii="Calibri" w:cs="Calibri" w:eastAsia="Calibri" w:hAnsi="Calibri"/>
          <w:i/>
          <w:iCs/>
          <w:sz w:val="21"/>
          <w:szCs w:val="21"/>
        </w:rPr>
        <w:t xml:space="preserve">t</w:t>
      </w:r>
      <w:r>
        <w:rPr>
          <w:rFonts w:ascii="Calibri" w:cs="Calibri" w:eastAsia="Calibri" w:hAnsi="Calibri"/>
          <w:sz w:val="21"/>
          <w:szCs w:val="21"/>
        </w:rPr>
        <w:t xml:space="preserve">) = </w:t>
      </w:r>
      <w:r>
        <w:rPr>
          <w:rFonts w:ascii="Calibri" w:cs="Calibri" w:eastAsia="Calibri" w:hAnsi="Calibri"/>
          <w:i/>
          <w:iCs/>
          <w:sz w:val="21"/>
          <w:szCs w:val="21"/>
        </w:rPr>
        <w:t xml:space="preserve">a</w:t>
      </w:r>
      <w:r>
        <w:rPr>
          <w:rFonts w:ascii="Calibri" w:cs="Calibri" w:eastAsia="Calibri" w:hAnsi="Calibri"/>
          <w:sz w:val="21"/>
          <w:szCs w:val="21"/>
        </w:rPr>
        <w:t xml:space="preserve"> e</w:t>
      </w:r>
      <w:r>
        <w:rPr>
          <w:rFonts w:ascii="Calibri" w:cs="Calibri" w:eastAsia="Calibri" w:hAnsi="Calibri"/>
          <w:i/>
          <w:iCs/>
          <w:sz w:val="21"/>
          <w:szCs w:val="21"/>
          <w:vertAlign w:val="superscript"/>
        </w:rPr>
        <w:t xml:space="preserve">bt</w:t>
      </w:r>
      <w:r>
        <w:rPr>
          <w:rFonts w:ascii="Calibri" w:cs="Calibri" w:eastAsia="Calibri" w:hAnsi="Calibri"/>
          <w:sz w:val="21"/>
          <w:szCs w:val="21"/>
        </w:rPr>
        <w:t xml:space="preserve"> with </w:t>
      </w:r>
      <w:r>
        <w:rPr>
          <w:rFonts w:ascii="Calibri" w:cs="Calibri" w:eastAsia="Calibri" w:hAnsi="Calibri"/>
          <w:i/>
          <w:iCs/>
          <w:sz w:val="21"/>
          <w:szCs w:val="21"/>
        </w:rPr>
        <w:t xml:space="preserve">a</w:t>
      </w:r>
      <w:r>
        <w:rPr>
          <w:rFonts w:ascii="Calibri" w:cs="Calibri" w:eastAsia="Calibri" w:hAnsi="Calibri"/>
          <w:sz w:val="21"/>
          <w:szCs w:val="21"/>
        </w:rPr>
        <w:t xml:space="preserve"> = R0 and </w:t>
      </w:r>
      <w:r>
        <w:rPr>
          <w:rFonts w:ascii="Calibri" w:cs="Calibri" w:eastAsia="Calibri" w:hAnsi="Calibri"/>
          <w:i/>
          <w:iCs/>
          <w:sz w:val="21"/>
          <w:szCs w:val="21"/>
        </w:rPr>
        <w:t xml:space="preserve">b</w:t>
      </w:r>
      <w:r>
        <w:rPr>
          <w:rFonts w:ascii="Calibri" w:cs="Calibri" w:eastAsia="Calibri" w:hAnsi="Calibri"/>
          <w:sz w:val="21"/>
          <w:szCs w:val="21"/>
        </w:rPr>
        <w:t xml:space="preserve"> = ln 2 / MRDT. The fitting code works in that natural-log form, which changes nothing in the results. For an animal that enters at age </w:t>
      </w:r>
      <w:r>
        <w:rPr>
          <w:rFonts w:ascii="Calibri" w:cs="Calibri" w:eastAsia="Calibri" w:hAnsi="Calibri"/>
          <w:i/>
          <w:iCs/>
          <w:sz w:val="21"/>
          <w:szCs w:val="21"/>
        </w:rPr>
        <w:t xml:space="preserve">e</w:t>
      </w:r>
      <w:r>
        <w:rPr>
          <w:rFonts w:ascii="Calibri" w:cs="Calibri" w:eastAsia="Calibri" w:hAnsi="Calibri"/>
          <w:sz w:val="21"/>
          <w:szCs w:val="21"/>
        </w:rPr>
        <w:t xml:space="preserve"> and dies at age </w:t>
      </w:r>
      <w:r>
        <w:rPr>
          <w:rFonts w:ascii="Calibri" w:cs="Calibri" w:eastAsia="Calibri" w:hAnsi="Calibri"/>
          <w:i/>
          <w:iCs/>
          <w:sz w:val="21"/>
          <w:szCs w:val="21"/>
        </w:rPr>
        <w:t xml:space="preserve">t</w:t>
      </w:r>
      <w:r>
        <w:rPr>
          <w:rFonts w:ascii="Calibri" w:cs="Calibri" w:eastAsia="Calibri" w:hAnsi="Calibri"/>
          <w:sz w:val="21"/>
          <w:szCs w:val="21"/>
        </w:rPr>
        <w:t xml:space="preserve">, the log-likelihood is</w:t>
      </w:r>
    </w:p>
    <w:p>
      <w:pPr>
        <w:spacing w:after="80" w:before="40"/>
        <w:jc w:val="center"/>
      </w:pPr>
      <w:r>
        <w:rPr>
          <w:rFonts w:ascii="Calibri" w:cs="Calibri" w:eastAsia="Calibri" w:hAnsi="Calibri"/>
          <w:sz w:val="21"/>
          <w:szCs w:val="21"/>
        </w:rPr>
        <w:t xml:space="preserve">ln </w:t>
      </w:r>
      <w:r>
        <w:rPr>
          <w:rFonts w:ascii="Calibri" w:cs="Calibri" w:eastAsia="Calibri" w:hAnsi="Calibri"/>
          <w:i/>
          <w:iCs/>
          <w:sz w:val="21"/>
          <w:szCs w:val="21"/>
        </w:rPr>
        <w:t xml:space="preserve">L</w:t>
      </w:r>
      <w:r>
        <w:rPr>
          <w:rFonts w:ascii="Calibri" w:cs="Calibri" w:eastAsia="Calibri" w:hAnsi="Calibri"/>
          <w:sz w:val="21"/>
          <w:szCs w:val="21"/>
        </w:rPr>
        <w:t xml:space="preserve"> = ln </w:t>
      </w:r>
      <w:r>
        <w:rPr>
          <w:rFonts w:ascii="Calibri" w:cs="Calibri" w:eastAsia="Calibri" w:hAnsi="Calibri"/>
          <w:i/>
          <w:iCs/>
          <w:sz w:val="21"/>
          <w:szCs w:val="21"/>
        </w:rPr>
        <w:t xml:space="preserve">h</w:t>
      </w:r>
      <w:r>
        <w:rPr>
          <w:rFonts w:ascii="Calibri" w:cs="Calibri" w:eastAsia="Calibri" w:hAnsi="Calibri"/>
          <w:sz w:val="21"/>
          <w:szCs w:val="21"/>
        </w:rPr>
        <w:t xml:space="preserve">(</w:t>
      </w:r>
      <w:r>
        <w:rPr>
          <w:rFonts w:ascii="Calibri" w:cs="Calibri" w:eastAsia="Calibri" w:hAnsi="Calibri"/>
          <w:i/>
          <w:iCs/>
          <w:sz w:val="21"/>
          <w:szCs w:val="21"/>
        </w:rPr>
        <w:t xml:space="preserve">t</w:t>
      </w:r>
      <w:r>
        <w:rPr>
          <w:rFonts w:ascii="Calibri" w:cs="Calibri" w:eastAsia="Calibri" w:hAnsi="Calibri"/>
          <w:sz w:val="21"/>
          <w:szCs w:val="21"/>
        </w:rPr>
        <w:t xml:space="preserve">) − [</w:t>
      </w:r>
      <w:r>
        <w:rPr>
          <w:rFonts w:ascii="Calibri" w:cs="Calibri" w:eastAsia="Calibri" w:hAnsi="Calibri"/>
          <w:i/>
          <w:iCs/>
          <w:sz w:val="21"/>
          <w:szCs w:val="21"/>
        </w:rPr>
        <w:t xml:space="preserve">H</w:t>
      </w:r>
      <w:r>
        <w:rPr>
          <w:rFonts w:ascii="Calibri" w:cs="Calibri" w:eastAsia="Calibri" w:hAnsi="Calibri"/>
          <w:sz w:val="21"/>
          <w:szCs w:val="21"/>
        </w:rPr>
        <w:t xml:space="preserve">(</w:t>
      </w:r>
      <w:r>
        <w:rPr>
          <w:rFonts w:ascii="Calibri" w:cs="Calibri" w:eastAsia="Calibri" w:hAnsi="Calibri"/>
          <w:i/>
          <w:iCs/>
          <w:sz w:val="21"/>
          <w:szCs w:val="21"/>
        </w:rPr>
        <w:t xml:space="preserve">t</w:t>
      </w:r>
      <w:r>
        <w:rPr>
          <w:rFonts w:ascii="Calibri" w:cs="Calibri" w:eastAsia="Calibri" w:hAnsi="Calibri"/>
          <w:sz w:val="21"/>
          <w:szCs w:val="21"/>
        </w:rPr>
        <w:t xml:space="preserve">) − </w:t>
      </w:r>
      <w:r>
        <w:rPr>
          <w:rFonts w:ascii="Calibri" w:cs="Calibri" w:eastAsia="Calibri" w:hAnsi="Calibri"/>
          <w:i/>
          <w:iCs/>
          <w:sz w:val="21"/>
          <w:szCs w:val="21"/>
        </w:rPr>
        <w:t xml:space="preserve">H</w:t>
      </w:r>
      <w:r>
        <w:rPr>
          <w:rFonts w:ascii="Calibri" w:cs="Calibri" w:eastAsia="Calibri" w:hAnsi="Calibri"/>
          <w:sz w:val="21"/>
          <w:szCs w:val="21"/>
        </w:rPr>
        <w:t xml:space="preserve">(</w:t>
      </w:r>
      <w:r>
        <w:rPr>
          <w:rFonts w:ascii="Calibri" w:cs="Calibri" w:eastAsia="Calibri" w:hAnsi="Calibri"/>
          <w:i/>
          <w:iCs/>
          <w:sz w:val="21"/>
          <w:szCs w:val="21"/>
        </w:rPr>
        <w:t xml:space="preserve">e</w:t>
      </w:r>
      <w:r>
        <w:rPr>
          <w:rFonts w:ascii="Calibri" w:cs="Calibri" w:eastAsia="Calibri" w:hAnsi="Calibri"/>
          <w:sz w:val="21"/>
          <w:szCs w:val="21"/>
        </w:rPr>
        <w:t xml:space="preserve">)],   </w:t>
      </w:r>
      <w:r>
        <w:rPr>
          <w:rFonts w:ascii="Calibri" w:cs="Calibri" w:eastAsia="Calibri" w:hAnsi="Calibri"/>
          <w:i/>
          <w:iCs/>
          <w:sz w:val="21"/>
          <w:szCs w:val="21"/>
        </w:rPr>
        <w:t xml:space="preserve">H</w:t>
      </w:r>
      <w:r>
        <w:rPr>
          <w:rFonts w:ascii="Calibri" w:cs="Calibri" w:eastAsia="Calibri" w:hAnsi="Calibri"/>
          <w:sz w:val="21"/>
          <w:szCs w:val="21"/>
        </w:rPr>
        <w:t xml:space="preserve">(</w:t>
      </w:r>
      <w:r>
        <w:rPr>
          <w:rFonts w:ascii="Calibri" w:cs="Calibri" w:eastAsia="Calibri" w:hAnsi="Calibri"/>
          <w:i/>
          <w:iCs/>
          <w:sz w:val="21"/>
          <w:szCs w:val="21"/>
        </w:rPr>
        <w:t xml:space="preserve">t</w:t>
      </w:r>
      <w:r>
        <w:rPr>
          <w:rFonts w:ascii="Calibri" w:cs="Calibri" w:eastAsia="Calibri" w:hAnsi="Calibri"/>
          <w:sz w:val="21"/>
          <w:szCs w:val="21"/>
        </w:rPr>
        <w:t xml:space="preserve">) = (</w:t>
      </w:r>
      <w:r>
        <w:rPr>
          <w:rFonts w:ascii="Calibri" w:cs="Calibri" w:eastAsia="Calibri" w:hAnsi="Calibri"/>
          <w:i/>
          <w:iCs/>
          <w:sz w:val="21"/>
          <w:szCs w:val="21"/>
        </w:rPr>
        <w:t xml:space="preserve">a</w:t>
      </w:r>
      <w:r>
        <w:rPr>
          <w:rFonts w:ascii="Calibri" w:cs="Calibri" w:eastAsia="Calibri" w:hAnsi="Calibri"/>
          <w:sz w:val="21"/>
          <w:szCs w:val="21"/>
        </w:rPr>
        <w:t xml:space="preserve">/</w:t>
      </w:r>
      <w:r>
        <w:rPr>
          <w:rFonts w:ascii="Calibri" w:cs="Calibri" w:eastAsia="Calibri" w:hAnsi="Calibri"/>
          <w:i/>
          <w:iCs/>
          <w:sz w:val="21"/>
          <w:szCs w:val="21"/>
        </w:rPr>
        <w:t xml:space="preserve">b</w:t>
      </w:r>
      <w:r>
        <w:rPr>
          <w:rFonts w:ascii="Calibri" w:cs="Calibri" w:eastAsia="Calibri" w:hAnsi="Calibri"/>
          <w:sz w:val="21"/>
          <w:szCs w:val="21"/>
        </w:rPr>
        <w:t xml:space="preserve">)(e</w:t>
      </w:r>
      <w:r>
        <w:rPr>
          <w:rFonts w:ascii="Calibri" w:cs="Calibri" w:eastAsia="Calibri" w:hAnsi="Calibri"/>
          <w:i/>
          <w:iCs/>
          <w:sz w:val="21"/>
          <w:szCs w:val="21"/>
          <w:vertAlign w:val="superscript"/>
        </w:rPr>
        <w:t xml:space="preserve">bt</w:t>
      </w:r>
      <w:r>
        <w:rPr>
          <w:rFonts w:ascii="Calibri" w:cs="Calibri" w:eastAsia="Calibri" w:hAnsi="Calibri"/>
          <w:sz w:val="21"/>
          <w:szCs w:val="21"/>
        </w:rPr>
        <w:t xml:space="preserve"> − 1).</w:t>
      </w:r>
    </w:p>
    <w:p>
      <w:pPr>
        <w:pStyle w:val="ListParagraph"/>
        <w:numPr>
          <w:ilvl w:val="0"/>
          <w:numId w:val="2"/>
        </w:numPr>
        <w:spacing w:after="50"/>
      </w:pPr>
      <w:r>
        <w:rPr>
          <w:rFonts w:ascii="Calibri" w:cs="Calibri" w:eastAsia="Calibri" w:hAnsi="Calibri"/>
          <w:b/>
          <w:bCs/>
          <w:sz w:val="21"/>
          <w:szCs w:val="21"/>
        </w:rPr>
        <w:t xml:space="preserve">Fitting:</w:t>
      </w:r>
      <w:r>
        <w:rPr>
          <w:rFonts w:ascii="Calibri" w:cs="Calibri" w:eastAsia="Calibri" w:hAnsi="Calibri"/>
          <w:sz w:val="21"/>
          <w:szCs w:val="21"/>
        </w:rPr>
        <w:t xml:space="preserve"> maximum likelihood with R’s optim (BFGS) and analytic gradients. The parameters are ln </w:t>
      </w:r>
      <w:r>
        <w:rPr>
          <w:rFonts w:ascii="Calibri" w:cs="Calibri" w:eastAsia="Calibri" w:hAnsi="Calibri"/>
          <w:i/>
          <w:iCs/>
          <w:sz w:val="21"/>
          <w:szCs w:val="21"/>
        </w:rPr>
        <w:t xml:space="preserve">a</w:t>
      </w:r>
      <w:r>
        <w:rPr>
          <w:rFonts w:ascii="Calibri" w:cs="Calibri" w:eastAsia="Calibri" w:hAnsi="Calibri"/>
          <w:sz w:val="21"/>
          <w:szCs w:val="21"/>
        </w:rPr>
        <w:t xml:space="preserve"> and ln </w:t>
      </w:r>
      <w:r>
        <w:rPr>
          <w:rFonts w:ascii="Calibri" w:cs="Calibri" w:eastAsia="Calibri" w:hAnsi="Calibri"/>
          <w:i/>
          <w:iCs/>
          <w:sz w:val="21"/>
          <w:szCs w:val="21"/>
        </w:rPr>
        <w:t xml:space="preserve">b</w:t>
      </w:r>
      <w:r>
        <w:rPr>
          <w:rFonts w:ascii="Calibri" w:cs="Calibri" w:eastAsia="Calibri" w:hAnsi="Calibri"/>
          <w:sz w:val="21"/>
          <w:szCs w:val="21"/>
        </w:rPr>
        <w:t xml:space="preserve">, so both stay positive.</w:t>
      </w:r>
    </w:p>
    <w:p>
      <w:pPr>
        <w:pStyle w:val="ListParagraph"/>
        <w:numPr>
          <w:ilvl w:val="0"/>
          <w:numId w:val="2"/>
        </w:numPr>
        <w:spacing w:after="50"/>
      </w:pPr>
      <w:r>
        <w:rPr>
          <w:rFonts w:ascii="Calibri" w:cs="Calibri" w:eastAsia="Calibri" w:hAnsi="Calibri"/>
          <w:b/>
          <w:bCs/>
          <w:sz w:val="21"/>
          <w:szCs w:val="21"/>
        </w:rPr>
        <w:t xml:space="preserve">Intervals:</w:t>
      </w:r>
      <w:r>
        <w:rPr>
          <w:rFonts w:ascii="Calibri" w:cs="Calibri" w:eastAsia="Calibri" w:hAnsi="Calibri"/>
          <w:sz w:val="21"/>
          <w:szCs w:val="21"/>
        </w:rPr>
        <w:t xml:space="preserve"> 95% Wald intervals for MRDT come from the Hessian on the ln </w:t>
      </w:r>
      <w:r>
        <w:rPr>
          <w:rFonts w:ascii="Calibri" w:cs="Calibri" w:eastAsia="Calibri" w:hAnsi="Calibri"/>
          <w:i/>
          <w:iCs/>
          <w:sz w:val="21"/>
          <w:szCs w:val="21"/>
        </w:rPr>
        <w:t xml:space="preserve">b</w:t>
      </w:r>
      <w:r>
        <w:rPr>
          <w:rFonts w:ascii="Calibri" w:cs="Calibri" w:eastAsia="Calibri" w:hAnsi="Calibri"/>
          <w:sz w:val="21"/>
          <w:szCs w:val="21"/>
        </w:rPr>
        <w:t xml:space="preserve"> scale.</w:t>
      </w:r>
    </w:p>
    <w:p>
      <w:pPr>
        <w:pStyle w:val="ListParagraph"/>
        <w:numPr>
          <w:ilvl w:val="0"/>
          <w:numId w:val="2"/>
        </w:numPr>
        <w:spacing w:after="50"/>
      </w:pPr>
      <w:r>
        <w:rPr>
          <w:rFonts w:ascii="Calibri" w:cs="Calibri" w:eastAsia="Calibri" w:hAnsi="Calibri"/>
          <w:b/>
          <w:bCs/>
          <w:sz w:val="21"/>
          <w:szCs w:val="21"/>
        </w:rPr>
        <w:t xml:space="preserve">Gompertz–Makeham:</w:t>
      </w:r>
      <w:r>
        <w:rPr>
          <w:rFonts w:ascii="Calibri" w:cs="Calibri" w:eastAsia="Calibri" w:hAnsi="Calibri"/>
          <w:sz w:val="21"/>
          <w:szCs w:val="21"/>
        </w:rPr>
        <w:t xml:space="preserve"> this variant adds a constant hazard, </w:t>
      </w:r>
      <w:r>
        <w:rPr>
          <w:rFonts w:ascii="Calibri" w:cs="Calibri" w:eastAsia="Calibri" w:hAnsi="Calibri"/>
          <w:i/>
          <w:iCs/>
          <w:sz w:val="21"/>
          <w:szCs w:val="21"/>
        </w:rPr>
        <w:t xml:space="preserve">h</w:t>
      </w:r>
      <w:r>
        <w:rPr>
          <w:rFonts w:ascii="Calibri" w:cs="Calibri" w:eastAsia="Calibri" w:hAnsi="Calibri"/>
          <w:sz w:val="21"/>
          <w:szCs w:val="21"/>
        </w:rPr>
        <w:t xml:space="preserve">(</w:t>
      </w:r>
      <w:r>
        <w:rPr>
          <w:rFonts w:ascii="Calibri" w:cs="Calibri" w:eastAsia="Calibri" w:hAnsi="Calibri"/>
          <w:i/>
          <w:iCs/>
          <w:sz w:val="21"/>
          <w:szCs w:val="21"/>
        </w:rPr>
        <w:t xml:space="preserve">t</w:t>
      </w:r>
      <w:r>
        <w:rPr>
          <w:rFonts w:ascii="Calibri" w:cs="Calibri" w:eastAsia="Calibri" w:hAnsi="Calibri"/>
          <w:sz w:val="21"/>
          <w:szCs w:val="21"/>
        </w:rPr>
        <w:t xml:space="preserve">) = </w:t>
      </w:r>
      <w:r>
        <w:rPr>
          <w:rFonts w:ascii="Calibri" w:cs="Calibri" w:eastAsia="Calibri" w:hAnsi="Calibri"/>
          <w:i/>
          <w:iCs/>
          <w:sz w:val="21"/>
          <w:szCs w:val="21"/>
        </w:rPr>
        <w:t xml:space="preserve">a</w:t>
      </w:r>
      <w:r>
        <w:rPr>
          <w:rFonts w:ascii="Calibri" w:cs="Calibri" w:eastAsia="Calibri" w:hAnsi="Calibri"/>
          <w:sz w:val="21"/>
          <w:szCs w:val="21"/>
        </w:rPr>
        <w:t xml:space="preserve"> e</w:t>
      </w:r>
      <w:r>
        <w:rPr>
          <w:rFonts w:ascii="Calibri" w:cs="Calibri" w:eastAsia="Calibri" w:hAnsi="Calibri"/>
          <w:i/>
          <w:iCs/>
          <w:sz w:val="21"/>
          <w:szCs w:val="21"/>
          <w:vertAlign w:val="superscript"/>
        </w:rPr>
        <w:t xml:space="preserve">bt</w:t>
      </w:r>
      <w:r>
        <w:rPr>
          <w:rFonts w:ascii="Calibri" w:cs="Calibri" w:eastAsia="Calibri" w:hAnsi="Calibri"/>
          <w:sz w:val="21"/>
          <w:szCs w:val="21"/>
        </w:rPr>
        <w:t xml:space="preserve"> + </w:t>
      </w:r>
      <w:r>
        <w:rPr>
          <w:rFonts w:ascii="Calibri" w:cs="Calibri" w:eastAsia="Calibri" w:hAnsi="Calibri"/>
          <w:i/>
          <w:iCs/>
          <w:sz w:val="21"/>
          <w:szCs w:val="21"/>
        </w:rPr>
        <w:t xml:space="preserve">c</w:t>
      </w:r>
      <w:r>
        <w:rPr>
          <w:rFonts w:ascii="Calibri" w:cs="Calibri" w:eastAsia="Calibri" w:hAnsi="Calibri"/>
          <w:sz w:val="21"/>
          <w:szCs w:val="21"/>
        </w:rPr>
        <w:t xml:space="preserve">.</w:t>
      </w:r>
    </w:p>
    <w:p>
      <w:pPr>
        <w:pStyle w:val="ListParagraph"/>
        <w:numPr>
          <w:ilvl w:val="0"/>
          <w:numId w:val="2"/>
        </w:numPr>
        <w:spacing w:after="50"/>
      </w:pPr>
      <w:r>
        <w:rPr>
          <w:rFonts w:ascii="Calibri" w:cs="Calibri" w:eastAsia="Calibri" w:hAnsi="Calibri"/>
          <w:b/>
          <w:bCs/>
          <w:sz w:val="21"/>
          <w:szCs w:val="21"/>
        </w:rPr>
        <w:t xml:space="preserve">Check on simulated data</w:t>
      </w:r>
      <w:r>
        <w:rPr>
          <w:rFonts w:ascii="Calibri" w:cs="Calibri" w:eastAsia="Calibri" w:hAnsi="Calibri"/>
          <w:sz w:val="21"/>
          <w:szCs w:val="21"/>
        </w:rPr>
        <w:t xml:space="preserve"> (test_gompertz.R): 200 simulated studies of 1,000 animals each, with entry ages of 30–300 d and a true MRDT of 120 d.</w:t>
      </w:r>
    </w:p>
    <w:p>
      <w:pPr>
        <w:pStyle w:val="ListParagraph"/>
        <w:numPr>
          <w:ilvl w:val="1"/>
          <w:numId w:val="2"/>
        </w:numPr>
        <w:spacing w:after="40"/>
      </w:pPr>
      <w:r>
        <w:rPr>
          <w:rFonts w:ascii="Calibri" w:cs="Calibri" w:eastAsia="Calibri" w:hAnsi="Calibri"/>
          <w:sz w:val="21"/>
          <w:szCs w:val="21"/>
        </w:rPr>
        <w:t xml:space="preserve">The mean estimate was 119.7 d, and 93% of the 95% intervals contained 120 d. When the slopes were in fact equal, the equal-slope test rejected at p &lt; 0.05 in 3.5% of runs.</w:t>
      </w:r>
    </w:p>
    <w:p>
      <w:pPr>
        <w:pStyle w:val="Heading1"/>
      </w:pPr>
      <w:r>
        <w:rPr>
          <w:rFonts w:ascii="Calibri" w:cs="Calibri" w:eastAsia="Calibri" w:hAnsi="Calibri"/>
          <w:sz w:val="26"/>
          <w:szCs w:val="26"/>
        </w:rPr>
        <w:t xml:space="preserve">4. Comparing the diets</w:t>
      </w:r>
    </w:p>
    <w:p>
      <w:pPr>
        <w:pStyle w:val="ListParagraph"/>
        <w:numPr>
          <w:ilvl w:val="0"/>
          <w:numId w:val="2"/>
        </w:numPr>
        <w:spacing w:after="50"/>
      </w:pPr>
      <w:r>
        <w:rPr>
          <w:rFonts w:ascii="Calibri" w:cs="Calibri" w:eastAsia="Calibri" w:hAnsi="Calibri"/>
          <w:b/>
          <w:bCs/>
          <w:sz w:val="21"/>
          <w:szCs w:val="21"/>
        </w:rPr>
        <w:t xml:space="preserve">Equal slope (equal MRDT):</w:t>
      </w:r>
      <w:r>
        <w:rPr>
          <w:rFonts w:ascii="Calibri" w:cs="Calibri" w:eastAsia="Calibri" w:hAnsi="Calibri"/>
          <w:sz w:val="21"/>
          <w:szCs w:val="21"/>
        </w:rPr>
        <w:t xml:space="preserve"> a likelihood-ratio test (LRT) of separate fits (</w:t>
      </w:r>
      <w:r>
        <w:rPr>
          <w:rFonts w:ascii="Calibri" w:cs="Calibri" w:eastAsia="Calibri" w:hAnsi="Calibri"/>
          <w:i/>
          <w:iCs/>
          <w:sz w:val="21"/>
          <w:szCs w:val="21"/>
        </w:rPr>
        <w:t xml:space="preserve">a</w:t>
      </w:r>
      <w:r>
        <w:rPr>
          <w:rFonts w:ascii="Calibri" w:cs="Calibri" w:eastAsia="Calibri" w:hAnsi="Calibri"/>
          <w:sz w:val="21"/>
          <w:szCs w:val="21"/>
        </w:rPr>
        <w:t xml:space="preserve"> and </w:t>
      </w:r>
      <w:r>
        <w:rPr>
          <w:rFonts w:ascii="Calibri" w:cs="Calibri" w:eastAsia="Calibri" w:hAnsi="Calibri"/>
          <w:i/>
          <w:iCs/>
          <w:sz w:val="21"/>
          <w:szCs w:val="21"/>
        </w:rPr>
        <w:t xml:space="preserve">b</w:t>
      </w:r>
      <w:r>
        <w:rPr>
          <w:rFonts w:ascii="Calibri" w:cs="Calibri" w:eastAsia="Calibri" w:hAnsi="Calibri"/>
          <w:sz w:val="21"/>
          <w:szCs w:val="21"/>
        </w:rPr>
        <w:t xml:space="preserve"> for each diet) against a model with a separate </w:t>
      </w:r>
      <w:r>
        <w:rPr>
          <w:rFonts w:ascii="Calibri" w:cs="Calibri" w:eastAsia="Calibri" w:hAnsi="Calibri"/>
          <w:i/>
          <w:iCs/>
          <w:sz w:val="21"/>
          <w:szCs w:val="21"/>
        </w:rPr>
        <w:t xml:space="preserve">a</w:t>
      </w:r>
      <w:r>
        <w:rPr>
          <w:rFonts w:ascii="Calibri" w:cs="Calibri" w:eastAsia="Calibri" w:hAnsi="Calibri"/>
          <w:sz w:val="21"/>
          <w:szCs w:val="21"/>
        </w:rPr>
        <w:t xml:space="preserve"> for each diet and one shared </w:t>
      </w:r>
      <w:r>
        <w:rPr>
          <w:rFonts w:ascii="Calibri" w:cs="Calibri" w:eastAsia="Calibri" w:hAnsi="Calibri"/>
          <w:i/>
          <w:iCs/>
          <w:sz w:val="21"/>
          <w:szCs w:val="21"/>
        </w:rPr>
        <w:t xml:space="preserve">b</w:t>
      </w:r>
      <w:r>
        <w:rPr>
          <w:rFonts w:ascii="Calibri" w:cs="Calibri" w:eastAsia="Calibri" w:hAnsi="Calibri"/>
          <w:sz w:val="21"/>
          <w:szCs w:val="21"/>
        </w:rPr>
        <w:t xml:space="preserve"> (1 df).</w:t>
      </w:r>
    </w:p>
    <w:p>
      <w:pPr>
        <w:pStyle w:val="ListParagraph"/>
        <w:numPr>
          <w:ilvl w:val="0"/>
          <w:numId w:val="2"/>
        </w:numPr>
        <w:spacing w:after="50"/>
      </w:pPr>
      <w:r>
        <w:rPr>
          <w:rFonts w:ascii="Calibri" w:cs="Calibri" w:eastAsia="Calibri" w:hAnsi="Calibri"/>
          <w:b/>
          <w:bCs/>
          <w:sz w:val="21"/>
          <w:szCs w:val="21"/>
        </w:rPr>
        <w:t xml:space="preserve">Equal R0, given a shared slope:</w:t>
      </w:r>
      <w:r>
        <w:rPr>
          <w:rFonts w:ascii="Calibri" w:cs="Calibri" w:eastAsia="Calibri" w:hAnsi="Calibri"/>
          <w:sz w:val="21"/>
          <w:szCs w:val="21"/>
        </w:rPr>
        <w:t xml:space="preserve"> an LRT of the shared-slope model against a single curve for both diets (1 df). In the shared-slope model, the ratio of the two </w:t>
      </w:r>
      <w:r>
        <w:rPr>
          <w:rFonts w:ascii="Calibri" w:cs="Calibri" w:eastAsia="Calibri" w:hAnsi="Calibri"/>
          <w:i/>
          <w:iCs/>
          <w:sz w:val="21"/>
          <w:szCs w:val="21"/>
        </w:rPr>
        <w:t xml:space="preserve">a</w:t>
      </w:r>
      <w:r>
        <w:rPr>
          <w:rFonts w:ascii="Calibri" w:cs="Calibri" w:eastAsia="Calibri" w:hAnsi="Calibri"/>
          <w:sz w:val="21"/>
          <w:szCs w:val="21"/>
        </w:rPr>
        <w:t xml:space="preserve"> values is the HF/CD hazard ratio; its Wald CI comes from the Hessian.</w:t>
      </w:r>
    </w:p>
    <w:p>
      <w:pPr>
        <w:pStyle w:val="ListParagraph"/>
        <w:numPr>
          <w:ilvl w:val="0"/>
          <w:numId w:val="2"/>
        </w:numPr>
        <w:spacing w:after="50"/>
      </w:pPr>
      <w:r>
        <w:rPr>
          <w:rFonts w:ascii="Calibri" w:cs="Calibri" w:eastAsia="Calibri" w:hAnsi="Calibri"/>
          <w:b/>
          <w:bCs/>
          <w:sz w:val="21"/>
          <w:szCs w:val="21"/>
        </w:rPr>
        <w:t xml:space="preserve">One curve for both diets:</w:t>
      </w:r>
      <w:r>
        <w:rPr>
          <w:rFonts w:ascii="Calibri" w:cs="Calibri" w:eastAsia="Calibri" w:hAnsi="Calibri"/>
          <w:sz w:val="21"/>
          <w:szCs w:val="21"/>
        </w:rPr>
        <w:t xml:space="preserve"> an LRT of separate fits against a single curve (2 df).</w:t>
      </w:r>
    </w:p>
    <w:p>
      <w:pPr>
        <w:pStyle w:val="ListParagraph"/>
        <w:numPr>
          <w:ilvl w:val="0"/>
          <w:numId w:val="2"/>
        </w:numPr>
        <w:spacing w:after="50"/>
      </w:pPr>
      <w:r>
        <w:rPr>
          <w:rFonts w:ascii="Calibri" w:cs="Calibri" w:eastAsia="Calibri" w:hAnsi="Calibri"/>
          <w:b/>
          <w:bCs/>
          <w:sz w:val="21"/>
          <w:szCs w:val="21"/>
        </w:rPr>
        <w:t xml:space="preserve">Cox models</w:t>
      </w:r>
      <w:r>
        <w:rPr>
          <w:rFonts w:ascii="Calibri" w:cs="Calibri" w:eastAsia="Calibri" w:hAnsi="Calibri"/>
          <w:sz w:val="21"/>
          <w:szCs w:val="21"/>
        </w:rPr>
        <w:t xml:space="preserve"> (R survival package, left-truncated): the pooled hazard ratio, a Schoenfeld-residual test of proportional hazards (cox.zph), and a Cox model stratified by strain.</w:t>
      </w:r>
    </w:p>
    <w:p>
      <w:pPr>
        <w:pStyle w:val="ListParagraph"/>
        <w:numPr>
          <w:ilvl w:val="0"/>
          <w:numId w:val="2"/>
        </w:numPr>
        <w:spacing w:after="50"/>
      </w:pPr>
      <w:r>
        <w:rPr>
          <w:rFonts w:ascii="Calibri" w:cs="Calibri" w:eastAsia="Calibri" w:hAnsi="Calibri"/>
          <w:b/>
          <w:bCs/>
          <w:sz w:val="21"/>
          <w:szCs w:val="21"/>
        </w:rPr>
        <w:t xml:space="preserve">Bootstrap:</w:t>
      </w:r>
      <w:r>
        <w:rPr>
          <w:rFonts w:ascii="Calibri" w:cs="Calibri" w:eastAsia="Calibri" w:hAnsi="Calibri"/>
          <w:sz w:val="21"/>
          <w:szCs w:val="21"/>
        </w:rPr>
        <w:t xml:space="preserve"> 2,000 resamples of animals, with replacement, within each diet (seed 20261023). Each resample is refitted. Percentile 95% intervals are taken for each MRDT and for the HF − CD difference.</w:t>
      </w:r>
    </w:p>
    <w:p>
      <w:pPr>
        <w:pStyle w:val="ListParagraph"/>
        <w:numPr>
          <w:ilvl w:val="0"/>
          <w:numId w:val="2"/>
        </w:numPr>
        <w:spacing w:after="50"/>
      </w:pPr>
      <w:r>
        <w:rPr>
          <w:rFonts w:ascii="Calibri" w:cs="Calibri" w:eastAsia="Calibri" w:hAnsi="Calibri"/>
          <w:b/>
          <w:bCs/>
          <w:sz w:val="21"/>
          <w:szCs w:val="21"/>
        </w:rPr>
        <w:t xml:space="preserve">Predicted lifespan shift:</w:t>
      </w:r>
      <w:r>
        <w:rPr>
          <w:rFonts w:ascii="Calibri" w:cs="Calibri" w:eastAsia="Calibri" w:hAnsi="Calibri"/>
          <w:sz w:val="21"/>
          <w:szCs w:val="21"/>
        </w:rPr>
        <w:t xml:space="preserve"> with a shared slope, multiplying the hazard by the hazard ratio (HR) is the same as being log</w:t>
      </w:r>
      <w:r>
        <w:rPr>
          <w:rFonts w:ascii="Calibri" w:cs="Calibri" w:eastAsia="Calibri" w:hAnsi="Calibri"/>
          <w:sz w:val="21"/>
          <w:szCs w:val="21"/>
          <w:vertAlign w:val="subscript"/>
        </w:rPr>
        <w:t xml:space="preserve">2</w:t>
      </w:r>
      <w:r>
        <w:rPr>
          <w:rFonts w:ascii="Calibri" w:cs="Calibri" w:eastAsia="Calibri" w:hAnsi="Calibri"/>
          <w:sz w:val="21"/>
          <w:szCs w:val="21"/>
        </w:rPr>
        <w:t xml:space="preserve">(HR) doublings older, or MRDT × log</w:t>
      </w:r>
      <w:r>
        <w:rPr>
          <w:rFonts w:ascii="Calibri" w:cs="Calibri" w:eastAsia="Calibri" w:hAnsi="Calibri"/>
          <w:sz w:val="21"/>
          <w:szCs w:val="21"/>
          <w:vertAlign w:val="subscript"/>
        </w:rPr>
        <w:t xml:space="preserve">2</w:t>
      </w:r>
      <w:r>
        <w:rPr>
          <w:rFonts w:ascii="Calibri" w:cs="Calibri" w:eastAsia="Calibri" w:hAnsi="Calibri"/>
          <w:sz w:val="21"/>
          <w:szCs w:val="21"/>
        </w:rPr>
        <w:t xml:space="preserve">(HR) days.</w:t>
      </w:r>
    </w:p>
    <w:p>
      <w:pPr>
        <w:pStyle w:val="ListParagraph"/>
        <w:numPr>
          <w:ilvl w:val="0"/>
          <w:numId w:val="2"/>
        </w:numPr>
        <w:spacing w:after="50"/>
      </w:pPr>
      <w:r>
        <w:rPr>
          <w:rFonts w:ascii="Calibri" w:cs="Calibri" w:eastAsia="Calibri" w:hAnsi="Calibri"/>
          <w:b/>
          <w:bCs/>
          <w:sz w:val="21"/>
          <w:szCs w:val="21"/>
        </w:rPr>
        <w:t xml:space="preserve">Actuarial survivorships</w:t>
      </w:r>
      <w:r>
        <w:rPr>
          <w:rFonts w:ascii="Calibri" w:cs="Calibri" w:eastAsia="Calibri" w:hAnsi="Calibri"/>
          <w:sz w:val="21"/>
          <w:szCs w:val="21"/>
        </w:rPr>
        <w:t xml:space="preserve"> (Figure 2b, after Arends et al. 2026, Fig. 1b): for each T-age from 200 to 1,100 d in 15-day steps, the mice alive and under observation at that age (set up by T, died at T or later). For each diet we take the mean age at death minus the mean for both diets, ± s.e.m., and the same quantity predicted by the Gompertz fits.</w:t>
      </w:r>
    </w:p>
    <w:p>
      <w:pPr>
        <w:pStyle w:val="Heading1"/>
      </w:pPr>
      <w:r>
        <w:rPr>
          <w:rFonts w:ascii="Calibri" w:cs="Calibri" w:eastAsia="Calibri" w:hAnsi="Calibri"/>
          <w:sz w:val="26"/>
          <w:szCs w:val="26"/>
        </w:rPr>
        <w:t xml:space="preserve">5. Sensitivity analyses (rows of Figure 3)</w:t>
      </w:r>
    </w:p>
    <w:p>
      <w:pPr>
        <w:pStyle w:val="ListParagraph"/>
        <w:numPr>
          <w:ilvl w:val="0"/>
          <w:numId w:val="2"/>
        </w:numPr>
        <w:spacing w:after="50"/>
      </w:pPr>
      <w:r>
        <w:rPr>
          <w:rFonts w:ascii="Calibri" w:cs="Calibri" w:eastAsia="Calibri" w:hAnsi="Calibri"/>
          <w:b/>
          <w:bCs/>
          <w:sz w:val="21"/>
          <w:szCs w:val="21"/>
        </w:rPr>
        <w:t xml:space="preserve">Survived to 200 d:</w:t>
      </w:r>
      <w:r>
        <w:rPr>
          <w:rFonts w:ascii="Calibri" w:cs="Calibri" w:eastAsia="Calibri" w:hAnsi="Calibri"/>
          <w:sz w:val="21"/>
          <w:szCs w:val="21"/>
        </w:rPr>
        <w:t xml:space="preserve"> only animals that died at 200 d or later, each at risk from the later of its set-up age and 200 d. This removes 26 CD and 25 HF early deaths.</w:t>
      </w:r>
    </w:p>
    <w:p>
      <w:pPr>
        <w:pStyle w:val="ListParagraph"/>
        <w:numPr>
          <w:ilvl w:val="0"/>
          <w:numId w:val="2"/>
        </w:numPr>
        <w:spacing w:after="50"/>
      </w:pPr>
      <w:r>
        <w:rPr>
          <w:rFonts w:ascii="Calibri" w:cs="Calibri" w:eastAsia="Calibri" w:hAnsi="Calibri"/>
          <w:b/>
          <w:bCs/>
          <w:sz w:val="21"/>
          <w:szCs w:val="21"/>
        </w:rPr>
        <w:t xml:space="preserve">Survived to 365 d:</w:t>
      </w:r>
      <w:r>
        <w:rPr>
          <w:rFonts w:ascii="Calibri" w:cs="Calibri" w:eastAsia="Calibri" w:hAnsi="Calibri"/>
          <w:sz w:val="21"/>
          <w:szCs w:val="21"/>
        </w:rPr>
        <w:t xml:space="preserve"> the same, at 365 d.</w:t>
      </w:r>
    </w:p>
    <w:p>
      <w:pPr>
        <w:pStyle w:val="ListParagraph"/>
        <w:numPr>
          <w:ilvl w:val="0"/>
          <w:numId w:val="2"/>
        </w:numPr>
        <w:spacing w:after="50"/>
      </w:pPr>
      <w:r>
        <w:rPr>
          <w:rFonts w:ascii="Calibri" w:cs="Calibri" w:eastAsia="Calibri" w:hAnsi="Calibri"/>
          <w:b/>
          <w:bCs/>
          <w:sz w:val="21"/>
          <w:szCs w:val="21"/>
        </w:rPr>
        <w:t xml:space="preserve">BXD strains only:</w:t>
      </w:r>
      <w:r>
        <w:rPr>
          <w:rFonts w:ascii="Calibri" w:cs="Calibri" w:eastAsia="Calibri" w:hAnsi="Calibri"/>
          <w:sz w:val="21"/>
          <w:szCs w:val="21"/>
        </w:rPr>
        <w:t xml:space="preserve"> the parents and their F1s removed.</w:t>
      </w:r>
    </w:p>
    <w:p>
      <w:pPr>
        <w:pStyle w:val="ListParagraph"/>
        <w:numPr>
          <w:ilvl w:val="0"/>
          <w:numId w:val="2"/>
        </w:numPr>
        <w:spacing w:after="50"/>
      </w:pPr>
      <w:r>
        <w:rPr>
          <w:rFonts w:ascii="Calibri" w:cs="Calibri" w:eastAsia="Calibri" w:hAnsi="Calibri"/>
          <w:b/>
          <w:bCs/>
          <w:sz w:val="21"/>
          <w:szCs w:val="21"/>
        </w:rPr>
        <w:t xml:space="preserve">Gompertz–Makeham:</w:t>
      </w:r>
      <w:r>
        <w:rPr>
          <w:rFonts w:ascii="Calibri" w:cs="Calibri" w:eastAsia="Calibri" w:hAnsi="Calibri"/>
          <w:sz w:val="21"/>
          <w:szCs w:val="21"/>
        </w:rPr>
        <w:t xml:space="preserve"> adds the constant hazard </w:t>
      </w:r>
      <w:r>
        <w:rPr>
          <w:rFonts w:ascii="Calibri" w:cs="Calibri" w:eastAsia="Calibri" w:hAnsi="Calibri"/>
          <w:i/>
          <w:iCs/>
          <w:sz w:val="21"/>
          <w:szCs w:val="21"/>
        </w:rPr>
        <w:t xml:space="preserve">c</w:t>
      </w:r>
      <w:r>
        <w:rPr>
          <w:rFonts w:ascii="Calibri" w:cs="Calibri" w:eastAsia="Calibri" w:hAnsi="Calibri"/>
          <w:sz w:val="21"/>
          <w:szCs w:val="21"/>
        </w:rPr>
        <w:t xml:space="preserve">.</w:t>
      </w:r>
    </w:p>
    <w:p>
      <w:pPr>
        <w:pStyle w:val="ListParagraph"/>
        <w:numPr>
          <w:ilvl w:val="0"/>
          <w:numId w:val="2"/>
        </w:numPr>
        <w:spacing w:after="50"/>
      </w:pPr>
      <w:r>
        <w:rPr>
          <w:rFonts w:ascii="Calibri" w:cs="Calibri" w:eastAsia="Calibri" w:hAnsi="Calibri"/>
          <w:b/>
          <w:bCs/>
          <w:sz w:val="21"/>
          <w:szCs w:val="21"/>
        </w:rPr>
        <w:t xml:space="preserve">Binned regression</w:t>
      </w:r>
      <w:r>
        <w:rPr>
          <w:rFonts w:ascii="Calibri" w:cs="Calibri" w:eastAsia="Calibri" w:hAnsi="Calibri"/>
          <w:sz w:val="21"/>
          <w:szCs w:val="21"/>
        </w:rPr>
        <w:t xml:space="preserve"> (de Magalhães et al. 2018):</w:t>
      </w:r>
    </w:p>
    <w:p>
      <w:pPr>
        <w:pStyle w:val="ListParagraph"/>
        <w:numPr>
          <w:ilvl w:val="1"/>
          <w:numId w:val="2"/>
        </w:numPr>
        <w:spacing w:after="40"/>
      </w:pPr>
      <w:r>
        <w:rPr>
          <w:rFonts w:ascii="Calibri" w:cs="Calibri" w:eastAsia="Calibri" w:hAnsi="Calibri"/>
          <w:sz w:val="21"/>
          <w:szCs w:val="21"/>
        </w:rPr>
        <w:t xml:space="preserve">Deaths per mouse-day at risk in 30-day intervals, counting each mouse from its set-up age.</w:t>
      </w:r>
    </w:p>
    <w:p>
      <w:pPr>
        <w:pStyle w:val="ListParagraph"/>
        <w:numPr>
          <w:ilvl w:val="1"/>
          <w:numId w:val="2"/>
        </w:numPr>
        <w:spacing w:after="40"/>
      </w:pPr>
      <w:r>
        <w:rPr>
          <w:rFonts w:ascii="Calibri" w:cs="Calibri" w:eastAsia="Calibri" w:hAnsi="Calibri"/>
          <w:sz w:val="21"/>
          <w:szCs w:val="21"/>
        </w:rPr>
        <w:t xml:space="preserve">ln(rate) is regressed on the interval midpoint, weighted by deaths, using intervals from 200 d onward that contain at least one death.</w:t>
      </w:r>
    </w:p>
    <w:p>
      <w:pPr>
        <w:pStyle w:val="Heading1"/>
      </w:pPr>
      <w:r>
        <w:rPr>
          <w:rFonts w:ascii="Calibri" w:cs="Calibri" w:eastAsia="Calibri" w:hAnsi="Calibri"/>
          <w:sz w:val="26"/>
          <w:szCs w:val="26"/>
        </w:rPr>
        <w:t xml:space="preserve">6. Results</w:t>
      </w:r>
    </w:p>
    <w:p>
      <w:pPr>
        <w:keepNext/>
        <w:spacing w:after="50" w:before="80"/>
      </w:pPr>
      <w:r>
        <w:rPr>
          <w:rFonts w:ascii="Calibri" w:cs="Calibri" w:eastAsia="Calibri" w:hAnsi="Calibri"/>
          <w:b/>
          <w:bCs/>
          <w:sz w:val="19"/>
          <w:szCs w:val="19"/>
        </w:rPr>
        <w:t xml:space="preserve">Table 2.</w:t>
      </w:r>
      <w:r>
        <w:rPr>
          <w:rFonts w:ascii="Calibri" w:cs="Calibri" w:eastAsia="Calibri" w:hAnsi="Calibri"/>
          <w:sz w:val="19"/>
          <w:szCs w:val="19"/>
        </w:rPr>
        <w:t xml:space="preserve"> MRDT in days (95% interval) by diet, and the test of equal slopes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2000"/>
        <w:gridCol w:w="2000"/>
        <w:gridCol w:w="2500"/>
      </w:tblGrid>
      <w:tr>
        <w:trPr>
          <w:tblHeader/>
        </w:trPr>
        <w:tc>
          <w:tcPr>
            <w:tcW w:type="dxa" w:w="2860"/>
            <w:tcBorders>
              <w:top w:val="single" w:color="BFBFBF" w:sz="4"/>
              <w:left w:val="single" w:color="BFBFBF" w:sz="4"/>
              <w:bottom w:val="single" w:color="BFBFBF" w:sz="4"/>
              <w:right w:val="single" w:color="BFBFBF" w:sz="4"/>
            </w:tcBorders>
            <w:shd w:fill="DCE6F1" w:color="auto" w:val="clear"/>
            <w:tcMar>
              <w:top w:type="dxa" w:w="30"/>
              <w:left w:type="dxa" w:w="70"/>
              <w:bottom w:type="dxa" w:w="30"/>
              <w:right w:type="dxa" w:w="70"/>
            </w:tcMar>
          </w:tcPr>
          <w:p>
            <w:r>
              <w:rPr>
                <w:rFonts w:ascii="Calibri" w:cs="Calibri" w:eastAsia="Calibri" w:hAnsi="Calibri"/>
                <w:b/>
                <w:bCs/>
                <w:sz w:val="18"/>
                <w:szCs w:val="18"/>
              </w:rPr>
              <w:t xml:space="preserve">Analysis</w:t>
            </w:r>
          </w:p>
        </w:tc>
        <w:tc>
          <w:tcPr>
            <w:tcW w:type="dxa" w:w="2000"/>
            <w:tcBorders>
              <w:top w:val="single" w:color="BFBFBF" w:sz="4"/>
              <w:left w:val="single" w:color="BFBFBF" w:sz="4"/>
              <w:bottom w:val="single" w:color="BFBFBF" w:sz="4"/>
              <w:right w:val="single" w:color="BFBFBF" w:sz="4"/>
            </w:tcBorders>
            <w:shd w:fill="DCE6F1" w:color="auto" w:val="clear"/>
            <w:tcMar>
              <w:top w:type="dxa" w:w="30"/>
              <w:left w:type="dxa" w:w="70"/>
              <w:bottom w:type="dxa" w:w="30"/>
              <w:right w:type="dxa" w:w="70"/>
            </w:tcMar>
          </w:tcPr>
          <w:p>
            <w:r>
              <w:rPr>
                <w:rFonts w:ascii="Calibri" w:cs="Calibri" w:eastAsia="Calibri" w:hAnsi="Calibri"/>
                <w:b/>
                <w:bCs/>
                <w:sz w:val="18"/>
                <w:szCs w:val="18"/>
              </w:rPr>
              <w:t xml:space="preserve">CD</w:t>
            </w:r>
          </w:p>
        </w:tc>
        <w:tc>
          <w:tcPr>
            <w:tcW w:type="dxa" w:w="2000"/>
            <w:tcBorders>
              <w:top w:val="single" w:color="BFBFBF" w:sz="4"/>
              <w:left w:val="single" w:color="BFBFBF" w:sz="4"/>
              <w:bottom w:val="single" w:color="BFBFBF" w:sz="4"/>
              <w:right w:val="single" w:color="BFBFBF" w:sz="4"/>
            </w:tcBorders>
            <w:shd w:fill="DCE6F1" w:color="auto" w:val="clear"/>
            <w:tcMar>
              <w:top w:type="dxa" w:w="30"/>
              <w:left w:type="dxa" w:w="70"/>
              <w:bottom w:type="dxa" w:w="30"/>
              <w:right w:type="dxa" w:w="70"/>
            </w:tcMar>
          </w:tcPr>
          <w:p>
            <w:r>
              <w:rPr>
                <w:rFonts w:ascii="Calibri" w:cs="Calibri" w:eastAsia="Calibri" w:hAnsi="Calibri"/>
                <w:b/>
                <w:bCs/>
                <w:sz w:val="18"/>
                <w:szCs w:val="18"/>
              </w:rPr>
              <w:t xml:space="preserve">HF</w:t>
            </w:r>
          </w:p>
        </w:tc>
        <w:tc>
          <w:tcPr>
            <w:tcW w:type="dxa" w:w="2500"/>
            <w:tcBorders>
              <w:top w:val="single" w:color="BFBFBF" w:sz="4"/>
              <w:left w:val="single" w:color="BFBFBF" w:sz="4"/>
              <w:bottom w:val="single" w:color="BFBFBF" w:sz="4"/>
              <w:right w:val="single" w:color="BFBFBF" w:sz="4"/>
            </w:tcBorders>
            <w:shd w:fill="DCE6F1" w:color="auto" w:val="clear"/>
            <w:tcMar>
              <w:top w:type="dxa" w:w="30"/>
              <w:left w:type="dxa" w:w="70"/>
              <w:bottom w:type="dxa" w:w="30"/>
              <w:right w:type="dxa" w:w="70"/>
            </w:tcMar>
          </w:tcPr>
          <w:p>
            <w:r>
              <w:rPr>
                <w:rFonts w:ascii="Calibri" w:cs="Calibri" w:eastAsia="Calibri" w:hAnsi="Calibri"/>
                <w:b/>
                <w:bCs/>
                <w:sz w:val="18"/>
                <w:szCs w:val="18"/>
              </w:rPr>
              <w:t xml:space="preserve">Equal slope, p</w:t>
            </w:r>
          </w:p>
        </w:tc>
      </w:tr>
      <w:tr>
        <w:trPr>
          <w:cantSplit/>
        </w:trPr>
        <w:tc>
          <w:tcPr>
            <w:tcW w:type="dxa" w:w="286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Calibri" w:cs="Calibri" w:eastAsia="Calibri" w:hAnsi="Calibri"/>
                <w:b w:val="false"/>
                <w:bCs w:val="false"/>
                <w:sz w:val="18"/>
                <w:szCs w:val="18"/>
              </w:rPr>
              <w:t xml:space="preserve">Primary (Wald)</w:t>
            </w:r>
          </w:p>
        </w:tc>
        <w:tc>
          <w:tcPr>
            <w:tcW w:type="dxa" w:w="20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Calibri" w:cs="Calibri" w:eastAsia="Calibri" w:hAnsi="Calibri"/>
                <w:b w:val="false"/>
                <w:bCs w:val="false"/>
                <w:sz w:val="18"/>
                <w:szCs w:val="18"/>
              </w:rPr>
              <w:t xml:space="preserve">153 (144–163)</w:t>
            </w:r>
          </w:p>
        </w:tc>
        <w:tc>
          <w:tcPr>
            <w:tcW w:type="dxa" w:w="20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Calibri" w:cs="Calibri" w:eastAsia="Calibri" w:hAnsi="Calibri"/>
                <w:b w:val="false"/>
                <w:bCs w:val="false"/>
                <w:sz w:val="18"/>
                <w:szCs w:val="18"/>
              </w:rPr>
              <w:t xml:space="preserve">149 (140–159)</w:t>
            </w:r>
          </w:p>
        </w:tc>
        <w:tc>
          <w:tcPr>
            <w:tcW w:type="dxa" w:w="25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Calibri" w:cs="Calibri" w:eastAsia="Calibri" w:hAnsi="Calibri"/>
                <w:b w:val="false"/>
                <w:bCs w:val="false"/>
                <w:sz w:val="18"/>
                <w:szCs w:val="18"/>
              </w:rPr>
              <w:t xml:space="preserve">0.55</w:t>
            </w:r>
          </w:p>
        </w:tc>
      </w:tr>
      <w:tr>
        <w:trPr>
          <w:cantSplit/>
        </w:trPr>
        <w:tc>
          <w:tcPr>
            <w:tcW w:type="dxa" w:w="286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Calibri" w:cs="Calibri" w:eastAsia="Calibri" w:hAnsi="Calibri"/>
                <w:b w:val="false"/>
                <w:bCs w:val="false"/>
                <w:sz w:val="18"/>
                <w:szCs w:val="18"/>
              </w:rPr>
              <w:t xml:space="preserve">Primary (bootstrap)</w:t>
            </w:r>
          </w:p>
        </w:tc>
        <w:tc>
          <w:tcPr>
            <w:tcW w:type="dxa" w:w="20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Calibri" w:cs="Calibri" w:eastAsia="Calibri" w:hAnsi="Calibri"/>
                <w:b w:val="false"/>
                <w:bCs w:val="false"/>
                <w:sz w:val="18"/>
                <w:szCs w:val="18"/>
              </w:rPr>
              <w:t xml:space="preserve">153 (143–164)</w:t>
            </w:r>
          </w:p>
        </w:tc>
        <w:tc>
          <w:tcPr>
            <w:tcW w:type="dxa" w:w="20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Calibri" w:cs="Calibri" w:eastAsia="Calibri" w:hAnsi="Calibri"/>
                <w:b w:val="false"/>
                <w:bCs w:val="false"/>
                <w:sz w:val="18"/>
                <w:szCs w:val="18"/>
              </w:rPr>
              <w:t xml:space="preserve">149 (132–165)</w:t>
            </w:r>
          </w:p>
        </w:tc>
        <w:tc>
          <w:tcPr>
            <w:tcW w:type="dxa" w:w="25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Calibri" w:cs="Calibri" w:eastAsia="Calibri" w:hAnsi="Calibri"/>
                <w:b w:val="false"/>
                <w:bCs w:val="false"/>
                <w:sz w:val="18"/>
                <w:szCs w:val="18"/>
              </w:rPr>
              <w:t xml:space="preserve">HF − CD −4 d (−24 to +15)</w:t>
            </w:r>
          </w:p>
        </w:tc>
      </w:tr>
      <w:tr>
        <w:trPr>
          <w:cantSplit/>
        </w:trPr>
        <w:tc>
          <w:tcPr>
            <w:tcW w:type="dxa" w:w="286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Calibri" w:cs="Calibri" w:eastAsia="Calibri" w:hAnsi="Calibri"/>
                <w:b w:val="false"/>
                <w:bCs w:val="false"/>
                <w:sz w:val="18"/>
                <w:szCs w:val="18"/>
              </w:rPr>
              <w:t xml:space="preserve">Survived to 200 d</w:t>
            </w:r>
          </w:p>
        </w:tc>
        <w:tc>
          <w:tcPr>
            <w:tcW w:type="dxa" w:w="20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Calibri" w:cs="Calibri" w:eastAsia="Calibri" w:hAnsi="Calibri"/>
                <w:b w:val="false"/>
                <w:bCs w:val="false"/>
                <w:sz w:val="18"/>
                <w:szCs w:val="18"/>
              </w:rPr>
              <w:t xml:space="preserve">152 (142–163)</w:t>
            </w:r>
          </w:p>
        </w:tc>
        <w:tc>
          <w:tcPr>
            <w:tcW w:type="dxa" w:w="20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Calibri" w:cs="Calibri" w:eastAsia="Calibri" w:hAnsi="Calibri"/>
                <w:b w:val="false"/>
                <w:bCs w:val="false"/>
                <w:sz w:val="18"/>
                <w:szCs w:val="18"/>
              </w:rPr>
              <w:t xml:space="preserve">152 (142–163)</w:t>
            </w:r>
          </w:p>
        </w:tc>
        <w:tc>
          <w:tcPr>
            <w:tcW w:type="dxa" w:w="25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Calibri" w:cs="Calibri" w:eastAsia="Calibri" w:hAnsi="Calibri"/>
                <w:b w:val="false"/>
                <w:bCs w:val="false"/>
                <w:sz w:val="18"/>
                <w:szCs w:val="18"/>
              </w:rPr>
              <w:t xml:space="preserve">0.99</w:t>
            </w:r>
          </w:p>
        </w:tc>
      </w:tr>
      <w:tr>
        <w:trPr>
          <w:cantSplit/>
        </w:trPr>
        <w:tc>
          <w:tcPr>
            <w:tcW w:type="dxa" w:w="286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Calibri" w:cs="Calibri" w:eastAsia="Calibri" w:hAnsi="Calibri"/>
                <w:b w:val="false"/>
                <w:bCs w:val="false"/>
                <w:sz w:val="18"/>
                <w:szCs w:val="18"/>
              </w:rPr>
              <w:t xml:space="preserve">Survived to 365 d</w:t>
            </w:r>
          </w:p>
        </w:tc>
        <w:tc>
          <w:tcPr>
            <w:tcW w:type="dxa" w:w="20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Calibri" w:cs="Calibri" w:eastAsia="Calibri" w:hAnsi="Calibri"/>
                <w:b w:val="false"/>
                <w:bCs w:val="false"/>
                <w:sz w:val="18"/>
                <w:szCs w:val="18"/>
              </w:rPr>
              <w:t xml:space="preserve">155 (142–168)</w:t>
            </w:r>
          </w:p>
        </w:tc>
        <w:tc>
          <w:tcPr>
            <w:tcW w:type="dxa" w:w="20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Calibri" w:cs="Calibri" w:eastAsia="Calibri" w:hAnsi="Calibri"/>
                <w:b w:val="false"/>
                <w:bCs w:val="false"/>
                <w:sz w:val="18"/>
                <w:szCs w:val="18"/>
              </w:rPr>
              <w:t xml:space="preserve">177 (160–196)</w:t>
            </w:r>
          </w:p>
        </w:tc>
        <w:tc>
          <w:tcPr>
            <w:tcW w:type="dxa" w:w="25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Calibri" w:cs="Calibri" w:eastAsia="Calibri" w:hAnsi="Calibri"/>
                <w:b w:val="false"/>
                <w:bCs w:val="false"/>
                <w:sz w:val="18"/>
                <w:szCs w:val="18"/>
              </w:rPr>
              <w:t xml:space="preserve">0.035</w:t>
            </w:r>
          </w:p>
        </w:tc>
      </w:tr>
      <w:tr>
        <w:trPr>
          <w:cantSplit/>
        </w:trPr>
        <w:tc>
          <w:tcPr>
            <w:tcW w:type="dxa" w:w="286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Calibri" w:cs="Calibri" w:eastAsia="Calibri" w:hAnsi="Calibri"/>
                <w:b w:val="false"/>
                <w:bCs w:val="false"/>
                <w:sz w:val="18"/>
                <w:szCs w:val="18"/>
              </w:rPr>
              <w:t xml:space="preserve">BXD strains only</w:t>
            </w:r>
          </w:p>
        </w:tc>
        <w:tc>
          <w:tcPr>
            <w:tcW w:type="dxa" w:w="20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Calibri" w:cs="Calibri" w:eastAsia="Calibri" w:hAnsi="Calibri"/>
                <w:b w:val="false"/>
                <w:bCs w:val="false"/>
                <w:sz w:val="18"/>
                <w:szCs w:val="18"/>
              </w:rPr>
              <w:t xml:space="preserve">156 (146–167)</w:t>
            </w:r>
          </w:p>
        </w:tc>
        <w:tc>
          <w:tcPr>
            <w:tcW w:type="dxa" w:w="20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Calibri" w:cs="Calibri" w:eastAsia="Calibri" w:hAnsi="Calibri"/>
                <w:b w:val="false"/>
                <w:bCs w:val="false"/>
                <w:sz w:val="18"/>
                <w:szCs w:val="18"/>
              </w:rPr>
              <w:t xml:space="preserve">149 (139–159)</w:t>
            </w:r>
          </w:p>
        </w:tc>
        <w:tc>
          <w:tcPr>
            <w:tcW w:type="dxa" w:w="25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Calibri" w:cs="Calibri" w:eastAsia="Calibri" w:hAnsi="Calibri"/>
                <w:b w:val="false"/>
                <w:bCs w:val="false"/>
                <w:sz w:val="18"/>
                <w:szCs w:val="18"/>
              </w:rPr>
              <w:t xml:space="preserve">0.31</w:t>
            </w:r>
          </w:p>
        </w:tc>
      </w:tr>
      <w:tr>
        <w:trPr>
          <w:cantSplit/>
        </w:trPr>
        <w:tc>
          <w:tcPr>
            <w:tcW w:type="dxa" w:w="286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Calibri" w:cs="Calibri" w:eastAsia="Calibri" w:hAnsi="Calibri"/>
                <w:b w:val="false"/>
                <w:bCs w:val="false"/>
                <w:sz w:val="18"/>
                <w:szCs w:val="18"/>
              </w:rPr>
              <w:t xml:space="preserve">Gompertz–Makeham</w:t>
            </w:r>
          </w:p>
        </w:tc>
        <w:tc>
          <w:tcPr>
            <w:tcW w:type="dxa" w:w="20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Calibri" w:cs="Calibri" w:eastAsia="Calibri" w:hAnsi="Calibri"/>
                <w:b w:val="false"/>
                <w:bCs w:val="false"/>
                <w:sz w:val="18"/>
                <w:szCs w:val="18"/>
              </w:rPr>
              <w:t xml:space="preserve">153 (144–163)</w:t>
            </w:r>
          </w:p>
        </w:tc>
        <w:tc>
          <w:tcPr>
            <w:tcW w:type="dxa" w:w="20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Calibri" w:cs="Calibri" w:eastAsia="Calibri" w:hAnsi="Calibri"/>
                <w:b w:val="false"/>
                <w:bCs w:val="false"/>
                <w:sz w:val="18"/>
                <w:szCs w:val="18"/>
              </w:rPr>
              <w:t xml:space="preserve">149 (140–159)</w:t>
            </w:r>
          </w:p>
        </w:tc>
        <w:tc>
          <w:tcPr>
            <w:tcW w:type="dxa" w:w="25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Calibri" w:cs="Calibri" w:eastAsia="Calibri" w:hAnsi="Calibri"/>
                <w:b w:val="false"/>
                <w:bCs w:val="false"/>
                <w:sz w:val="18"/>
                <w:szCs w:val="18"/>
              </w:rPr>
              <w:t xml:space="preserve">–</w:t>
            </w:r>
          </w:p>
        </w:tc>
      </w:tr>
      <w:tr>
        <w:trPr>
          <w:cantSplit/>
        </w:trPr>
        <w:tc>
          <w:tcPr>
            <w:tcW w:type="dxa" w:w="286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Calibri" w:cs="Calibri" w:eastAsia="Calibri" w:hAnsi="Calibri"/>
                <w:b w:val="false"/>
                <w:bCs w:val="false"/>
                <w:sz w:val="18"/>
                <w:szCs w:val="18"/>
              </w:rPr>
              <w:t xml:space="preserve">Binned regression from 200 d</w:t>
            </w:r>
          </w:p>
        </w:tc>
        <w:tc>
          <w:tcPr>
            <w:tcW w:type="dxa" w:w="20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Calibri" w:cs="Calibri" w:eastAsia="Calibri" w:hAnsi="Calibri"/>
                <w:b w:val="false"/>
                <w:bCs w:val="false"/>
                <w:sz w:val="18"/>
                <w:szCs w:val="18"/>
              </w:rPr>
              <w:t xml:space="preserve">152 (143–162)</w:t>
            </w:r>
          </w:p>
        </w:tc>
        <w:tc>
          <w:tcPr>
            <w:tcW w:type="dxa" w:w="20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Calibri" w:cs="Calibri" w:eastAsia="Calibri" w:hAnsi="Calibri"/>
                <w:b w:val="false"/>
                <w:bCs w:val="false"/>
                <w:sz w:val="18"/>
                <w:szCs w:val="18"/>
              </w:rPr>
              <w:t xml:space="preserve">144 (127–167)</w:t>
            </w:r>
          </w:p>
        </w:tc>
        <w:tc>
          <w:tcPr>
            <w:tcW w:type="dxa" w:w="25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Calibri" w:cs="Calibri" w:eastAsia="Calibri" w:hAnsi="Calibri"/>
                <w:b w:val="false"/>
                <w:bCs w:val="false"/>
                <w:sz w:val="18"/>
                <w:szCs w:val="18"/>
              </w:rPr>
              <w:t xml:space="preserve">–</w:t>
            </w:r>
          </w:p>
        </w:tc>
      </w:tr>
    </w:tbl>
    <w:p>
      <w:pPr>
        <w:spacing w:after="40"/>
      </w:pPr>
    </w:p>
    <w:p>
      <w:pPr>
        <w:pStyle w:val="ListParagraph"/>
        <w:numPr>
          <w:ilvl w:val="0"/>
          <w:numId w:val="2"/>
        </w:numPr>
        <w:spacing w:after="50"/>
      </w:pPr>
      <w:r>
        <w:rPr>
          <w:rFonts w:ascii="Calibri" w:cs="Calibri" w:eastAsia="Calibri" w:hAnsi="Calibri"/>
          <w:b/>
          <w:bCs/>
          <w:sz w:val="21"/>
          <w:szCs w:val="21"/>
        </w:rPr>
        <w:t xml:space="preserve">Shared slope:</w:t>
      </w:r>
      <w:r>
        <w:rPr>
          <w:rFonts w:ascii="Calibri" w:cs="Calibri" w:eastAsia="Calibri" w:hAnsi="Calibri"/>
          <w:sz w:val="21"/>
          <w:szCs w:val="21"/>
        </w:rPr>
        <w:t xml:space="preserve"> MRDT 151 d. HF/CD hazard ratio </w:t>
      </w:r>
      <w:r>
        <w:rPr>
          <w:rFonts w:ascii="Calibri" w:cs="Calibri" w:eastAsia="Calibri" w:hAnsi="Calibri"/>
          <w:b/>
          <w:bCs/>
          <w:sz w:val="21"/>
          <w:szCs w:val="21"/>
        </w:rPr>
        <w:t xml:space="preserve">1.42</w:t>
      </w:r>
      <w:r>
        <w:rPr>
          <w:rFonts w:ascii="Calibri" w:cs="Calibri" w:eastAsia="Calibri" w:hAnsi="Calibri"/>
          <w:sz w:val="21"/>
          <w:szCs w:val="21"/>
        </w:rPr>
        <w:t xml:space="preserve"> (1.29–1.55), or </w:t>
      </w:r>
      <w:r>
        <w:rPr>
          <w:rFonts w:ascii="Calibri" w:cs="Calibri" w:eastAsia="Calibri" w:hAnsi="Calibri"/>
          <w:b/>
          <w:bCs/>
          <w:sz w:val="21"/>
          <w:szCs w:val="21"/>
        </w:rPr>
        <w:t xml:space="preserve">0.50 doublings</w:t>
      </w:r>
      <w:r>
        <w:rPr>
          <w:rFonts w:ascii="Calibri" w:cs="Calibri" w:eastAsia="Calibri" w:hAnsi="Calibri"/>
          <w:sz w:val="21"/>
          <w:szCs w:val="21"/>
        </w:rPr>
        <w:t xml:space="preserve">. The LRT for equal R0 gives p = 7 × 10</w:t>
      </w:r>
      <w:r>
        <w:rPr>
          <w:rFonts w:ascii="Calibri" w:cs="Calibri" w:eastAsia="Calibri" w:hAnsi="Calibri"/>
          <w:sz w:val="21"/>
          <w:szCs w:val="21"/>
          <w:vertAlign w:val="superscript"/>
        </w:rPr>
        <w:t xml:space="preserve">−14</w:t>
      </w:r>
      <w:r>
        <w:rPr>
          <w:rFonts w:ascii="Calibri" w:cs="Calibri" w:eastAsia="Calibri" w:hAnsi="Calibri"/>
          <w:sz w:val="21"/>
          <w:szCs w:val="21"/>
        </w:rPr>
        <w:t xml:space="preserve">.</w:t>
      </w:r>
    </w:p>
    <w:p>
      <w:pPr>
        <w:pStyle w:val="ListParagraph"/>
        <w:numPr>
          <w:ilvl w:val="0"/>
          <w:numId w:val="2"/>
        </w:numPr>
        <w:spacing w:after="50"/>
      </w:pPr>
      <w:r>
        <w:rPr>
          <w:rFonts w:ascii="Calibri" w:cs="Calibri" w:eastAsia="Calibri" w:hAnsi="Calibri"/>
          <w:b/>
          <w:bCs/>
          <w:sz w:val="21"/>
          <w:szCs w:val="21"/>
        </w:rPr>
        <w:t xml:space="preserve">Cox:</w:t>
      </w:r>
      <w:r>
        <w:rPr>
          <w:rFonts w:ascii="Calibri" w:cs="Calibri" w:eastAsia="Calibri" w:hAnsi="Calibri"/>
          <w:sz w:val="21"/>
          <w:szCs w:val="21"/>
        </w:rPr>
        <w:t xml:space="preserve"> HR 1.44 (1.32–1.58), with no departure from proportional hazards (p = 0.85). </w:t>
      </w:r>
      <w:r>
        <w:rPr>
          <w:rFonts w:ascii="Calibri" w:cs="Calibri" w:eastAsia="Calibri" w:hAnsi="Calibri"/>
          <w:b/>
          <w:bCs/>
          <w:sz w:val="21"/>
          <w:szCs w:val="21"/>
        </w:rPr>
        <w:t xml:space="preserve">Stratified by strain:</w:t>
      </w:r>
      <w:r>
        <w:rPr>
          <w:rFonts w:ascii="Calibri" w:cs="Calibri" w:eastAsia="Calibri" w:hAnsi="Calibri"/>
          <w:sz w:val="21"/>
          <w:szCs w:val="21"/>
        </w:rPr>
        <w:t xml:space="preserve"> HR 1.78 (1.61–1.98).</w:t>
      </w:r>
    </w:p>
    <w:p>
      <w:pPr>
        <w:pStyle w:val="ListParagraph"/>
        <w:numPr>
          <w:ilvl w:val="0"/>
          <w:numId w:val="2"/>
        </w:numPr>
        <w:spacing w:after="50"/>
      </w:pPr>
      <w:r>
        <w:rPr>
          <w:rFonts w:ascii="Calibri" w:cs="Calibri" w:eastAsia="Calibri" w:hAnsi="Calibri"/>
          <w:b/>
          <w:bCs/>
          <w:sz w:val="21"/>
          <w:szCs w:val="21"/>
        </w:rPr>
        <w:t xml:space="preserve">Lifespan shift:</w:t>
      </w:r>
      <w:r>
        <w:rPr>
          <w:rFonts w:ascii="Calibri" w:cs="Calibri" w:eastAsia="Calibri" w:hAnsi="Calibri"/>
          <w:sz w:val="21"/>
          <w:szCs w:val="21"/>
        </w:rPr>
        <w:t xml:space="preserve"> the predicted shift is 76 d; the observed difference in median age at death is 683 − 611 = 72 d.</w:t>
      </w:r>
    </w:p>
    <w:p>
      <w:pPr>
        <w:pStyle w:val="ListParagraph"/>
        <w:numPr>
          <w:ilvl w:val="0"/>
          <w:numId w:val="2"/>
        </w:numPr>
        <w:spacing w:after="50"/>
      </w:pPr>
      <w:r>
        <w:rPr>
          <w:rFonts w:ascii="Calibri" w:cs="Calibri" w:eastAsia="Calibri" w:hAnsi="Calibri"/>
          <w:b/>
          <w:bCs/>
          <w:sz w:val="21"/>
          <w:szCs w:val="21"/>
        </w:rPr>
        <w:t xml:space="preserve">Makeham term:</w:t>
      </w:r>
      <w:r>
        <w:rPr>
          <w:rFonts w:ascii="Calibri" w:cs="Calibri" w:eastAsia="Calibri" w:hAnsi="Calibri"/>
          <w:sz w:val="21"/>
          <w:szCs w:val="21"/>
        </w:rPr>
        <w:t xml:space="preserve"> </w:t>
      </w:r>
      <w:r>
        <w:rPr>
          <w:rFonts w:ascii="Calibri" w:cs="Calibri" w:eastAsia="Calibri" w:hAnsi="Calibri"/>
          <w:i/>
          <w:iCs/>
          <w:sz w:val="21"/>
          <w:szCs w:val="21"/>
        </w:rPr>
        <w:t xml:space="preserve">c</w:t>
      </w:r>
      <w:r>
        <w:rPr>
          <w:rFonts w:ascii="Calibri" w:cs="Calibri" w:eastAsia="Calibri" w:hAnsi="Calibri"/>
          <w:sz w:val="21"/>
          <w:szCs w:val="21"/>
        </w:rPr>
        <w:t xml:space="preserve"> is about 10</w:t>
      </w:r>
      <w:r>
        <w:rPr>
          <w:rFonts w:ascii="Calibri" w:cs="Calibri" w:eastAsia="Calibri" w:hAnsi="Calibri"/>
          <w:sz w:val="21"/>
          <w:szCs w:val="21"/>
          <w:vertAlign w:val="superscript"/>
        </w:rPr>
        <w:t xml:space="preserve">−8</w:t>
      </w:r>
      <w:r>
        <w:rPr>
          <w:rFonts w:ascii="Calibri" w:cs="Calibri" w:eastAsia="Calibri" w:hAnsi="Calibri"/>
          <w:sz w:val="21"/>
          <w:szCs w:val="21"/>
        </w:rPr>
        <w:t xml:space="preserve"> per day on both diets, which is negligible. The Gompertz–Makeham fits equal the Gompertz fits.</w:t>
      </w:r>
    </w:p>
    <w:p>
      <w:pPr>
        <w:pStyle w:val="ListParagraph"/>
        <w:numPr>
          <w:ilvl w:val="0"/>
          <w:numId w:val="2"/>
        </w:numPr>
        <w:spacing w:after="50"/>
      </w:pPr>
      <w:r>
        <w:rPr>
          <w:rFonts w:ascii="Calibri" w:cs="Calibri" w:eastAsia="Calibri" w:hAnsi="Calibri"/>
          <w:b/>
          <w:bCs/>
          <w:sz w:val="21"/>
          <w:szCs w:val="21"/>
        </w:rPr>
        <w:t xml:space="preserve">The R0–MRDT ridge:</w:t>
      </w:r>
      <w:r>
        <w:rPr>
          <w:rFonts w:ascii="Calibri" w:cs="Calibri" w:eastAsia="Calibri" w:hAnsi="Calibri"/>
          <w:sz w:val="21"/>
          <w:szCs w:val="21"/>
        </w:rPr>
        <w:t xml:space="preserve"> R0 and MRDT estimates correlate at 0.95 (CD) and 0.97 (HF) across bootstrap fits (Figure 4).</w:t>
      </w:r>
    </w:p>
    <w:p>
      <w:pPr>
        <w:pStyle w:val="ListParagraph"/>
        <w:numPr>
          <w:ilvl w:val="0"/>
          <w:numId w:val="2"/>
        </w:numPr>
        <w:spacing w:after="50"/>
      </w:pPr>
      <w:r>
        <w:rPr>
          <w:rFonts w:ascii="Calibri" w:cs="Calibri" w:eastAsia="Calibri" w:hAnsi="Calibri"/>
          <w:b/>
          <w:bCs/>
          <w:sz w:val="21"/>
          <w:szCs w:val="21"/>
        </w:rPr>
        <w:t xml:space="preserve">Survivorship gap (Figure 2b):</w:t>
      </w:r>
      <w:r>
        <w:rPr>
          <w:rFonts w:ascii="Calibri" w:cs="Calibri" w:eastAsia="Calibri" w:hAnsi="Calibri"/>
          <w:sz w:val="21"/>
          <w:szCs w:val="21"/>
        </w:rPr>
        <w:t xml:space="preserve"> HF survivors die 68 d younger than CD survivors at T200 and 65 d younger at T395. The gap narrows to 52 d at T605, 30 d at T710 and 6 d at T800, then reverses after about T860, with only 56 HF mice left at T860 and 24 at T935. The Gompertz fits predict a gap of 58 d at T200 that narrows only to 26 d at T800 and never reverses.</w:t>
      </w:r>
    </w:p>
    <w:p>
      <w:pPr>
        <w:pStyle w:val="Heading1"/>
      </w:pPr>
      <w:r>
        <w:rPr>
          <w:rFonts w:ascii="Calibri" w:cs="Calibri" w:eastAsia="Calibri" w:hAnsi="Calibri"/>
          <w:sz w:val="26"/>
          <w:szCs w:val="26"/>
        </w:rPr>
        <w:t xml:space="preserve">7. Interpretation and limits</w:t>
      </w:r>
    </w:p>
    <w:p>
      <w:pPr>
        <w:pStyle w:val="ListParagraph"/>
        <w:numPr>
          <w:ilvl w:val="0"/>
          <w:numId w:val="2"/>
        </w:numPr>
        <w:spacing w:after="50"/>
      </w:pPr>
      <w:r>
        <w:rPr>
          <w:rFonts w:ascii="Calibri" w:cs="Calibri" w:eastAsia="Calibri" w:hAnsi="Calibri"/>
          <w:b/>
          <w:bCs/>
          <w:sz w:val="21"/>
          <w:szCs w:val="21"/>
        </w:rPr>
        <w:t xml:space="preserve">R0, not slope.</w:t>
      </w:r>
      <w:r>
        <w:rPr>
          <w:rFonts w:ascii="Calibri" w:cs="Calibri" w:eastAsia="Calibri" w:hAnsi="Calibri"/>
          <w:sz w:val="21"/>
          <w:szCs w:val="21"/>
        </w:rPr>
        <w:t xml:space="preserve"> The diets differ in R0, not in slope. This holds in five of the six analyses, including with all deaths before 200 d removed.</w:t>
      </w:r>
    </w:p>
    <w:p>
      <w:pPr>
        <w:pStyle w:val="ListParagraph"/>
        <w:numPr>
          <w:ilvl w:val="0"/>
          <w:numId w:val="2"/>
        </w:numPr>
        <w:spacing w:after="50"/>
      </w:pPr>
      <w:r>
        <w:rPr>
          <w:rFonts w:ascii="Calibri" w:cs="Calibri" w:eastAsia="Calibri" w:hAnsi="Calibri"/>
          <w:b/>
          <w:bCs/>
          <w:sz w:val="21"/>
          <w:szCs w:val="21"/>
        </w:rPr>
        <w:t xml:space="preserve">One analysis disagrees.</w:t>
      </w:r>
      <w:r>
        <w:rPr>
          <w:rFonts w:ascii="Calibri" w:cs="Calibri" w:eastAsia="Calibri" w:hAnsi="Calibri"/>
          <w:sz w:val="21"/>
          <w:szCs w:val="21"/>
        </w:rPr>
        <w:t xml:space="preserve"> Among mice that survived to 365 d, HF has a shallower slope (MRDT 177 against 155 d, p = 0.035; proportional-hazards test p = 0.07). That is one nominal result among four uncorrected tests.</w:t>
      </w:r>
    </w:p>
    <w:p>
      <w:pPr>
        <w:pStyle w:val="ListParagraph"/>
        <w:numPr>
          <w:ilvl w:val="1"/>
          <w:numId w:val="2"/>
        </w:numPr>
        <w:spacing w:after="40"/>
      </w:pPr>
      <w:r>
        <w:rPr>
          <w:rFonts w:ascii="Calibri" w:cs="Calibri" w:eastAsia="Calibri" w:hAnsi="Calibri"/>
          <w:sz w:val="21"/>
          <w:szCs w:val="21"/>
        </w:rPr>
        <w:t xml:space="preserve">Two explanations are possible: population heterogeneity (a higher hazard removes frail mice sooner and flattens the late curve), or the R0–MRDT ridge.</w:t>
      </w:r>
    </w:p>
    <w:p>
      <w:pPr>
        <w:pStyle w:val="ListParagraph"/>
        <w:numPr>
          <w:ilvl w:val="0"/>
          <w:numId w:val="2"/>
        </w:numPr>
        <w:spacing w:after="50"/>
      </w:pPr>
      <w:r>
        <w:rPr>
          <w:rFonts w:ascii="Calibri" w:cs="Calibri" w:eastAsia="Calibri" w:hAnsi="Calibri"/>
          <w:b/>
          <w:bCs/>
          <w:sz w:val="21"/>
          <w:szCs w:val="21"/>
        </w:rPr>
        <w:t xml:space="preserve">Figure 2b shows where it happens.</w:t>
      </w:r>
      <w:r>
        <w:rPr>
          <w:rFonts w:ascii="Calibri" w:cs="Calibri" w:eastAsia="Calibri" w:hAnsi="Calibri"/>
          <w:sz w:val="21"/>
          <w:szCs w:val="21"/>
        </w:rPr>
        <w:t xml:space="preserve"> The diet gap closes between about 650 and 850 d, much faster than a constant 1.42-fold hazard predicts, and reverses afterwards. Selective loss of frail HF mice would produce this pattern, and it is the same signal as the shallower HF slope after 365 d.</w:t>
      </w:r>
    </w:p>
    <w:p>
      <w:pPr>
        <w:pStyle w:val="ListParagraph"/>
        <w:numPr>
          <w:ilvl w:val="0"/>
          <w:numId w:val="2"/>
        </w:numPr>
        <w:spacing w:after="50"/>
      </w:pPr>
      <w:r>
        <w:rPr>
          <w:rFonts w:ascii="Calibri" w:cs="Calibri" w:eastAsia="Calibri" w:hAnsi="Calibri"/>
          <w:b/>
          <w:bCs/>
          <w:sz w:val="21"/>
          <w:szCs w:val="21"/>
        </w:rPr>
        <w:t xml:space="preserve">This is the MRDT of a mixture of 124 genotypes.</w:t>
      </w:r>
      <w:r>
        <w:rPr>
          <w:rFonts w:ascii="Calibri" w:cs="Calibri" w:eastAsia="Calibri" w:hAnsi="Calibri"/>
          <w:sz w:val="21"/>
          <w:szCs w:val="21"/>
        </w:rPr>
        <w:t xml:space="preserve"> Pooling flattens the population curve and dilutes the diet effect: the HR is 1.44 pooled against 1.78 within strains. Roy et al. 2021 report 2.0.</w:t>
      </w:r>
    </w:p>
    <w:p>
      <w:pPr>
        <w:pStyle w:val="ListParagraph"/>
        <w:numPr>
          <w:ilvl w:val="0"/>
          <w:numId w:val="2"/>
        </w:numPr>
        <w:spacing w:after="50"/>
      </w:pPr>
      <w:r>
        <w:rPr>
          <w:rFonts w:ascii="Calibri" w:cs="Calibri" w:eastAsia="Calibri" w:hAnsi="Calibri"/>
          <w:b/>
          <w:bCs/>
          <w:sz w:val="21"/>
          <w:szCs w:val="21"/>
        </w:rPr>
        <w:t xml:space="preserve">Not yet adjusted</w:t>
      </w:r>
      <w:r>
        <w:rPr>
          <w:rFonts w:ascii="Calibri" w:cs="Calibri" w:eastAsia="Calibri" w:hAnsi="Calibri"/>
          <w:sz w:val="21"/>
          <w:szCs w:val="21"/>
        </w:rPr>
        <w:t xml:space="preserve"> for vivarium (vivarium 3: 440 CD, 232 HF) or cohort. Animals still alive when the file was made are absent, which affects only the latest cohorts.</w:t>
      </w:r>
    </w:p>
    <w:p>
      <w:pPr>
        <w:pStyle w:val="ListParagraph"/>
        <w:numPr>
          <w:ilvl w:val="0"/>
          <w:numId w:val="2"/>
        </w:numPr>
        <w:spacing w:after="50"/>
      </w:pPr>
      <w:r>
        <w:rPr>
          <w:rFonts w:ascii="Calibri" w:cs="Calibri" w:eastAsia="Calibri" w:hAnsi="Calibri"/>
          <w:b/>
          <w:bCs/>
          <w:sz w:val="21"/>
          <w:szCs w:val="21"/>
        </w:rPr>
        <w:t xml:space="preserve">Next steps:</w:t>
      </w:r>
      <w:r>
        <w:rPr>
          <w:rFonts w:ascii="Calibri" w:cs="Calibri" w:eastAsia="Calibri" w:hAnsi="Calibri"/>
          <w:sz w:val="21"/>
          <w:szCs w:val="21"/>
        </w:rPr>
        <w:t xml:space="preserve"> per-strain or per-type </w:t>
      </w:r>
      <w:r>
        <w:rPr>
          <w:rFonts w:ascii="Calibri" w:cs="Calibri" w:eastAsia="Calibri" w:hAnsi="Calibri"/>
          <w:i/>
          <w:iCs/>
          <w:sz w:val="21"/>
          <w:szCs w:val="21"/>
        </w:rPr>
        <w:t xml:space="preserve">a</w:t>
      </w:r>
      <w:r>
        <w:rPr>
          <w:rFonts w:ascii="Calibri" w:cs="Calibri" w:eastAsia="Calibri" w:hAnsi="Calibri"/>
          <w:sz w:val="21"/>
          <w:szCs w:val="21"/>
        </w:rPr>
        <w:t xml:space="preserve"> and </w:t>
      </w:r>
      <w:r>
        <w:rPr>
          <w:rFonts w:ascii="Calibri" w:cs="Calibri" w:eastAsia="Calibri" w:hAnsi="Calibri"/>
          <w:i/>
          <w:iCs/>
          <w:sz w:val="21"/>
          <w:szCs w:val="21"/>
        </w:rPr>
        <w:t xml:space="preserve">b</w:t>
      </w:r>
      <w:r>
        <w:rPr>
          <w:rFonts w:ascii="Calibri" w:cs="Calibri" w:eastAsia="Calibri" w:hAnsi="Calibri"/>
          <w:sz w:val="21"/>
          <w:szCs w:val="21"/>
        </w:rPr>
        <w:t xml:space="preserve"> with shrinkage; a gamma-Gompertz (frailty) model; vivarium as a covariate; a rerun on the approved data set.</w:t>
      </w:r>
    </w:p>
    <w:p>
      <w:pPr>
        <w:pStyle w:val="Heading1"/>
        <w:pageBreakBefore/>
      </w:pPr>
      <w:r>
        <w:rPr>
          <w:rFonts w:ascii="Calibri" w:cs="Calibri" w:eastAsia="Calibri" w:hAnsi="Calibri"/>
          <w:sz w:val="26"/>
          <w:szCs w:val="26"/>
        </w:rPr>
        <w:t xml:space="preserve">8. Figure legends</w:t>
      </w:r>
    </w:p>
    <w:p>
      <w:pPr>
        <w:spacing w:after="140"/>
      </w:pPr>
      <w:r>
        <w:rPr>
          <w:rFonts w:ascii="Calibri" w:cs="Calibri" w:eastAsia="Calibri" w:hAnsi="Calibri"/>
          <w:b/>
          <w:bCs/>
          <w:sz w:val="21"/>
          <w:szCs w:val="21"/>
        </w:rPr>
        <w:t xml:space="preserve">Figure 1. Mortality rises in parallel on chow and high-fat diets.</w:t>
      </w:r>
      <w:r>
        <w:rPr>
          <w:rFonts w:ascii="Calibri" w:cs="Calibri" w:eastAsia="Calibri" w:hAnsi="Calibri"/>
          <w:sz w:val="21"/>
          <w:szCs w:val="21"/>
        </w:rPr>
        <w:t xml:space="preserve"> Mortality rate against age for chow-fed (CD, blue, n = 1,044) and high-fat-fed (HF, orange, n = 890) BXD family females. The y axis is deaths per 1,000 mouse-days on a log2 scale, so each gridline marks one doubling. Points are occurrence/exposure rates in 30-day age intervals: deaths in the interval divided by mouse-days at risk, each mouse counted from its age at set up. Intervals are shown where at least 20 mice were at risk; point diameter grows with the square root of the number of deaths. Lines are Gompertz fits by maximum likelihood, left-truncated at set-up age, drawn from 100 to 1,250 d. The key gives each diet's MRDT with its 95% Wald interval. The slopes do not differ (likelihood-ratio test, p = 0.55). With a shared slope (MRDT 151 d), HF mortality is 1.42 times CD mortality at every age (95% CI 1.29–1.55), which is 0.50 doublings higher.</w:t>
      </w:r>
    </w:p>
    <w:p>
      <w:pPr>
        <w:spacing w:after="140"/>
      </w:pPr>
      <w:r>
        <w:rPr>
          <w:rFonts w:ascii="Calibri" w:cs="Calibri" w:eastAsia="Calibri" w:hAnsi="Calibri"/>
          <w:b/>
          <w:bCs/>
          <w:sz w:val="21"/>
          <w:szCs w:val="21"/>
        </w:rPr>
        <w:t xml:space="preserve">Figure 2. Survival from 200 days (a) and the diet gap by T-age (b).</w:t>
      </w:r>
      <w:r>
        <w:rPr>
          <w:rFonts w:ascii="Calibri" w:cs="Calibri" w:eastAsia="Calibri" w:hAnsi="Calibri"/>
          <w:sz w:val="21"/>
          <w:szCs w:val="21"/>
        </w:rPr>
        <w:t xml:space="preserve"> (a) Kaplan–Meier survival (solid lines) of mice alive at 200 d (CD n = 1,018, HF n = 865), each at risk from the later of its set-up age and 200 d. Dashed lines show survival predicted by the primary Gompertz fits (Figure 1), conditional on survival to 200 d. Labels give median age at death among these mice. (b) The same data as actuarial survivorships, in the style of Arends et al. 2026, Fig. 1b. Each survivorship is the set of mice alive and under observation at a given T-age, that is, set up by that age and dying at or after it, in 15-day steps from 200 d. Solid lines show each diet's mean age at death minus the mean for both diets, with ±1 s.e.m. bands. Lines are drawn while both diets keep at least 20 mice (to 935 d); numbers along the top give mice alive (CD / HF). Dashed lines show the same quantity predicted by the Gompertz fits. HF survivors die 65 to 69 d younger than CD survivors through 400 d. The gap closes between about 650 and 850 d, faster than the Gompertz fits predict, and reverses after about 860 d, when few HF mice remain.</w:t>
      </w:r>
    </w:p>
    <w:p>
      <w:pPr>
        <w:spacing w:after="140"/>
      </w:pPr>
      <w:r>
        <w:rPr>
          <w:rFonts w:ascii="Calibri" w:cs="Calibri" w:eastAsia="Calibri" w:hAnsi="Calibri"/>
          <w:b/>
          <w:bCs/>
          <w:sz w:val="21"/>
          <w:szCs w:val="21"/>
        </w:rPr>
        <w:t xml:space="preserve">Figure 3. MRDT is robust to the choice of analysis.</w:t>
      </w:r>
      <w:r>
        <w:rPr>
          <w:rFonts w:ascii="Calibri" w:cs="Calibri" w:eastAsia="Calibri" w:hAnsi="Calibri"/>
          <w:sz w:val="21"/>
          <w:szCs w:val="21"/>
        </w:rPr>
        <w:t xml:space="preserve"> Mortality rate doubling time (days) for CD (blue) and HF (orange) under the primary analysis and five alternatives (rows; definitions in section 5). Points are estimates and bars are 95% intervals. The intervals are Wald intervals on the log scale of the slope, except in two rows: the bootstrap row uses the 2.5th and 97.5th percentiles of 2,000 resamples, and the binned-regression row uses the regression standard error of the slope. At right is the likelihood-ratio p value for equal slopes in the four analyses where it was computed. Only the analysis restricted to mice surviving to 365 d gives a nominally different slope (p = 0.035).</w:t>
      </w:r>
    </w:p>
    <w:p>
      <w:pPr>
        <w:spacing w:after="140"/>
      </w:pPr>
      <w:r>
        <w:rPr>
          <w:rFonts w:ascii="Calibri" w:cs="Calibri" w:eastAsia="Calibri" w:hAnsi="Calibri"/>
          <w:b/>
          <w:bCs/>
          <w:sz w:val="21"/>
          <w:szCs w:val="21"/>
        </w:rPr>
        <w:t xml:space="preserve">Figure 4. R0 and MRDT estimates trade off along a ridge.</w:t>
      </w:r>
      <w:r>
        <w:rPr>
          <w:rFonts w:ascii="Calibri" w:cs="Calibri" w:eastAsia="Calibri" w:hAnsi="Calibri"/>
          <w:sz w:val="21"/>
          <w:szCs w:val="21"/>
        </w:rPr>
        <w:t xml:space="preserve"> Each small point is one of 2,000 bootstrap fits per diet (mice resampled with replacement within diet), plotting R0 against MRDT. R0 is deaths per 1,000 mouse-days at age 0, on a log2 scale. Large points are the estimates from the full data. Within each diet the estimates lie on a narrow diagonal ridge: R0 and MRDT estimates correlate at 0.95 (CD) and 0.97 (HF), the Strehler–Mildvan degeneracy of the Gompertz fit. The two ridges overlap in MRDT but are separated along R0, showing that the diets differ in age-independent mortality, not in the rate of aging. Because of the ridge, slopes should be compared with the joint likelihood-ratio test rather than by comparing separate intervals.</w:t>
      </w:r>
    </w:p>
    <w:p>
      <w:pPr>
        <w:pStyle w:val="Heading1"/>
      </w:pPr>
      <w:r>
        <w:rPr>
          <w:rFonts w:ascii="Calibri" w:cs="Calibri" w:eastAsia="Calibri" w:hAnsi="Calibri"/>
          <w:sz w:val="26"/>
          <w:szCs w:val="26"/>
        </w:rPr>
        <w:t xml:space="preserve">9. Reproducing</w:t>
      </w:r>
    </w:p>
    <w:p>
      <w:pPr>
        <w:spacing w:after="100"/>
      </w:pPr>
      <w:r>
        <w:rPr>
          <w:rFonts w:ascii="Calibri" w:cs="Calibri" w:eastAsia="Calibri" w:hAnsi="Calibri"/>
          <w:sz w:val="21"/>
          <w:szCs w:val="21"/>
        </w:rPr>
        <w:t xml:space="preserve">From the repository root:</w:t>
      </w:r>
    </w:p>
    <w:p>
      <w:pPr>
        <w:spacing w:after="100"/>
      </w:pPr>
      <w:r>
        <w:rPr>
          <w:rFonts w:ascii="Consolas" w:cs="Consolas" w:eastAsia="Consolas" w:hAnsi="Consolas"/>
          <w:sz w:val="18"/>
          <w:szCs w:val="18"/>
        </w:rPr>
        <w:t xml:space="preserve">Rscript Gompertz/test_gompertz.R; Rscript Gompertz/MRDT_Diet.R; Rscript Gompertz/Figures_MRDT_Diet.R; python3 tools/svg2png.py output/*.svg</w:t>
      </w:r>
    </w:p>
    <w:p>
      <w:pPr>
        <w:spacing w:after="100"/>
      </w:pPr>
      <w:r>
        <w:rPr>
          <w:rFonts w:ascii="Calibri" w:cs="Calibri" w:eastAsia="Calibri" w:hAnsi="Calibri"/>
          <w:sz w:val="21"/>
          <w:szCs w:val="21"/>
        </w:rPr>
        <w:t xml:space="preserve">R 4.3 with readxl, survival and svglite. The SVG files keep each label as one editable text element in Arial. The PNG previews are rendered with CairoSVG at 150 dpi.</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BXD MRDT by diet, initial analysis, 23 October 2026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lvl w:ilvl="1" w15:tentative="1">
      <w:start w:val="1"/>
      <w:numFmt w:val="bullet"/>
      <w:lvlText w:val="–"/>
      <w:lvlJc w:val="left"/>
      <w:pPr>
        <w:ind w:left="92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80" w:before="200"/>
      <w:outlineLvl w:val="0"/>
    </w:pPr>
    <w:rPr>
      <w:rFonts w:ascii="Calibri" w:cs="Calibri" w:eastAsia="Calibri" w:hAnsi="Calibri"/>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Initial Gompertz analysis of MRDT by diet</dc:title>
  <dc:creator>Rob Williams</dc:creator>
  <cp:lastModifiedBy>Un-named</cp:lastModifiedBy>
  <cp:revision>1</cp:revision>
  <dcterms:created xsi:type="dcterms:W3CDTF">2026-10-23T19:59:01.686Z</dcterms:created>
  <dcterms:modified xsi:type="dcterms:W3CDTF">2026-10-23T19:59:01.686Z</dcterms:modified>
</cp:coreProperties>
</file>

<file path=docProps/custom.xml><?xml version="1.0" encoding="utf-8"?>
<Properties xmlns="http://schemas.openxmlformats.org/officeDocument/2006/custom-properties" xmlns:vt="http://schemas.openxmlformats.org/officeDocument/2006/docPropsVTypes"/>
</file>