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sz w:val="28"/>
          <w:szCs w:val="28"/>
        </w:rPr>
        <w:t xml:space="preserve">CASO DE ESTUDIO DE EXAMEN DE GRADO</w:t>
      </w:r>
    </w:p>
    <w:p>
      <w:pPr>
        <w:spacing w:after="40"/>
        <w:jc w:val="center"/>
      </w:pPr>
      <w:r>
        <w:rPr>
          <w:sz w:val="22"/>
          <w:szCs w:val="22"/>
        </w:rPr>
        <w:t xml:space="preserve">FACULTAD DE CIENCIA Y TECNOLOGÍA</w:t>
      </w:r>
    </w:p>
    <w:p>
      <w:pPr>
        <w:spacing w:after="40"/>
        <w:jc w:val="center"/>
      </w:pPr>
      <w:r>
        <w:rPr>
          <w:sz w:val="22"/>
          <w:szCs w:val="22"/>
        </w:rPr>
        <w:t xml:space="preserve">Carrera: Ingeniería de Sistemas</w:t>
      </w:r>
    </w:p>
    <w:p>
      <w:pPr>
        <w:spacing w:after="40"/>
        <w:jc w:val="center"/>
      </w:pPr>
      <w:r>
        <w:rPr>
          <w:sz w:val="22"/>
          <w:szCs w:val="22"/>
        </w:rPr>
        <w:t xml:space="preserve">Área: Inteligencia Artificial</w:t>
      </w:r>
    </w:p>
    <w:p>
      <w:pPr>
        <w:spacing w:after="360"/>
        <w:jc w:val="center"/>
      </w:pPr>
      <w:r>
        <w:rPr>
          <w:sz w:val="22"/>
          <w:szCs w:val="22"/>
        </w:rPr>
        <w:t xml:space="preserve">Código: EG-S-IA-03-26 · Período 1/2026 · Caso #03</w:t>
      </w:r>
    </w:p>
    <w:p>
      <w:pPr>
        <w:spacing w:after="120" w:before="500"/>
        <w:jc w:val="center"/>
      </w:pPr>
      <w:r>
        <w:rPr>
          <w:b/>
          <w:bCs/>
          <w:color w:val="1DB954"/>
          <w:sz w:val="52"/>
          <w:szCs w:val="52"/>
        </w:rPr>
        <w:t xml:space="preserve">SoundCluster</w:t>
      </w:r>
    </w:p>
    <w:p>
      <w:pPr>
        <w:spacing w:after="600"/>
        <w:jc w:val="center"/>
      </w:pPr>
      <w:r>
        <w:rPr>
          <w:b/>
          <w:bCs/>
          <w:sz w:val="30"/>
          <w:szCs w:val="30"/>
        </w:rPr>
        <w:t xml:space="preserve">Segmentación de Usuarios para Personalización en Streaming Musical</w:t>
      </w:r>
    </w:p>
    <w:p>
      <w:pPr>
        <w:spacing w:before="800"/>
        <w:jc w:val="center"/>
      </w:pPr>
      <w:r>
        <w:rPr>
          <w:sz w:val="22"/>
          <w:szCs w:val="22"/>
        </w:rPr>
        <w:t xml:space="preserve">Sistema de segmentación no supervisada mediante K-Means,</w:t>
      </w:r>
    </w:p>
    <w:p>
      <w:pPr>
        <w:jc w:val="center"/>
      </w:pPr>
      <w:r>
        <w:rPr>
          <w:sz w:val="22"/>
          <w:szCs w:val="22"/>
        </w:rPr>
        <w:t xml:space="preserve">integrado a través de una API REST y una interfaz web.</w:t>
      </w:r>
    </w:p>
    <w:p>
      <w:r>
        <w:br w:type="page"/>
      </w:r>
    </w:p>
    <w:p>
      <w:pPr>
        <w:pStyle w:val="Heading1"/>
        <w:spacing w:after="140" w:before="280"/>
      </w:pPr>
      <w: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t xml:space="preserve">Capítulo I: Introducción</w:t>
      </w:r>
    </w:p>
    <w:p>
      <w:pPr>
        <w:pStyle w:val="Heading2"/>
        <w:spacing w:after="90" w:before="200"/>
      </w:pPr>
      <w:r>
        <w:t xml:space="preserve">1.1. Contexto</w:t>
      </w:r>
    </w:p>
    <w:p>
      <w:pPr>
        <w:spacing w:after="130" w:line="300"/>
        <w:jc w:val="both"/>
      </w:pPr>
      <w:r>
        <w:t xml:space="preserve">SoundFlow es una plataforma latinoamericana de streaming de música que compite directamente con gigantes internacionales como Spotify y Apple Music. Con más de 15 millones de usuarios activos mensuales en México, Colombia, Argentina y Chile, ha crecido gracias a su enfoque en artistas locales y playlists curadas por expertos. Sin embargo, su departamento de marketing enfrenta un desafío crítico: las campañas promocionales y las recomendaciones son genéricas y no logran conectar con la diversidad de hábitos de escucha de sus usuarios.</w:t>
      </w:r>
    </w:p>
    <w:p>
      <w:pPr>
        <w:spacing w:after="130" w:line="300"/>
        <w:jc w:val="both"/>
      </w:pPr>
      <w:r>
        <w:t xml:space="preserve">La empresa decidió dar un salto cualitativo en personalización. En lugar de recomendar canciones individuales basadas en el historial reciente, busca comprender a fondo los perfiles de sus usuarios para diseñar experiencias a medida: playlists dinámicas, paquetes de suscripción diferenciados y promociones de conciertos segmentadas por ciudad.</w:t>
      </w:r>
    </w:p>
    <w:p>
      <w:pPr>
        <w:pStyle w:val="Heading2"/>
        <w:spacing w:after="90" w:before="200"/>
      </w:pPr>
      <w:r>
        <w:t xml:space="preserve">1.2. Planteamiento del problema</w:t>
      </w:r>
    </w:p>
    <w:p>
      <w:pPr>
        <w:spacing w:after="130" w:line="300"/>
        <w:jc w:val="both"/>
      </w:pPr>
      <w:r>
        <w:t xml:space="preserve">La ausencia de una segmentación basada en datos obliga a SoundFlow a tratar a toda su base de usuarios de manera homogénea, desperdiciando oportunidades de personalización y reduciendo la efectividad de sus campañas. No se conoce cuántos perfiles de comportamiento distintos existen ni qué caracteriza a cada uno. El problema es, por tanto, de aprendizaje no supervisado: descubrir estructura latente en los datos sin etiquetas previas.</w:t>
      </w:r>
    </w:p>
    <w:p>
      <w:pPr>
        <w:pStyle w:val="Heading2"/>
        <w:spacing w:after="90" w:before="200"/>
      </w:pPr>
      <w:r>
        <w:t xml:space="preserve">1.3. Objetivo general</w:t>
      </w:r>
    </w:p>
    <w:p>
      <w:pPr>
        <w:spacing w:after="130" w:line="300"/>
        <w:jc w:val="both"/>
      </w:pPr>
      <w:r>
        <w:t xml:space="preserve">Identificar segmentos de usuarios con patrones de escucha homogéneos, mediante técnicas de aprendizaje no supervisado (clustering K-Means), para personalizar la experiencia y las estrategias de marketing de la plataforma, integrando la solución a través de una API REST y una interfaz web.</w:t>
      </w:r>
    </w:p>
    <w:p>
      <w:pPr>
        <w:pStyle w:val="Heading2"/>
        <w:spacing w:after="90" w:before="200"/>
      </w:pPr>
      <w:r>
        <w:t xml:space="preserve">1.4. Objetivos específicos</w:t>
      </w:r>
    </w:p>
    <w:p>
      <w:pPr>
        <w:pStyle w:val="ListParagraph"/>
        <w:numPr>
          <w:ilvl w:val="0"/>
          <w:numId w:val="1"/>
        </w:numPr>
        <w:spacing w:after="70" w:line="290"/>
        <w:jc w:val="both"/>
      </w:pPr>
      <w:r>
        <w:t xml:space="preserve">Construir y analizar un conjunto de datos de comportamiento de usuarios, verificando distribución, escala y presencia de valores atípicos mediante análisis exploratorio.</w:t>
      </w:r>
    </w:p>
    <w:p>
      <w:pPr>
        <w:pStyle w:val="ListParagraph"/>
        <w:numPr>
          <w:ilvl w:val="0"/>
          <w:numId w:val="1"/>
        </w:numPr>
        <w:spacing w:after="70" w:line="290"/>
        <w:jc w:val="both"/>
      </w:pPr>
      <w:r>
        <w:t xml:space="preserve">Aplicar un pipeline de preprocesamiento con imputación de nulos, tratamiento de outliers por IQR y escalado con StandardScaler, requisito para la sensibilidad de K-Means a la escala.</w:t>
      </w:r>
    </w:p>
    <w:p>
      <w:pPr>
        <w:pStyle w:val="ListParagraph"/>
        <w:numPr>
          <w:ilvl w:val="0"/>
          <w:numId w:val="1"/>
        </w:numPr>
        <w:spacing w:after="70" w:line="290"/>
        <w:jc w:val="both"/>
      </w:pPr>
      <w:r>
        <w:t xml:space="preserve">Determinar el número óptimo de clusters combinando el método del codo, el coeficiente de silueta y el análisis de varianza explicada por los clusters.</w:t>
      </w:r>
    </w:p>
    <w:p>
      <w:pPr>
        <w:pStyle w:val="ListParagraph"/>
        <w:numPr>
          <w:ilvl w:val="0"/>
          <w:numId w:val="1"/>
        </w:numPr>
        <w:spacing w:after="70" w:line="290"/>
        <w:jc w:val="both"/>
      </w:pPr>
      <w:r>
        <w:t xml:space="preserve">Entrenar el modelo K-Means y validarlo internamente con los índices de Davies-Bouldin y Calinski-Harabasz.</w:t>
      </w:r>
    </w:p>
    <w:p>
      <w:pPr>
        <w:pStyle w:val="ListParagraph"/>
        <w:numPr>
          <w:ilvl w:val="0"/>
          <w:numId w:val="1"/>
        </w:numPr>
        <w:spacing w:after="70" w:line="290"/>
        <w:jc w:val="both"/>
      </w:pPr>
      <w:r>
        <w:t xml:space="preserve">Interpretar los clusters mediante centroides, perfiles promedio y visualizaciones comparativas (PCA, radar charts y boxplots), asignando un nombre y una narrativa a cada segmento.</w:t>
      </w:r>
    </w:p>
    <w:p>
      <w:pPr>
        <w:pStyle w:val="ListParagraph"/>
        <w:numPr>
          <w:ilvl w:val="0"/>
          <w:numId w:val="1"/>
        </w:numPr>
        <w:spacing w:after="70" w:line="290"/>
        <w:jc w:val="both"/>
      </w:pPr>
      <w:r>
        <w:t xml:space="preserve">Comparar el desempeño de K-Means contra clustering jerárquico aglomerativo y DBSCAN.</w:t>
      </w:r>
    </w:p>
    <w:p>
      <w:pPr>
        <w:pStyle w:val="ListParagraph"/>
        <w:numPr>
          <w:ilvl w:val="0"/>
          <w:numId w:val="1"/>
        </w:numPr>
        <w:spacing w:after="70" w:line="290"/>
        <w:jc w:val="both"/>
      </w:pPr>
      <w:r>
        <w:t xml:space="preserve">Verificar la estabilidad de los clusters mediante bootstrapping.</w:t>
      </w:r>
    </w:p>
    <w:p>
      <w:pPr>
        <w:pStyle w:val="ListParagraph"/>
        <w:numPr>
          <w:ilvl w:val="0"/>
          <w:numId w:val="1"/>
        </w:numPr>
        <w:spacing w:after="70" w:line="290"/>
        <w:jc w:val="both"/>
      </w:pPr>
      <w:r>
        <w:t xml:space="preserve">Desarrollar una API REST con FastAPI y una interfaz web con React que permitan asignar un usuario nuevo a su segmento y recomendar una estrategia de personalización.</w:t>
      </w:r>
    </w:p>
    <w:p>
      <w:pPr>
        <w:pStyle w:val="Heading2"/>
        <w:spacing w:after="90" w:before="200"/>
      </w:pPr>
      <w:r>
        <w:t xml:space="preserve">1.5. Justificación</w:t>
      </w:r>
    </w:p>
    <w:p>
      <w:pPr>
        <w:spacing w:after="130" w:line="300"/>
        <w:jc w:val="both"/>
      </w:pPr>
      <w:r>
        <w:t xml:space="preserve">La segmentación de usuarios es la base de cualquier estrategia de personalización a escala. Al identificar grupos homogéneos, SoundFlow puede diseñar playlists, ofertas de suscripción y notificaciones específicas para cada perfil, aumentando la conversión y la retención. Técnicamente, el clustering K-Means ofrece un método interpretable y eficiente para descubrir estos grupos, y su integración en una API permite operacionalizar el modelo dentro de la aplicación.</w:t>
      </w:r>
    </w:p>
    <w:p>
      <w:pPr>
        <w:pStyle w:val="Heading2"/>
        <w:spacing w:after="90" w:before="200"/>
      </w:pPr>
      <w:r>
        <w:t xml:space="preserve">1.6. Delimitaciones</w:t>
      </w:r>
    </w:p>
    <w:p>
      <w:pPr>
        <w:pStyle w:val="Heading3"/>
        <w:spacing w:after="60" w:before="140"/>
      </w:pPr>
      <w:r>
        <w:t xml:space="preserve">1.6.1. Delimitación tecnológica</w:t>
      </w:r>
    </w:p>
    <w:p>
      <w:pPr>
        <w:spacing w:after="130" w:line="300"/>
        <w:jc w:val="both"/>
      </w:pPr>
      <w:r>
        <w:t xml:space="preserve">El alcance técnico se centra en el algoritmo K-Means como modelo principal, complementado con clustering jerárquico aglomerativo y DBSCAN como modelos de comparación, y K-Prototypes para el track de datos categóricos reales. La reducción de dimensionalidad para visualización se realiza con PCA. El sistema asigna usuarios a segmentos, no genera recomendaciones de canciones individuales (eso correspondería a un sistema de recomendación, de familia distinta).</w:t>
      </w:r>
    </w:p>
    <w:p>
      <w:pPr>
        <w:pStyle w:val="Heading3"/>
        <w:spacing w:after="60" w:before="140"/>
      </w:pPr>
      <w:r>
        <w:t xml:space="preserve">1.6.2. Delimitación de datos</w:t>
      </w:r>
    </w:p>
    <w:p>
      <w:pPr>
        <w:spacing w:after="130" w:line="300"/>
        <w:jc w:val="both"/>
      </w:pPr>
      <w:r>
        <w:t xml:space="preserve">El desarrollo utiliza dos fuentes en paralelo. La principal es un conjunto sintético de 10.000 usuarios con once variables numéricas de comportamiento, generado con perfiles latentes y ruido realista; su naturaleza sintética se declara de forma transparente y está autorizada por el enunciado del caso. La secundaria es una encuesta real de Kaggle (Spotify User Behavior Dataset, 520 respuestas), de naturaleza categórica, utilizada para demostrar el manejo de datos reales con K-Prototypes.</w:t>
      </w:r>
    </w:p>
    <w:p>
      <w:pPr>
        <w:pStyle w:val="Heading3"/>
        <w:spacing w:after="60" w:before="140"/>
      </w:pPr>
      <w:r>
        <w:t xml:space="preserve">1.6.3. Delimitación temporal</w:t>
      </w:r>
    </w:p>
    <w:p>
      <w:pPr>
        <w:spacing w:after="130" w:line="300"/>
        <w:jc w:val="both"/>
      </w:pPr>
      <w:r>
        <w:t xml:space="preserve">El proyecto se desarrolló durante el período académico 1/2026. El modelo no incorpora aprendizaje continuo; ante cambios sustanciales en los hábitos de escucha, requeriría reentrenamiento.</w:t>
      </w:r>
    </w:p>
    <w:p>
      <w:r>
        <w:br w:type="page"/>
      </w:r>
    </w:p>
    <w:p>
      <w:pPr>
        <w:pStyle w:val="Heading1"/>
        <w:spacing w:after="140" w:before="280"/>
      </w:pPr>
      <w:r>
        <w:t xml:space="preserve">Capítulo II: Marco Teórico</w:t>
      </w:r>
    </w:p>
    <w:p>
      <w:pPr>
        <w:pStyle w:val="Heading2"/>
        <w:spacing w:after="90" w:before="200"/>
      </w:pPr>
      <w:r>
        <w:t xml:space="preserve">2.1. Aprendizaje no supervisado y clustering</w:t>
      </w:r>
    </w:p>
    <w:p>
      <w:pPr>
        <w:spacing w:after="130" w:line="300"/>
        <w:jc w:val="both"/>
      </w:pPr>
      <w:r>
        <w:t xml:space="preserve">El aprendizaje no supervisado trabaja con datos sin etiquetas, buscando estructura o patrones inherentes. El clustering es su tarea más representativa: dividir un conjunto de observaciones en grupos (clusters) de modo que los elementos de un mismo grupo sean similares entre sí y distintos de los de otros grupos. A diferencia de la clasificación, no existe una respuesta correcta predefinida; la calidad se evalúa por la cohesión interna y la separación entre grupos.</w:t>
      </w:r>
    </w:p>
    <w:p>
      <w:pPr>
        <w:pStyle w:val="Heading2"/>
        <w:spacing w:after="90" w:before="200"/>
      </w:pPr>
      <w:r>
        <w:t xml:space="preserve">2.2. Algoritmo K-Means</w:t>
      </w:r>
    </w:p>
    <w:p>
      <w:pPr>
        <w:spacing w:after="130" w:line="300"/>
        <w:jc w:val="both"/>
      </w:pPr>
      <w:r>
        <w:t xml:space="preserve">K-Means particiona los datos en K clusters minimizando la inercia, es decir, la suma de las distancias euclídeas al cuadrado entre cada punto y el centroide de su cluster. El algoritmo es iterativo: inicializa K centroides, asigna cada punto al centroide más cercano, recalcula los centroides como la media de los puntos asignados y repite hasta la convergencia. Por depender de distancias euclídeas, es sensible a la escala de las variables, lo que hace obligatorio el escalado previo, y asume clusters de forma aproximadamente convexa (globular).</w:t>
      </w:r>
    </w:p>
    <w:p>
      <w:pPr>
        <w:pStyle w:val="Heading2"/>
        <w:spacing w:after="90" w:before="200"/>
      </w:pPr>
      <w:r>
        <w:t xml:space="preserve">2.3. Clustering para datos categóricos: K-Modes y K-Prototypes</w:t>
      </w:r>
    </w:p>
    <w:p>
      <w:pPr>
        <w:spacing w:after="130" w:line="300"/>
        <w:jc w:val="both"/>
      </w:pPr>
      <w:r>
        <w:t xml:space="preserve">K-Means no es aplicable directamente a variables categóricas, pues la distancia euclídea entre categorías codificadas como enteros no tiene significado. K-Modes sustituye la media por la moda y la distancia euclídea por una disimilitud de coincidencias (número de atributos que no coinciden). K-Prototypes combina ambos enfoques para datos mixtos: distancia euclídea para las variables numéricas y disimilitud de coincidencias para las categóricas, equilibradas por un parámetro gamma.</w:t>
      </w:r>
    </w:p>
    <w:p>
      <w:pPr>
        <w:pStyle w:val="Heading2"/>
        <w:spacing w:after="90" w:before="200"/>
      </w:pPr>
      <w:r>
        <w:t xml:space="preserve">2.4. Preprocesamiento</w:t>
      </w:r>
    </w:p>
    <w:p>
      <w:pPr>
        <w:spacing w:after="130" w:line="300"/>
        <w:jc w:val="both"/>
      </w:pPr>
      <w:r>
        <w:t xml:space="preserve">El preprocesamiento condiciona la calidad del clustering. Comprende el manejo de valores nulos (en este proyecto, imputación por mediana, robusta ante asimetría), la detección y tratamiento de valores atípicos mediante el rango intercuartílico (IQR), que recorta los valores fuera del intervalo definido por los cuartiles, y el escalado obligatorio con StandardScaler, que transforma cada variable a media cero y desviación uno.</w:t>
      </w:r>
    </w:p>
    <w:p>
      <w:pPr>
        <w:pStyle w:val="Heading2"/>
        <w:spacing w:after="90" w:before="200"/>
      </w:pPr>
      <w:r>
        <w:t xml:space="preserve">2.5. Determinación del número de clusters</w:t>
      </w:r>
    </w:p>
    <w:p>
      <w:pPr>
        <w:spacing w:after="130" w:line="300"/>
        <w:jc w:val="both"/>
      </w:pPr>
      <w:r>
        <w:t xml:space="preserve">La elección de K es la decisión central en K-Means. El método del codo grafica la inercia frente a K y busca el punto donde las mejoras marginales disminuyen. El coeficiente de silueta mide, para cada punto, cuán similar es a su propio cluster frente al más cercano, y su promedio (entre -1 y 1) indica la calidad de la partición. El análisis de varianza explicada por los clusters expresa qué proporción de la variabilidad total de los datos queda explicada por la pertenencia a los clusters, y su curva frente a K complementa al codo.</w:t>
      </w:r>
    </w:p>
    <w:p>
      <w:pPr>
        <w:pStyle w:val="Heading2"/>
        <w:spacing w:after="90" w:before="200"/>
      </w:pPr>
      <w:r>
        <w:t xml:space="preserve">2.6. Validación interna</w:t>
      </w:r>
    </w:p>
    <w:p>
      <w:pPr>
        <w:spacing w:after="130" w:line="300"/>
        <w:jc w:val="both"/>
      </w:pPr>
      <w:r>
        <w:t xml:space="preserve">Los índices internos evalúan la partición sin etiquetas externas. El índice de Davies-Bouldin mide la relación entre la dispersión intra-cluster y la separación entre clusters; valores más bajos indican mejores particiones. El índice de Calinski-Harabasz es la razón entre la dispersión entre clusters y la dispersión intra-cluster; valores más altos indican clusters más densos y mejor separados.</w:t>
      </w:r>
    </w:p>
    <w:p>
      <w:pPr>
        <w:pStyle w:val="Heading2"/>
        <w:spacing w:after="90" w:before="200"/>
      </w:pPr>
      <w:r>
        <w:t xml:space="preserve">2.7. Reducción de dimensionalidad: PCA</w:t>
      </w:r>
    </w:p>
    <w:p>
      <w:pPr>
        <w:spacing w:after="130" w:line="300"/>
        <w:jc w:val="both"/>
      </w:pPr>
      <w:r>
        <w:t xml:space="preserve">El Análisis de Componentes Principales (PCA) proyecta los datos a un espacio de menor dimensión conservando la mayor varianza posible. Se emplea aquí para visualizar en dos dimensiones clusters definidos en un espacio de once variables, y para interpretar, mediante los pesos (loadings) de cada componente, qué variables definen cada dirección de máxima variabilidad.</w:t>
      </w:r>
    </w:p>
    <w:p>
      <w:pPr>
        <w:pStyle w:val="Heading2"/>
        <w:spacing w:after="90" w:before="200"/>
      </w:pPr>
      <w:r>
        <w:t xml:space="preserve">2.8. Metodología CRISP-DM</w:t>
      </w:r>
    </w:p>
    <w:p>
      <w:pPr>
        <w:spacing w:after="130" w:line="300"/>
        <w:jc w:val="both"/>
      </w:pPr>
      <w:r>
        <w:t xml:space="preserve">CRISP-DM (Cross-Industry Standard Process for Data Mining) es una metodología estándar para proyectos de ciencia de datos, compuesta por seis fases iterativas: comprensión del negocio, comprensión de los datos, preparación de los datos, modelado, evaluación y despliegue. Su naturaleza iterativa —los hallazgos de una fase pueden requerir volver a fases anteriores— la hace especialmente adecuada para proyectos donde la experimentación es parte del proceso. Se seleccionó como marco estructural del proyecto.</w:t>
      </w:r>
    </w:p>
    <w:p>
      <w:pPr>
        <w:pStyle w:val="Heading2"/>
        <w:spacing w:after="90" w:before="200"/>
      </w:pPr>
      <w:r>
        <w:t xml:space="preserve">2.9. Herramientas de desarrollo</w:t>
      </w:r>
    </w:p>
    <w:p>
      <w:pPr>
        <w:spacing w:after="130" w:line="300"/>
        <w:jc w:val="both"/>
      </w:pPr>
      <w:r>
        <w:t xml:space="preserve">El análisis se desarrolló en Python sobre Google Colab, utilizando pandas y numpy para el manejo de datos, matplotlib y seaborn para las visualizaciones, y scikit-learn para el modelado (KMeans, PCA, StandardScaler, métricas de validación). La librería kmodes provee K-Prototypes. El despliegue emplea FastAPI para la API REST y React con Vite para la interfaz web, con joblib para la serialización del modelo.</w:t>
      </w:r>
    </w:p>
    <w:p>
      <w:r>
        <w:br w:type="page"/>
      </w:r>
    </w:p>
    <w:p>
      <w:pPr>
        <w:pStyle w:val="Heading1"/>
        <w:spacing w:after="140" w:before="280"/>
      </w:pPr>
      <w:r>
        <w:t xml:space="preserve">Capítulo III: Ingeniería del Proyecto</w:t>
      </w:r>
    </w:p>
    <w:p>
      <w:pPr>
        <w:pStyle w:val="Heading2"/>
        <w:spacing w:after="90" w:before="200"/>
      </w:pPr>
      <w:r>
        <w:t xml:space="preserve">3.1. Desarrollo metodológico (CRISP-DM)</w:t>
      </w:r>
    </w:p>
    <w:p>
      <w:pPr>
        <w:pStyle w:val="Heading3"/>
        <w:spacing w:after="60" w:before="140"/>
      </w:pPr>
      <w:r>
        <w:t xml:space="preserve">3.1.1. Comprensión del negocio</w:t>
      </w:r>
    </w:p>
    <w:p>
      <w:pPr>
        <w:spacing w:after="130" w:line="300"/>
        <w:jc w:val="both"/>
      </w:pPr>
      <w:r>
        <w:t xml:space="preserve">El objetivo del negocio es personalizar la experiencia y el marketing de SoundFlow mediante la identificación de segmentos de usuarios homogéneos. Se identificaron como actores el equipo de marketing (que diseña campañas por segmento), el equipo de producto (que adapta la interfaz y las ofertas) y la dirección (que requiere una visión ejecutiva de los perfiles). El criterio de éxito técnico es obtener segmentos cohesionados, bien separados, interpretables y traducibles en estrategias concretas.</w:t>
      </w:r>
    </w:p>
    <w:p>
      <w:pPr>
        <w:pStyle w:val="Heading3"/>
        <w:spacing w:after="60" w:before="140"/>
      </w:pPr>
      <w:r>
        <w:t xml:space="preserve">3.1.2. Comprensión de los datos</w:t>
      </w:r>
    </w:p>
    <w:p>
      <w:pPr>
        <w:spacing w:after="130" w:line="300"/>
        <w:jc w:val="both"/>
      </w:pPr>
      <w:r>
        <w:t xml:space="preserve">Se trabajó con dos fuentes. La principal es un conjunto sintético de 10.000 usuarios con once variables de comportamiento: horas de escucha semanales, porcentajes de escucha por género (rock, pop, electrónica, clásica), porcentaje de artistas nuevos, porcentaje de playlists propias, horario predominante, me gusta por semana, porcentaje de canciones saltadas y playlists creadas. El conjunto se generó a partir de cinco perfiles latentes con ruido y solape realistas, de modo que la estructura existe pero debe ser descubierta por el algoritmo. La fuente secundaria es la encuesta real Spotify User Behavior (520 respuestas, veinte variables mayoritariamente categóricas), reservada para el track de K-Prototypes.</w:t>
      </w:r>
    </w:p>
    <w:p>
      <w:pPr>
        <w:spacing w:after="130" w:line="300"/>
        <w:jc w:val="both"/>
      </w:pPr>
      <w:r>
        <w:t xml:space="preserve">El análisis exploratorio confirmó la composición de los porcentajes de género (suman aproximadamente 100% por usuario), la distribución de las variables y la presencia de aproximadamente un 1,5% de valores nulos inyectados deliberadamente para ejercitar la imputación.</w:t>
      </w:r>
    </w:p>
    <w:p>
      <w:pPr>
        <w:pStyle w:val="Heading3"/>
        <w:spacing w:after="60" w:before="140"/>
      </w:pPr>
      <w:r>
        <w:t xml:space="preserve">3.1.3. Preparación de los datos</w:t>
      </w:r>
    </w:p>
    <w:p>
      <w:pPr>
        <w:spacing w:after="130" w:line="300"/>
        <w:jc w:val="both"/>
      </w:pPr>
      <w:r>
        <w:t xml:space="preserve">Se imputaron los valores nulos por la mediana de cada variable. Se detectaron y recortaron los valores atípicos mediante el rango intercuartílico (IQR) sobre las variables de conteo y porcentaje. Finalmente se aplicó StandardScaler a las once variables, dejándolas con media cero y desviación uno, requisito imprescindible dada la sensibilidad de K-Means a la escala. El escalador se serializó para reutilizarlo en el despliegue.</w:t>
      </w:r>
    </w:p>
    <w:p>
      <w:pPr>
        <w:pStyle w:val="Heading3"/>
        <w:spacing w:after="60" w:before="140"/>
      </w:pPr>
      <w:r>
        <w:t xml:space="preserve">3.1.4. Modelado</w:t>
      </w:r>
    </w:p>
    <w:p>
      <w:pPr>
        <w:spacing w:after="130" w:line="300"/>
        <w:jc w:val="both"/>
      </w:pPr>
      <w:r>
        <w:t xml:space="preserve">Para determinar el número óptimo de clusters se evaluó K de 2 a 10 mediante el método del codo, el coeficiente de silueta y la varianza explicada por los clusters. Los tres criterios coincidieron en K = 5: la silueta alcanza su máximo (0,259), la curva de varianza explicada salta hasta el 50,8% en K = 5 y se aplana a partir de allí (apenas +1,5% en K = 6). Se entrenó el modelo K-Means final con cinco clusters. Para la visualización se proyectaron los datos a dos dimensiones con PCA, cuyos dos primeros componentes explican en conjunto alrededor del 43% de la varianza.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shd w:fill="1DB954" w:color="auto" w:val="clear"/>
          </w:tcPr>
          <w:p>
            <w:r>
              <w:rPr>
                <w:b/>
                <w:bCs/>
                <w:color w:val="FFFFFF"/>
                <w:sz w:val="19"/>
                <w:szCs w:val="19"/>
              </w:rPr>
              <w:t xml:space="preserve">Criterio</w:t>
            </w:r>
          </w:p>
        </w:tc>
        <w:tc>
          <w:tcPr>
            <w:tcW w:type="dxa" w:w="1320"/>
            <w:shd w:fill="1DB954" w:color="auto" w:val="clear"/>
          </w:tcPr>
          <w:p>
            <w:r>
              <w:rPr>
                <w:b/>
                <w:bCs/>
                <w:color w:val="FFFFFF"/>
                <w:sz w:val="19"/>
                <w:szCs w:val="19"/>
              </w:rPr>
              <w:t xml:space="preserve">K=2</w:t>
            </w:r>
          </w:p>
        </w:tc>
        <w:tc>
          <w:tcPr>
            <w:tcW w:type="dxa" w:w="1320"/>
            <w:shd w:fill="1DB954" w:color="auto" w:val="clear"/>
          </w:tcPr>
          <w:p>
            <w:r>
              <w:rPr>
                <w:b/>
                <w:bCs/>
                <w:color w:val="FFFFFF"/>
                <w:sz w:val="19"/>
                <w:szCs w:val="19"/>
              </w:rPr>
              <w:t xml:space="preserve">K=3</w:t>
            </w:r>
          </w:p>
        </w:tc>
        <w:tc>
          <w:tcPr>
            <w:tcW w:type="dxa" w:w="1320"/>
            <w:shd w:fill="1DB954" w:color="auto" w:val="clear"/>
          </w:tcPr>
          <w:p>
            <w:r>
              <w:rPr>
                <w:b/>
                <w:bCs/>
                <w:color w:val="FFFFFF"/>
                <w:sz w:val="19"/>
                <w:szCs w:val="19"/>
              </w:rPr>
              <w:t xml:space="preserve">K=4</w:t>
            </w:r>
          </w:p>
        </w:tc>
        <w:tc>
          <w:tcPr>
            <w:tcW w:type="dxa" w:w="1320"/>
            <w:shd w:fill="1DB954" w:color="auto" w:val="clear"/>
          </w:tcPr>
          <w:p>
            <w:r>
              <w:rPr>
                <w:b/>
                <w:bCs/>
                <w:color w:val="FFFFFF"/>
                <w:sz w:val="19"/>
                <w:szCs w:val="19"/>
              </w:rPr>
              <w:t xml:space="preserve">K=5</w:t>
            </w:r>
          </w:p>
        </w:tc>
        <w:tc>
          <w:tcPr>
            <w:tcW w:type="dxa" w:w="1320"/>
            <w:shd w:fill="1DB954" w:color="auto" w:val="clear"/>
          </w:tcPr>
          <w:p>
            <w:r>
              <w:rPr>
                <w:b/>
                <w:bCs/>
                <w:color w:val="FFFFFF"/>
                <w:sz w:val="19"/>
                <w:szCs w:val="19"/>
              </w:rPr>
              <w:t xml:space="preserve">K=6</w:t>
            </w:r>
          </w:p>
        </w:tc>
      </w:tr>
      <w:tr>
        <w:tc>
          <w:tcPr>
            <w:tcW w:type="dxa" w:w="2760"/>
          </w:tcPr>
          <w:p>
            <w:r>
              <w:rPr>
                <w:sz w:val="19"/>
                <w:szCs w:val="19"/>
              </w:rPr>
              <w:t xml:space="preserve">Silueta</w:t>
            </w:r>
          </w:p>
        </w:tc>
        <w:tc>
          <w:tcPr>
            <w:tcW w:type="dxa" w:w="1320"/>
          </w:tcPr>
          <w:p>
            <w:r>
              <w:rPr>
                <w:sz w:val="19"/>
                <w:szCs w:val="19"/>
              </w:rPr>
              <w:t xml:space="preserve">0.181</w:t>
            </w:r>
          </w:p>
        </w:tc>
        <w:tc>
          <w:tcPr>
            <w:tcW w:type="dxa" w:w="1320"/>
          </w:tcPr>
          <w:p>
            <w:r>
              <w:rPr>
                <w:sz w:val="19"/>
                <w:szCs w:val="19"/>
              </w:rPr>
              <w:t xml:space="preserve">0.224</w:t>
            </w:r>
          </w:p>
        </w:tc>
        <w:tc>
          <w:tcPr>
            <w:tcW w:type="dxa" w:w="1320"/>
          </w:tcPr>
          <w:p>
            <w:r>
              <w:rPr>
                <w:sz w:val="19"/>
                <w:szCs w:val="19"/>
              </w:rPr>
              <w:t xml:space="preserve">0.244</w:t>
            </w:r>
          </w:p>
        </w:tc>
        <w:tc>
          <w:tcPr>
            <w:tcW w:type="dxa" w:w="1320"/>
          </w:tcPr>
          <w:p>
            <w:r>
              <w:rPr>
                <w:sz w:val="19"/>
                <w:szCs w:val="19"/>
              </w:rPr>
              <w:t xml:space="preserve">0.259</w:t>
            </w:r>
          </w:p>
        </w:tc>
        <w:tc>
          <w:tcPr>
            <w:tcW w:type="dxa" w:w="1320"/>
          </w:tcPr>
          <w:p>
            <w:r>
              <w:rPr>
                <w:sz w:val="19"/>
                <w:szCs w:val="19"/>
              </w:rPr>
              <w:t xml:space="preserve">0.223</w:t>
            </w:r>
          </w:p>
        </w:tc>
      </w:tr>
      <w:tr>
        <w:tc>
          <w:tcPr>
            <w:tcW w:type="dxa" w:w="2760"/>
            <w:shd w:fill="F1F3F4" w:color="auto" w:val="clear"/>
          </w:tcPr>
          <w:p>
            <w:r>
              <w:rPr>
                <w:sz w:val="19"/>
                <w:szCs w:val="19"/>
              </w:rPr>
              <w:t xml:space="preserve">Var. explicada (%)</w:t>
            </w:r>
          </w:p>
        </w:tc>
        <w:tc>
          <w:tcPr>
            <w:tcW w:type="dxa" w:w="1320"/>
            <w:shd w:fill="F1F3F4" w:color="auto" w:val="clear"/>
          </w:tcPr>
          <w:p>
            <w:r>
              <w:rPr>
                <w:sz w:val="19"/>
                <w:szCs w:val="19"/>
              </w:rPr>
              <w:t xml:space="preserve">18.3</w:t>
            </w:r>
          </w:p>
        </w:tc>
        <w:tc>
          <w:tcPr>
            <w:tcW w:type="dxa" w:w="1320"/>
            <w:shd w:fill="F1F3F4" w:color="auto" w:val="clear"/>
          </w:tcPr>
          <w:p>
            <w:r>
              <w:rPr>
                <w:sz w:val="19"/>
                <w:szCs w:val="19"/>
              </w:rPr>
              <w:t xml:space="preserve">33.1</w:t>
            </w:r>
          </w:p>
        </w:tc>
        <w:tc>
          <w:tcPr>
            <w:tcW w:type="dxa" w:w="1320"/>
            <w:shd w:fill="F1F3F4" w:color="auto" w:val="clear"/>
          </w:tcPr>
          <w:p>
            <w:r>
              <w:rPr>
                <w:sz w:val="19"/>
                <w:szCs w:val="19"/>
              </w:rPr>
              <w:t xml:space="preserve">42.0</w:t>
            </w:r>
          </w:p>
        </w:tc>
        <w:tc>
          <w:tcPr>
            <w:tcW w:type="dxa" w:w="1320"/>
            <w:shd w:fill="F1F3F4" w:color="auto" w:val="clear"/>
          </w:tcPr>
          <w:p>
            <w:r>
              <w:rPr>
                <w:sz w:val="19"/>
                <w:szCs w:val="19"/>
              </w:rPr>
              <w:t xml:space="preserve">50.8</w:t>
            </w:r>
          </w:p>
        </w:tc>
        <w:tc>
          <w:tcPr>
            <w:tcW w:type="dxa" w:w="1320"/>
            <w:shd w:fill="F1F3F4" w:color="auto" w:val="clear"/>
          </w:tcPr>
          <w:p>
            <w:r>
              <w:rPr>
                <w:sz w:val="19"/>
                <w:szCs w:val="19"/>
              </w:rPr>
              <w:t xml:space="preserve">52.3</w:t>
            </w:r>
          </w:p>
        </w:tc>
      </w:tr>
    </w:tbl>
    <w:p>
      <w:pPr>
        <w:spacing w:after="160"/>
        <w:jc w:val="center"/>
      </w:pPr>
      <w:r>
        <w:rPr>
          <w:i/>
          <w:iCs/>
          <w:color w:val="666666"/>
          <w:sz w:val="18"/>
          <w:szCs w:val="18"/>
        </w:rPr>
        <w:t xml:space="preserve">Tabla 1. Selección de K por silueta y varianza explicada. El óptimo es K=5.</w:t>
      </w:r>
    </w:p>
    <w:p>
      <w:pPr>
        <w:pStyle w:val="Heading3"/>
        <w:spacing w:after="60" w:before="140"/>
      </w:pPr>
      <w:r>
        <w:t xml:space="preserve">3.1.5. Evaluación e interpretación</w:t>
      </w:r>
    </w:p>
    <w:p>
      <w:pPr>
        <w:spacing w:after="130" w:line="300"/>
        <w:jc w:val="both"/>
      </w:pPr>
      <w:r>
        <w:t xml:space="preserve">La solución en cinco clusters fue validada internamente y por su estabilidad. El coeficiente de silueta global es 0,259, el índice de Davies-Bouldin 1,42 (menor es mejor) y el Calinski-Harabasz 2576 (mayor es mejor). La partición explica el 50,8% de la varianza total. El análisis de estabilidad por bootstrapping (20 remuestreos) arrojó un ARI medio de 0,993, indicando clusters muy consistentes ante re-muestreo. Como el conjunto es sintético, se calculó además el ARI frente a los perfiles latentes reales, obteniendo 0,909: el pipeline no supervisado recupera la estructura plantada, lo que valida la metodología.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DB954" w:color="auto" w:val="clear"/>
          </w:tcPr>
          <w:p>
            <w:r>
              <w:rPr>
                <w:b/>
                <w:bCs/>
                <w:color w:val="FFFFFF"/>
                <w:sz w:val="19"/>
                <w:szCs w:val="19"/>
              </w:rPr>
              <w:t xml:space="preserve">Modelo</w:t>
            </w:r>
          </w:p>
        </w:tc>
        <w:tc>
          <w:tcPr>
            <w:tcW w:type="dxa" w:w="1650"/>
            <w:shd w:fill="1DB954" w:color="auto" w:val="clear"/>
          </w:tcPr>
          <w:p>
            <w:r>
              <w:rPr>
                <w:b/>
                <w:bCs/>
                <w:color w:val="FFFFFF"/>
                <w:sz w:val="19"/>
                <w:szCs w:val="19"/>
              </w:rPr>
              <w:t xml:space="preserve">N.º clusters</w:t>
            </w:r>
          </w:p>
        </w:tc>
        <w:tc>
          <w:tcPr>
            <w:tcW w:type="dxa" w:w="1650"/>
            <w:shd w:fill="1DB954" w:color="auto" w:val="clear"/>
          </w:tcPr>
          <w:p>
            <w:r>
              <w:rPr>
                <w:b/>
                <w:bCs/>
                <w:color w:val="FFFFFF"/>
                <w:sz w:val="19"/>
                <w:szCs w:val="19"/>
              </w:rPr>
              <w:t xml:space="preserve">Silueta</w:t>
            </w:r>
          </w:p>
        </w:tc>
        <w:tc>
          <w:tcPr>
            <w:tcW w:type="dxa" w:w="1650"/>
            <w:shd w:fill="1DB954" w:color="auto" w:val="clear"/>
          </w:tcPr>
          <w:p>
            <w:r>
              <w:rPr>
                <w:b/>
                <w:bCs/>
                <w:color w:val="FFFFFF"/>
                <w:sz w:val="19"/>
                <w:szCs w:val="19"/>
              </w:rPr>
              <w:t xml:space="preserve">Davies-Bouldin</w:t>
            </w:r>
          </w:p>
        </w:tc>
        <w:tc>
          <w:tcPr>
            <w:tcW w:type="dxa" w:w="1650"/>
            <w:shd w:fill="1DB954" w:color="auto" w:val="clear"/>
          </w:tcPr>
          <w:p>
            <w:r>
              <w:rPr>
                <w:b/>
                <w:bCs/>
                <w:color w:val="FFFFFF"/>
                <w:sz w:val="19"/>
                <w:szCs w:val="19"/>
              </w:rPr>
              <w:t xml:space="preserve">Calinski-Harabasz</w:t>
            </w:r>
          </w:p>
        </w:tc>
      </w:tr>
      <w:tr>
        <w:tc>
          <w:tcPr>
            <w:tcW w:type="dxa" w:w="2760"/>
          </w:tcPr>
          <w:p>
            <w:r>
              <w:rPr>
                <w:sz w:val="19"/>
                <w:szCs w:val="19"/>
              </w:rPr>
              <w:t xml:space="preserve">K-Means</w:t>
            </w:r>
          </w:p>
        </w:tc>
        <w:tc>
          <w:tcPr>
            <w:tcW w:type="dxa" w:w="1650"/>
          </w:tcPr>
          <w:p>
            <w:r>
              <w:rPr>
                <w:sz w:val="19"/>
                <w:szCs w:val="19"/>
              </w:rPr>
              <w:t xml:space="preserve">5</w:t>
            </w:r>
          </w:p>
        </w:tc>
        <w:tc>
          <w:tcPr>
            <w:tcW w:type="dxa" w:w="1650"/>
          </w:tcPr>
          <w:p>
            <w:r>
              <w:rPr>
                <w:sz w:val="19"/>
                <w:szCs w:val="19"/>
              </w:rPr>
              <w:t xml:space="preserve">0.259</w:t>
            </w:r>
          </w:p>
        </w:tc>
        <w:tc>
          <w:tcPr>
            <w:tcW w:type="dxa" w:w="1650"/>
          </w:tcPr>
          <w:p>
            <w:r>
              <w:rPr>
                <w:sz w:val="19"/>
                <w:szCs w:val="19"/>
              </w:rPr>
              <w:t xml:space="preserve">1.419</w:t>
            </w:r>
          </w:p>
        </w:tc>
        <w:tc>
          <w:tcPr>
            <w:tcW w:type="dxa" w:w="1650"/>
          </w:tcPr>
          <w:p>
            <w:r>
              <w:rPr>
                <w:sz w:val="19"/>
                <w:szCs w:val="19"/>
              </w:rPr>
              <w:t xml:space="preserve">773.9</w:t>
            </w:r>
          </w:p>
        </w:tc>
      </w:tr>
      <w:tr>
        <w:tc>
          <w:tcPr>
            <w:tcW w:type="dxa" w:w="2760"/>
            <w:shd w:fill="F1F3F4" w:color="auto" w:val="clear"/>
          </w:tcPr>
          <w:p>
            <w:r>
              <w:rPr>
                <w:sz w:val="19"/>
                <w:szCs w:val="19"/>
              </w:rPr>
              <w:t xml:space="preserve">Jerárquico aglomerativo</w:t>
            </w:r>
          </w:p>
        </w:tc>
        <w:tc>
          <w:tcPr>
            <w:tcW w:type="dxa" w:w="1650"/>
            <w:shd w:fill="F1F3F4" w:color="auto" w:val="clear"/>
          </w:tcPr>
          <w:p>
            <w:r>
              <w:rPr>
                <w:sz w:val="19"/>
                <w:szCs w:val="19"/>
              </w:rPr>
              <w:t xml:space="preserve">5</w:t>
            </w:r>
          </w:p>
        </w:tc>
        <w:tc>
          <w:tcPr>
            <w:tcW w:type="dxa" w:w="1650"/>
            <w:shd w:fill="F1F3F4" w:color="auto" w:val="clear"/>
          </w:tcPr>
          <w:p>
            <w:r>
              <w:rPr>
                <w:sz w:val="19"/>
                <w:szCs w:val="19"/>
              </w:rPr>
              <w:t xml:space="preserve">0.247</w:t>
            </w:r>
          </w:p>
        </w:tc>
        <w:tc>
          <w:tcPr>
            <w:tcW w:type="dxa" w:w="1650"/>
            <w:shd w:fill="F1F3F4" w:color="auto" w:val="clear"/>
          </w:tcPr>
          <w:p>
            <w:r>
              <w:rPr>
                <w:sz w:val="19"/>
                <w:szCs w:val="19"/>
              </w:rPr>
              <w:t xml:space="preserve">1.473</w:t>
            </w:r>
          </w:p>
        </w:tc>
        <w:tc>
          <w:tcPr>
            <w:tcW w:type="dxa" w:w="1650"/>
            <w:shd w:fill="F1F3F4" w:color="auto" w:val="clear"/>
          </w:tcPr>
          <w:p>
            <w:r>
              <w:rPr>
                <w:sz w:val="19"/>
                <w:szCs w:val="19"/>
              </w:rPr>
              <w:t xml:space="preserve">738.6</w:t>
            </w:r>
          </w:p>
        </w:tc>
      </w:tr>
      <w:tr>
        <w:tc>
          <w:tcPr>
            <w:tcW w:type="dxa" w:w="2760"/>
          </w:tcPr>
          <w:p>
            <w:r>
              <w:rPr>
                <w:sz w:val="19"/>
                <w:szCs w:val="19"/>
              </w:rPr>
              <w:t xml:space="preserve">DBSCAN</w:t>
            </w:r>
          </w:p>
        </w:tc>
        <w:tc>
          <w:tcPr>
            <w:tcW w:type="dxa" w:w="1650"/>
          </w:tcPr>
          <w:p>
            <w:r>
              <w:rPr>
                <w:sz w:val="19"/>
                <w:szCs w:val="19"/>
              </w:rPr>
              <w:t xml:space="preserve">1</w:t>
            </w:r>
          </w:p>
        </w:tc>
        <w:tc>
          <w:tcPr>
            <w:tcW w:type="dxa" w:w="1650"/>
          </w:tcPr>
          <w:p>
            <w:r>
              <w:rPr>
                <w:sz w:val="19"/>
                <w:szCs w:val="19"/>
              </w:rPr>
              <w:t xml:space="preserve">N/A</w:t>
            </w:r>
          </w:p>
        </w:tc>
        <w:tc>
          <w:tcPr>
            <w:tcW w:type="dxa" w:w="1650"/>
          </w:tcPr>
          <w:p>
            <w:r>
              <w:rPr>
                <w:sz w:val="19"/>
                <w:szCs w:val="19"/>
              </w:rPr>
              <w:t xml:space="preserve">N/A</w:t>
            </w:r>
          </w:p>
        </w:tc>
        <w:tc>
          <w:tcPr>
            <w:tcW w:type="dxa" w:w="1650"/>
          </w:tcPr>
          <w:p>
            <w:r>
              <w:rPr>
                <w:sz w:val="19"/>
                <w:szCs w:val="19"/>
              </w:rPr>
              <w:t xml:space="preserve">N/A</w:t>
            </w:r>
          </w:p>
        </w:tc>
      </w:tr>
    </w:tbl>
    <w:p>
      <w:pPr>
        <w:spacing w:after="160"/>
        <w:jc w:val="center"/>
      </w:pPr>
      <w:r>
        <w:rPr>
          <w:i/>
          <w:iCs/>
          <w:color w:val="666666"/>
          <w:sz w:val="18"/>
          <w:szCs w:val="18"/>
        </w:rPr>
        <w:t xml:space="preserve">Tabla 2. Comparación de modelos (submuestra de 3.000 usuarios).</w:t>
      </w:r>
    </w:p>
    <w:p>
      <w:pPr>
        <w:spacing w:after="130" w:line="300"/>
        <w:jc w:val="both"/>
      </w:pPr>
      <w:r>
        <w:t xml:space="preserve">La comparación de modelos confirma la elección. K-Means supera al clustering jerárquico aglomerativo en los tres índices. DBSCAN, con el eps sugerido por la curva de k-distancias, colapsa en un único cluster; reducir el eps no lo mejora, solo fragmenta marcando gran parte de los puntos como ruido. Este comportamiento es esperable: DBSCAN busca regiones densas separadas por zonas vacías, mientras que los segmentos de este problema son globulares y solapados. El contraste evidencia que K-Means es el algoritmo apropiado para estos datos.</w:t>
      </w:r>
    </w:p>
    <w:p>
      <w:pPr>
        <w:spacing w:after="130" w:line="300"/>
        <w:jc w:val="both"/>
      </w:pPr>
      <w:r>
        <w:t xml:space="preserve">Cada cluster fue perfilado mediante sus centroides en unidades originales, la tabla de promedios por variable, radar charts y boxplots comparativos, y recibió un nombre y una narrativa descriptiva. Los cinco segmentos identificados son: Descubridores nocturnos, Clásicos de fin de semana, Usuario de fondo, Fans del pop diurno y Rockeros intensos.</w:t>
      </w:r>
    </w:p>
    <w:p>
      <w:pPr>
        <w:pStyle w:val="Heading3"/>
        <w:spacing w:after="60" w:before="140"/>
      </w:pPr>
      <w:r>
        <w:t xml:space="preserve">3.1.6. Despliegue</w:t>
      </w:r>
    </w:p>
    <w:p>
      <w:pPr>
        <w:spacing w:after="130" w:line="300"/>
        <w:jc w:val="both"/>
      </w:pPr>
      <w:r>
        <w:t xml:space="preserve">El modelo entrenado se serializó con joblib en cuatro artefactos: el escalador, el modelo K-Means, el mapa de nombres de segmento y la lista de variables. Estos artefactos se cargan en memoria al iniciar la API. Se definió además una tabla de estrategias de personalización por segmento (tipo de playlists, oferta de suscripción y horario óptimo de notificación) y una función que asigna un usuario nuevo a su segmento y devuelve la estrategia correspondiente.</w:t>
      </w:r>
    </w:p>
    <w:p>
      <w:pPr>
        <w:pStyle w:val="Heading2"/>
        <w:spacing w:after="90" w:before="200"/>
      </w:pPr>
      <w:r>
        <w:t xml:space="preserve">3.2. Arquitectura del sistema</w:t>
      </w:r>
    </w:p>
    <w:p>
      <w:pPr>
        <w:pStyle w:val="Heading3"/>
        <w:spacing w:after="60" w:before="140"/>
      </w:pPr>
      <w:r>
        <w:t xml:space="preserve">3.2.1. Arquitectura lógica</w:t>
      </w:r>
    </w:p>
    <w:p>
      <w:pPr>
        <w:spacing w:after="130" w:line="300"/>
        <w:jc w:val="both"/>
      </w:pPr>
      <w:r>
        <w:t xml:space="preserve">La arquitectura sigue un diseño de tres capas que separa presentación, lógica de negocio y datos. La capa de presentación es una interfaz React con Vite: un formulario con las once variables de comportamiento y un panel que muestra el segmento asignado y su estrategia. La capa de negocio es una API FastAPI cuyo endpoint /segment valida la entrada con Pydantic, la escala con el escalador entrenado, predice el cluster con el modelo K-Means y devuelve el segmento y la estrategia. La capa de datos la constituyen los artefactos serializados del modelo, cargados en memoria para servir predicciones con baja latencia.</w:t>
      </w:r>
    </w:p>
    <w:p>
      <w:pPr>
        <w:pStyle w:val="Heading3"/>
        <w:spacing w:after="60" w:before="140"/>
      </w:pPr>
      <w:r>
        <w:t xml:space="preserve">3.2.2. Arquitectura física y despliegue</w:t>
      </w:r>
    </w:p>
    <w:p>
      <w:pPr>
        <w:spacing w:after="130" w:line="300"/>
        <w:jc w:val="both"/>
      </w:pPr>
      <w:r>
        <w:t xml:space="preserve">El sistema se organiza en tres servicios que pueden ejecutarse en una misma máquina durante el desarrollo. El flujo de comunicación es: el usuario ingresa el perfil en la interfaz React; el frontend envía una petición HTTP POST a la API; la API procesa y predice; y devuelve el resultado en formato JSON, que el frontend renderiza.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DB954" w:color="auto" w:val="clear"/>
          </w:tcPr>
          <w:p>
            <w:r>
              <w:rPr>
                <w:b/>
                <w:bCs/>
                <w:color w:val="FFFFFF"/>
                <w:sz w:val="19"/>
                <w:szCs w:val="19"/>
              </w:rPr>
              <w:t xml:space="preserve">Servicio</w:t>
            </w:r>
          </w:p>
        </w:tc>
        <w:tc>
          <w:tcPr>
            <w:tcW w:type="dxa" w:w="3120"/>
            <w:shd w:fill="1DB954" w:color="auto" w:val="clear"/>
          </w:tcPr>
          <w:p>
            <w:r>
              <w:rPr>
                <w:b/>
                <w:bCs/>
                <w:color w:val="FFFFFF"/>
                <w:sz w:val="19"/>
                <w:szCs w:val="19"/>
              </w:rPr>
              <w:t xml:space="preserve">Puerto</w:t>
            </w:r>
          </w:p>
        </w:tc>
        <w:tc>
          <w:tcPr>
            <w:tcW w:type="dxa" w:w="3120"/>
            <w:shd w:fill="1DB954" w:color="auto" w:val="clear"/>
          </w:tcPr>
          <w:p>
            <w:r>
              <w:rPr>
                <w:b/>
                <w:bCs/>
                <w:color w:val="FFFFFF"/>
                <w:sz w:val="19"/>
                <w:szCs w:val="19"/>
              </w:rPr>
              <w:t xml:space="preserve">Tecnología</w:t>
            </w:r>
          </w:p>
        </w:tc>
      </w:tr>
      <w:tr>
        <w:tc>
          <w:tcPr>
            <w:tcW w:type="dxa" w:w="3120"/>
          </w:tcPr>
          <w:p>
            <w:r>
              <w:rPr>
                <w:sz w:val="19"/>
                <w:szCs w:val="19"/>
              </w:rPr>
              <w:t xml:space="preserve">Frontend web</w:t>
            </w:r>
          </w:p>
        </w:tc>
        <w:tc>
          <w:tcPr>
            <w:tcW w:type="dxa" w:w="3120"/>
          </w:tcPr>
          <w:p>
            <w:r>
              <w:rPr>
                <w:sz w:val="19"/>
                <w:szCs w:val="19"/>
              </w:rPr>
              <w:t xml:space="preserve">5173</w:t>
            </w:r>
          </w:p>
        </w:tc>
        <w:tc>
          <w:tcPr>
            <w:tcW w:type="dxa" w:w="3120"/>
          </w:tcPr>
          <w:p>
            <w:r>
              <w:rPr>
                <w:sz w:val="19"/>
                <w:szCs w:val="19"/>
              </w:rPr>
              <w:t xml:space="preserve">React + Vite</w:t>
            </w:r>
          </w:p>
        </w:tc>
      </w:tr>
      <w:tr>
        <w:tc>
          <w:tcPr>
            <w:tcW w:type="dxa" w:w="3120"/>
            <w:shd w:fill="F1F3F4" w:color="auto" w:val="clear"/>
          </w:tcPr>
          <w:p>
            <w:r>
              <w:rPr>
                <w:sz w:val="19"/>
                <w:szCs w:val="19"/>
              </w:rPr>
              <w:t xml:space="preserve">API backend</w:t>
            </w:r>
          </w:p>
        </w:tc>
        <w:tc>
          <w:tcPr>
            <w:tcW w:type="dxa" w:w="3120"/>
            <w:shd w:fill="F1F3F4" w:color="auto" w:val="clear"/>
          </w:tcPr>
          <w:p>
            <w:r>
              <w:rPr>
                <w:sz w:val="19"/>
                <w:szCs w:val="19"/>
              </w:rPr>
              <w:t xml:space="preserve">8000</w:t>
            </w:r>
          </w:p>
        </w:tc>
        <w:tc>
          <w:tcPr>
            <w:tcW w:type="dxa" w:w="3120"/>
            <w:shd w:fill="F1F3F4" w:color="auto" w:val="clear"/>
          </w:tcPr>
          <w:p>
            <w:r>
              <w:rPr>
                <w:sz w:val="19"/>
                <w:szCs w:val="19"/>
              </w:rPr>
              <w:t xml:space="preserve">FastAPI + Uvicorn</w:t>
            </w:r>
          </w:p>
        </w:tc>
      </w:tr>
      <w:tr>
        <w:tc>
          <w:tcPr>
            <w:tcW w:type="dxa" w:w="3120"/>
          </w:tcPr>
          <w:p>
            <w:r>
              <w:rPr>
                <w:sz w:val="19"/>
                <w:szCs w:val="19"/>
              </w:rPr>
              <w:t xml:space="preserve">Entorno de análisis</w:t>
            </w:r>
          </w:p>
        </w:tc>
        <w:tc>
          <w:tcPr>
            <w:tcW w:type="dxa" w:w="3120"/>
          </w:tcPr>
          <w:p>
            <w:r>
              <w:rPr>
                <w:sz w:val="19"/>
                <w:szCs w:val="19"/>
              </w:rPr>
              <w:t xml:space="preserve">—</w:t>
            </w:r>
          </w:p>
        </w:tc>
        <w:tc>
          <w:tcPr>
            <w:tcW w:type="dxa" w:w="3120"/>
          </w:tcPr>
          <w:p>
            <w:r>
              <w:rPr>
                <w:sz w:val="19"/>
                <w:szCs w:val="19"/>
              </w:rPr>
              <w:t xml:space="preserve">Google Colab / JupyterLab</w:t>
            </w:r>
          </w:p>
        </w:tc>
      </w:tr>
    </w:tbl>
    <w:p>
      <w:pPr>
        <w:spacing w:after="160"/>
        <w:jc w:val="center"/>
      </w:pPr>
      <w:r>
        <w:rPr>
          <w:i/>
          <w:iCs/>
          <w:color w:val="666666"/>
          <w:sz w:val="18"/>
          <w:szCs w:val="18"/>
        </w:rPr>
        <w:t xml:space="preserve">Tabla 3. Servicios del sistema SoundCluster.</w:t>
      </w:r>
    </w:p>
    <w:p>
      <w:pPr>
        <w:pStyle w:val="Heading2"/>
        <w:spacing w:after="90" w:before="200"/>
      </w:pPr>
      <w:r>
        <w:t xml:space="preserve">3.3. Reporte ejecutivo</w:t>
      </w:r>
    </w:p>
    <w:p>
      <w:pPr>
        <w:spacing w:after="130" w:line="300"/>
        <w:jc w:val="both"/>
      </w:pPr>
      <w:r>
        <w:t xml:space="preserve">SoundFlow puede ahora personalizar su plataforma a partir de cinco segmentos de usuarios claramente diferenciados. Para cada uno se define una estrategia concreta de producto y marketing: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600"/>
        <w:gridCol w:w="2210"/>
        <w:gridCol w:w="2210"/>
      </w:tblGrid>
      <w:tr>
        <w:trPr>
          <w:tblHeader/>
        </w:trPr>
        <w:tc>
          <w:tcPr>
            <w:tcW w:type="dxa" w:w="2340"/>
            <w:shd w:fill="1DB954" w:color="auto" w:val="clear"/>
          </w:tcPr>
          <w:p>
            <w:r>
              <w:rPr>
                <w:b/>
                <w:bCs/>
                <w:color w:val="FFFFFF"/>
                <w:sz w:val="19"/>
                <w:szCs w:val="19"/>
              </w:rPr>
              <w:t xml:space="preserve">Segmento</w:t>
            </w:r>
          </w:p>
        </w:tc>
        <w:tc>
          <w:tcPr>
            <w:tcW w:type="dxa" w:w="2600"/>
            <w:shd w:fill="1DB954" w:color="auto" w:val="clear"/>
          </w:tcPr>
          <w:p>
            <w:r>
              <w:rPr>
                <w:b/>
                <w:bCs/>
                <w:color w:val="FFFFFF"/>
                <w:sz w:val="19"/>
                <w:szCs w:val="19"/>
              </w:rPr>
              <w:t xml:space="preserve">Playlists</w:t>
            </w:r>
          </w:p>
        </w:tc>
        <w:tc>
          <w:tcPr>
            <w:tcW w:type="dxa" w:w="2210"/>
            <w:shd w:fill="1DB954" w:color="auto" w:val="clear"/>
          </w:tcPr>
          <w:p>
            <w:r>
              <w:rPr>
                <w:b/>
                <w:bCs/>
                <w:color w:val="FFFFFF"/>
                <w:sz w:val="19"/>
                <w:szCs w:val="19"/>
              </w:rPr>
              <w:t xml:space="preserve">Oferta</w:t>
            </w:r>
          </w:p>
        </w:tc>
        <w:tc>
          <w:tcPr>
            <w:tcW w:type="dxa" w:w="2210"/>
            <w:shd w:fill="1DB954" w:color="auto" w:val="clear"/>
          </w:tcPr>
          <w:p>
            <w:r>
              <w:rPr>
                <w:b/>
                <w:bCs/>
                <w:color w:val="FFFFFF"/>
                <w:sz w:val="19"/>
                <w:szCs w:val="19"/>
              </w:rPr>
              <w:t xml:space="preserve">Notificación</w:t>
            </w:r>
          </w:p>
        </w:tc>
      </w:tr>
      <w:tr>
        <w:tc>
          <w:tcPr>
            <w:tcW w:type="dxa" w:w="2340"/>
          </w:tcPr>
          <w:p>
            <w:r>
              <w:rPr>
                <w:sz w:val="19"/>
                <w:szCs w:val="19"/>
              </w:rPr>
              <w:t xml:space="preserve">Descubridores nocturnos</w:t>
            </w:r>
          </w:p>
        </w:tc>
        <w:tc>
          <w:tcPr>
            <w:tcW w:type="dxa" w:w="2600"/>
          </w:tcPr>
          <w:p>
            <w:r>
              <w:rPr>
                <w:sz w:val="19"/>
                <w:szCs w:val="19"/>
              </w:rPr>
              <w:t xml:space="preserve">Novedades y descubrimiento (electrónica/indie)</w:t>
            </w:r>
          </w:p>
        </w:tc>
        <w:tc>
          <w:tcPr>
            <w:tcW w:type="dxa" w:w="2210"/>
          </w:tcPr>
          <w:p>
            <w:r>
              <w:rPr>
                <w:sz w:val="19"/>
                <w:szCs w:val="19"/>
              </w:rPr>
              <w:t xml:space="preserve">Plan Audiófilo (alta fidelidad)</w:t>
            </w:r>
          </w:p>
        </w:tc>
        <w:tc>
          <w:tcPr>
            <w:tcW w:type="dxa" w:w="2210"/>
          </w:tcPr>
          <w:p>
            <w:r>
              <w:rPr>
                <w:sz w:val="19"/>
                <w:szCs w:val="19"/>
              </w:rPr>
              <w:t xml:space="preserve">22:00–01:00</w:t>
            </w:r>
          </w:p>
        </w:tc>
      </w:tr>
      <w:tr>
        <w:tc>
          <w:tcPr>
            <w:tcW w:type="dxa" w:w="2340"/>
            <w:shd w:fill="F1F3F4" w:color="auto" w:val="clear"/>
          </w:tcPr>
          <w:p>
            <w:r>
              <w:rPr>
                <w:sz w:val="19"/>
                <w:szCs w:val="19"/>
              </w:rPr>
              <w:t xml:space="preserve">Clásicos de fin de semana</w:t>
            </w:r>
          </w:p>
        </w:tc>
        <w:tc>
          <w:tcPr>
            <w:tcW w:type="dxa" w:w="2600"/>
            <w:shd w:fill="F1F3F4" w:color="auto" w:val="clear"/>
          </w:tcPr>
          <w:p>
            <w:r>
              <w:rPr>
                <w:sz w:val="19"/>
                <w:szCs w:val="19"/>
              </w:rPr>
              <w:t xml:space="preserve">Clásica y jazz curados</w:t>
            </w:r>
          </w:p>
        </w:tc>
        <w:tc>
          <w:tcPr>
            <w:tcW w:type="dxa" w:w="2210"/>
            <w:shd w:fill="F1F3F4" w:color="auto" w:val="clear"/>
          </w:tcPr>
          <w:p>
            <w:r>
              <w:rPr>
                <w:sz w:val="19"/>
                <w:szCs w:val="19"/>
              </w:rPr>
              <w:t xml:space="preserve">Plan Familia</w:t>
            </w:r>
          </w:p>
        </w:tc>
        <w:tc>
          <w:tcPr>
            <w:tcW w:type="dxa" w:w="2210"/>
            <w:shd w:fill="F1F3F4" w:color="auto" w:val="clear"/>
          </w:tcPr>
          <w:p>
            <w:r>
              <w:rPr>
                <w:sz w:val="19"/>
                <w:szCs w:val="19"/>
              </w:rPr>
              <w:t xml:space="preserve">Sáb/Dom por la tarde</w:t>
            </w:r>
          </w:p>
        </w:tc>
      </w:tr>
      <w:tr>
        <w:tc>
          <w:tcPr>
            <w:tcW w:type="dxa" w:w="2340"/>
          </w:tcPr>
          <w:p>
            <w:r>
              <w:rPr>
                <w:sz w:val="19"/>
                <w:szCs w:val="19"/>
              </w:rPr>
              <w:t xml:space="preserve">Usuario de fondo</w:t>
            </w:r>
          </w:p>
        </w:tc>
        <w:tc>
          <w:tcPr>
            <w:tcW w:type="dxa" w:w="2600"/>
          </w:tcPr>
          <w:p>
            <w:r>
              <w:rPr>
                <w:sz w:val="19"/>
                <w:szCs w:val="19"/>
              </w:rPr>
              <w:t xml:space="preserve">Playlists largas (focus, lo-fi)</w:t>
            </w:r>
          </w:p>
        </w:tc>
        <w:tc>
          <w:tcPr>
            <w:tcW w:type="dxa" w:w="2210"/>
          </w:tcPr>
          <w:p>
            <w:r>
              <w:rPr>
                <w:sz w:val="19"/>
                <w:szCs w:val="19"/>
              </w:rPr>
              <w:t xml:space="preserve">Free con ads / Premium básico</w:t>
            </w:r>
          </w:p>
        </w:tc>
        <w:tc>
          <w:tcPr>
            <w:tcW w:type="dxa" w:w="2210"/>
          </w:tcPr>
          <w:p>
            <w:r>
              <w:rPr>
                <w:sz w:val="19"/>
                <w:szCs w:val="19"/>
              </w:rPr>
              <w:t xml:space="preserve">09:00</w:t>
            </w:r>
          </w:p>
        </w:tc>
      </w:tr>
      <w:tr>
        <w:tc>
          <w:tcPr>
            <w:tcW w:type="dxa" w:w="2340"/>
            <w:shd w:fill="F1F3F4" w:color="auto" w:val="clear"/>
          </w:tcPr>
          <w:p>
            <w:r>
              <w:rPr>
                <w:sz w:val="19"/>
                <w:szCs w:val="19"/>
              </w:rPr>
              <w:t xml:space="preserve">Fans del pop diurno</w:t>
            </w:r>
          </w:p>
        </w:tc>
        <w:tc>
          <w:tcPr>
            <w:tcW w:type="dxa" w:w="2600"/>
            <w:shd w:fill="F1F3F4" w:color="auto" w:val="clear"/>
          </w:tcPr>
          <w:p>
            <w:r>
              <w:rPr>
                <w:sz w:val="19"/>
                <w:szCs w:val="19"/>
              </w:rPr>
              <w:t xml:space="preserve">Top hits y pop del momento</w:t>
            </w:r>
          </w:p>
        </w:tc>
        <w:tc>
          <w:tcPr>
            <w:tcW w:type="dxa" w:w="2210"/>
            <w:shd w:fill="F1F3F4" w:color="auto" w:val="clear"/>
          </w:tcPr>
          <w:p>
            <w:r>
              <w:rPr>
                <w:sz w:val="19"/>
                <w:szCs w:val="19"/>
              </w:rPr>
              <w:t xml:space="preserve">Plan Estudiante</w:t>
            </w:r>
          </w:p>
        </w:tc>
        <w:tc>
          <w:tcPr>
            <w:tcW w:type="dxa" w:w="2210"/>
            <w:shd w:fill="F1F3F4" w:color="auto" w:val="clear"/>
          </w:tcPr>
          <w:p>
            <w:r>
              <w:rPr>
                <w:sz w:val="19"/>
                <w:szCs w:val="19"/>
              </w:rPr>
              <w:t xml:space="preserve">12:00–15:00</w:t>
            </w:r>
          </w:p>
        </w:tc>
      </w:tr>
      <w:tr>
        <w:tc>
          <w:tcPr>
            <w:tcW w:type="dxa" w:w="2340"/>
          </w:tcPr>
          <w:p>
            <w:r>
              <w:rPr>
                <w:sz w:val="19"/>
                <w:szCs w:val="19"/>
              </w:rPr>
              <w:t xml:space="preserve">Rockeros intensos</w:t>
            </w:r>
          </w:p>
        </w:tc>
        <w:tc>
          <w:tcPr>
            <w:tcW w:type="dxa" w:w="2600"/>
          </w:tcPr>
          <w:p>
            <w:r>
              <w:rPr>
                <w:sz w:val="19"/>
                <w:szCs w:val="19"/>
              </w:rPr>
              <w:t xml:space="preserve">Rock clásico y alternativo</w:t>
            </w:r>
          </w:p>
        </w:tc>
        <w:tc>
          <w:tcPr>
            <w:tcW w:type="dxa" w:w="2210"/>
          </w:tcPr>
          <w:p>
            <w:r>
              <w:rPr>
                <w:sz w:val="19"/>
                <w:szCs w:val="19"/>
              </w:rPr>
              <w:t xml:space="preserve">Premium + conciertos</w:t>
            </w:r>
          </w:p>
        </w:tc>
        <w:tc>
          <w:tcPr>
            <w:tcW w:type="dxa" w:w="2210"/>
          </w:tcPr>
          <w:p>
            <w:r>
              <w:rPr>
                <w:sz w:val="19"/>
                <w:szCs w:val="19"/>
              </w:rPr>
              <w:t xml:space="preserve">18:00–20:00</w:t>
            </w:r>
          </w:p>
        </w:tc>
      </w:tr>
    </w:tbl>
    <w:p>
      <w:pPr>
        <w:spacing w:after="160"/>
        <w:jc w:val="center"/>
      </w:pPr>
      <w:r>
        <w:rPr>
          <w:i/>
          <w:iCs/>
          <w:color w:val="666666"/>
          <w:sz w:val="18"/>
          <w:szCs w:val="18"/>
        </w:rPr>
        <w:t xml:space="preserve">Tabla 4. Estrategias de personalización por segmento.</w:t>
      </w:r>
    </w:p>
    <w:p>
      <w:r>
        <w:br w:type="page"/>
      </w:r>
    </w:p>
    <w:p>
      <w:pPr>
        <w:pStyle w:val="Heading1"/>
        <w:spacing w:after="140" w:before="280"/>
      </w:pPr>
      <w:r>
        <w:t xml:space="preserve">Conclusiones</w:t>
      </w:r>
    </w:p>
    <w:p>
      <w:pPr>
        <w:pStyle w:val="ListParagraph"/>
        <w:numPr>
          <w:ilvl w:val="0"/>
          <w:numId w:val="1"/>
        </w:numPr>
        <w:spacing w:after="70" w:line="290"/>
        <w:jc w:val="both"/>
      </w:pPr>
      <w:r>
        <w:t xml:space="preserve">Se identificaron cinco segmentos de usuarios con patrones de escucha homogéneos y accionables, cumpliendo el objetivo general del proyecto.</w:t>
      </w:r>
    </w:p>
    <w:p>
      <w:pPr>
        <w:pStyle w:val="ListParagraph"/>
        <w:numPr>
          <w:ilvl w:val="0"/>
          <w:numId w:val="1"/>
        </w:numPr>
        <w:spacing w:after="70" w:line="290"/>
        <w:jc w:val="both"/>
      </w:pPr>
      <w:r>
        <w:t xml:space="preserve">El número óptimo de clusters (K=5) quedó respaldado de forma consistente por el método del codo, el coeficiente de silueta (0,259) y la varianza explicada por los clusters (50,8%).</w:t>
      </w:r>
    </w:p>
    <w:p>
      <w:pPr>
        <w:pStyle w:val="ListParagraph"/>
        <w:numPr>
          <w:ilvl w:val="0"/>
          <w:numId w:val="1"/>
        </w:numPr>
        <w:spacing w:after="70" w:line="290"/>
        <w:jc w:val="both"/>
      </w:pPr>
      <w:r>
        <w:t xml:space="preserve">La solución fue validada internamente (Davies-Bouldin 1,42; Calinski-Harabasz 2576) y por estabilidad (ARI de bootstrapping 0,993).</w:t>
      </w:r>
    </w:p>
    <w:p>
      <w:pPr>
        <w:pStyle w:val="ListParagraph"/>
        <w:numPr>
          <w:ilvl w:val="0"/>
          <w:numId w:val="1"/>
        </w:numPr>
        <w:spacing w:after="70" w:line="290"/>
        <w:jc w:val="both"/>
      </w:pPr>
      <w:r>
        <w:t xml:space="preserve">La comparación con clustering jerárquico y DBSCAN confirmó a K-Means como el algoritmo apropiado para segmentos globulares y solapados como los de este problema.</w:t>
      </w:r>
    </w:p>
    <w:p>
      <w:pPr>
        <w:pStyle w:val="ListParagraph"/>
        <w:numPr>
          <w:ilvl w:val="0"/>
          <w:numId w:val="1"/>
        </w:numPr>
        <w:spacing w:after="70" w:line="290"/>
        <w:jc w:val="both"/>
      </w:pPr>
      <w:r>
        <w:t xml:space="preserve">El modelo se operacionalizó en un prototipo funcional de tres capas (React, FastAPI y modelo serializado) que asigna usuarios nuevos a su segmento y recomienda una estrategia de personalización.</w:t>
      </w:r>
    </w:p>
    <w:p>
      <w:pPr>
        <w:pStyle w:val="Heading1"/>
        <w:spacing w:after="140" w:before="280"/>
      </w:pPr>
      <w:r>
        <w:t xml:space="preserve">Recomendaciones</w:t>
      </w:r>
    </w:p>
    <w:p>
      <w:pPr>
        <w:pStyle w:val="ListParagraph"/>
        <w:numPr>
          <w:ilvl w:val="0"/>
          <w:numId w:val="1"/>
        </w:numPr>
        <w:spacing w:after="70" w:line="290"/>
        <w:jc w:val="both"/>
      </w:pPr>
      <w:r>
        <w:t xml:space="preserve">Sustituir progresivamente el conjunto sintético por telemetría real de escucha, manteniendo el mismo pipeline de preprocesamiento y validación.</w:t>
      </w:r>
    </w:p>
    <w:p>
      <w:pPr>
        <w:pStyle w:val="ListParagraph"/>
        <w:numPr>
          <w:ilvl w:val="0"/>
          <w:numId w:val="1"/>
        </w:numPr>
        <w:spacing w:after="70" w:line="290"/>
        <w:jc w:val="both"/>
      </w:pPr>
      <w:r>
        <w:t xml:space="preserve">Establecer un reentrenamiento periódico del modelo para adaptarse a la evolución de los hábitos de escucha.</w:t>
      </w:r>
    </w:p>
    <w:p>
      <w:pPr>
        <w:pStyle w:val="ListParagraph"/>
        <w:numPr>
          <w:ilvl w:val="0"/>
          <w:numId w:val="1"/>
        </w:numPr>
        <w:spacing w:after="70" w:line="290"/>
        <w:jc w:val="both"/>
      </w:pPr>
      <w:r>
        <w:t xml:space="preserve">Evaluar, sobre datos reales de mayor dimensión, técnicas complementarias como reducción con t-SNE o modelos de mezcla gaussiana para contrastar la forma de los clusters.</w:t>
      </w:r>
    </w:p>
    <w:p>
      <w:pPr>
        <w:pStyle w:val="ListParagraph"/>
        <w:numPr>
          <w:ilvl w:val="0"/>
          <w:numId w:val="1"/>
        </w:numPr>
        <w:spacing w:after="70" w:line="290"/>
        <w:jc w:val="both"/>
      </w:pPr>
      <w:r>
        <w:t xml:space="preserve">Medir el impacto de las estrategias por segmento mediante experimentos controlados (A/B testing) antes de un despliegue masivo.</w:t>
      </w:r>
    </w:p>
    <w:p>
      <w:pPr>
        <w:pStyle w:val="Heading1"/>
        <w:spacing w:after="140" w:before="280"/>
      </w:pPr>
      <w:r>
        <w:t xml:space="preserve">Bibliografía</w:t>
      </w:r>
    </w:p>
    <w:p>
      <w:pPr>
        <w:spacing w:after="130" w:line="300"/>
        <w:jc w:val="both"/>
      </w:pPr>
      <w:r>
        <w:t xml:space="preserve">Chapman, P., Clinton, J., Kerber, R., Khabaza, T., Reinartz, T., Shearer, C., &amp; Wirth, R. (2000). CRISP-DM 1.0: Step-by-step data mining guide. SPSS Inc.</w:t>
      </w:r>
    </w:p>
    <w:p>
      <w:pPr>
        <w:spacing w:after="130" w:line="300"/>
        <w:jc w:val="both"/>
      </w:pPr>
      <w:r>
        <w:t xml:space="preserve">Pedregosa, F., et al. (2011). Scikit-learn: Machine Learning in Python. Journal of Machine Learning Research, 12, 2825–2830.</w:t>
      </w:r>
    </w:p>
    <w:p>
      <w:pPr>
        <w:spacing w:after="130" w:line="300"/>
        <w:jc w:val="both"/>
      </w:pPr>
      <w:r>
        <w:t xml:space="preserve">Rousseeuw, P. J. (1987). Silhouettes: A graphical aid to the interpretation and validation of cluster analysis. Journal of Computational and Applied Mathematics, 20, 53–65.</w:t>
      </w:r>
    </w:p>
    <w:p>
      <w:pPr>
        <w:spacing w:after="130" w:line="300"/>
        <w:jc w:val="both"/>
      </w:pPr>
      <w:r>
        <w:t xml:space="preserve">Davies, D. L., &amp; Bouldin, D. W. (1979). A Cluster Separation Measure. IEEE Transactions on Pattern Analysis and Machine Intelligence, PAMI-1(2), 224–227.</w:t>
      </w:r>
    </w:p>
    <w:p>
      <w:pPr>
        <w:spacing w:after="130" w:line="300"/>
        <w:jc w:val="both"/>
      </w:pPr>
      <w:r>
        <w:t xml:space="preserve">Huang, Z. (1998). Extensions to the k-Means Algorithm for Clustering Large Data Sets with Categorical Values. Data Mining and Knowledge Discovery, 2, 283–304.</w:t>
      </w:r>
    </w:p>
    <w:p>
      <w:r>
        <w:br w:type="page"/>
      </w:r>
    </w:p>
    <w:p>
      <w:pPr>
        <w:pStyle w:val="Heading1"/>
        <w:spacing w:after="140" w:before="280"/>
      </w:pPr>
      <w:r>
        <w:t xml:space="preserve">Anexos</w:t>
      </w:r>
    </w:p>
    <w:p>
      <w:pPr>
        <w:pStyle w:val="Heading2"/>
        <w:spacing w:after="90" w:before="200"/>
      </w:pPr>
      <w:r>
        <w:t xml:space="preserve">Anexo A.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shd w:fill="1DB954" w:color="auto" w:val="clear"/>
          </w:tcPr>
          <w:p>
            <w:r>
              <w:rPr>
                <w:b/>
                <w:bCs/>
                <w:color w:val="FFFFFF"/>
                <w:sz w:val="19"/>
                <w:szCs w:val="19"/>
              </w:rPr>
              <w:t xml:space="preserve">Ruta</w:t>
            </w:r>
          </w:p>
        </w:tc>
        <w:tc>
          <w:tcPr>
            <w:tcW w:type="dxa" w:w="5200"/>
            <w:shd w:fill="1DB954" w:color="auto" w:val="clear"/>
          </w:tcPr>
          <w:p>
            <w:r>
              <w:rPr>
                <w:b/>
                <w:bCs/>
                <w:color w:val="FFFFFF"/>
                <w:sz w:val="19"/>
                <w:szCs w:val="19"/>
              </w:rPr>
              <w:t xml:space="preserve">Descripción</w:t>
            </w:r>
          </w:p>
        </w:tc>
      </w:tr>
      <w:tr>
        <w:tc>
          <w:tcPr>
            <w:tcW w:type="dxa" w:w="4160"/>
          </w:tcPr>
          <w:p>
            <w:r>
              <w:rPr>
                <w:sz w:val="19"/>
                <w:szCs w:val="19"/>
              </w:rPr>
              <w:t xml:space="preserve">notebooks/SoundCluster_Analisis.ipynb</w:t>
            </w:r>
          </w:p>
        </w:tc>
        <w:tc>
          <w:tcPr>
            <w:tcW w:type="dxa" w:w="5200"/>
          </w:tcPr>
          <w:p>
            <w:r>
              <w:rPr>
                <w:sz w:val="19"/>
                <w:szCs w:val="19"/>
              </w:rPr>
              <w:t xml:space="preserve">Notebook con el análisis completo CRISP-DM</w:t>
            </w:r>
          </w:p>
        </w:tc>
      </w:tr>
      <w:tr>
        <w:tc>
          <w:tcPr>
            <w:tcW w:type="dxa" w:w="4160"/>
            <w:shd w:fill="F1F3F4" w:color="auto" w:val="clear"/>
          </w:tcPr>
          <w:p>
            <w:r>
              <w:rPr>
                <w:sz w:val="19"/>
                <w:szCs w:val="19"/>
              </w:rPr>
              <w:t xml:space="preserve">api/main.py</w:t>
            </w:r>
          </w:p>
        </w:tc>
        <w:tc>
          <w:tcPr>
            <w:tcW w:type="dxa" w:w="5200"/>
            <w:shd w:fill="F1F3F4" w:color="auto" w:val="clear"/>
          </w:tcPr>
          <w:p>
            <w:r>
              <w:rPr>
                <w:sz w:val="19"/>
                <w:szCs w:val="19"/>
              </w:rPr>
              <w:t xml:space="preserve">API REST con FastAPI (endpoint /segment)</w:t>
            </w:r>
          </w:p>
        </w:tc>
      </w:tr>
      <w:tr>
        <w:tc>
          <w:tcPr>
            <w:tcW w:type="dxa" w:w="4160"/>
          </w:tcPr>
          <w:p>
            <w:r>
              <w:rPr>
                <w:sz w:val="19"/>
                <w:szCs w:val="19"/>
              </w:rPr>
              <w:t xml:space="preserve">api/train_model.py</w:t>
            </w:r>
          </w:p>
        </w:tc>
        <w:tc>
          <w:tcPr>
            <w:tcW w:type="dxa" w:w="5200"/>
          </w:tcPr>
          <w:p>
            <w:r>
              <w:rPr>
                <w:sz w:val="19"/>
                <w:szCs w:val="19"/>
              </w:rPr>
              <w:t xml:space="preserve">Entrena el pipeline y serializa los artefactos</w:t>
            </w:r>
          </w:p>
        </w:tc>
      </w:tr>
      <w:tr>
        <w:tc>
          <w:tcPr>
            <w:tcW w:type="dxa" w:w="4160"/>
            <w:shd w:fill="F1F3F4" w:color="auto" w:val="clear"/>
          </w:tcPr>
          <w:p>
            <w:r>
              <w:rPr>
                <w:sz w:val="19"/>
                <w:szCs w:val="19"/>
              </w:rPr>
              <w:t xml:space="preserve">api/models/</w:t>
            </w:r>
          </w:p>
        </w:tc>
        <w:tc>
          <w:tcPr>
            <w:tcW w:type="dxa" w:w="5200"/>
            <w:shd w:fill="F1F3F4" w:color="auto" w:val="clear"/>
          </w:tcPr>
          <w:p>
            <w:r>
              <w:rPr>
                <w:sz w:val="19"/>
                <w:szCs w:val="19"/>
              </w:rPr>
              <w:t xml:space="preserve">scaler.pkl, kmeans_soundcluster.pkl, mapa_segmentos.pkl, variables.pkl</w:t>
            </w:r>
          </w:p>
        </w:tc>
      </w:tr>
      <w:tr>
        <w:tc>
          <w:tcPr>
            <w:tcW w:type="dxa" w:w="4160"/>
          </w:tcPr>
          <w:p>
            <w:r>
              <w:rPr>
                <w:sz w:val="19"/>
                <w:szCs w:val="19"/>
              </w:rPr>
              <w:t xml:space="preserve">frontend/src/App.jsx</w:t>
            </w:r>
          </w:p>
        </w:tc>
        <w:tc>
          <w:tcPr>
            <w:tcW w:type="dxa" w:w="5200"/>
          </w:tcPr>
          <w:p>
            <w:r>
              <w:rPr>
                <w:sz w:val="19"/>
                <w:szCs w:val="19"/>
              </w:rPr>
              <w:t xml:space="preserve">Interfaz web React</w:t>
            </w:r>
          </w:p>
        </w:tc>
      </w:tr>
      <w:tr>
        <w:tc>
          <w:tcPr>
            <w:tcW w:type="dxa" w:w="4160"/>
            <w:shd w:fill="F1F3F4" w:color="auto" w:val="clear"/>
          </w:tcPr>
          <w:p>
            <w:r>
              <w:rPr>
                <w:sz w:val="19"/>
                <w:szCs w:val="19"/>
              </w:rPr>
              <w:t xml:space="preserve">README.md</w:t>
            </w:r>
          </w:p>
        </w:tc>
        <w:tc>
          <w:tcPr>
            <w:tcW w:type="dxa" w:w="5200"/>
            <w:shd w:fill="F1F3F4" w:color="auto" w:val="clear"/>
          </w:tcPr>
          <w:p>
            <w:r>
              <w:rPr>
                <w:sz w:val="19"/>
                <w:szCs w:val="19"/>
              </w:rPr>
              <w:t xml:space="preserve">Instrucciones de ejecución</w:t>
            </w:r>
          </w:p>
        </w:tc>
      </w:tr>
    </w:tbl>
    <w:p>
      <w:pPr>
        <w:spacing w:after="160"/>
        <w:jc w:val="center"/>
      </w:pPr>
      <w:r>
        <w:rPr>
          <w:i/>
          <w:iCs/>
          <w:color w:val="666666"/>
          <w:sz w:val="18"/>
          <w:szCs w:val="18"/>
        </w:rPr>
        <w:t xml:space="preserve">Tabla 5. Estructura de archivos del proyecto.</w:t>
      </w:r>
    </w:p>
    <w:p>
      <w:pPr>
        <w:pStyle w:val="Heading2"/>
        <w:spacing w:after="90" w:before="200"/>
      </w:pPr>
      <w:r>
        <w:t xml:space="preserve">Anexo B. Métricas detalladas</w:t>
      </w:r>
    </w:p>
    <w:p>
      <w:pPr>
        <w:spacing w:after="130" w:line="300"/>
        <w:jc w:val="both"/>
      </w:pPr>
      <w:r>
        <w:t xml:space="preserve">Número óptimo de clusters: K = 5. Coeficiente de silueta: 0,259. Índice de Davies-Bouldin: 1,42. Índice de Calinski-Harabasz: 2576. Varianza explicada por los clusters: 50,8%. Estabilidad (ARI medio de bootstrapping, 20 remuestreos): 0,993. Validación externa frente a perfiles latentes (ARI): 0,909. Varianza explicada por PCA: PC1 24,1% y PC2 19,3%.</w:t>
      </w:r>
    </w:p>
    <w:p>
      <w:pPr>
        <w:pStyle w:val="Heading2"/>
        <w:spacing w:after="90" w:before="200"/>
      </w:pPr>
      <w:r>
        <w:t xml:space="preserve">Anexo C. Perfiles de los segmentos</w:t>
      </w:r>
    </w:p>
    <w:p>
      <w:pPr>
        <w:pStyle w:val="ListParagraph"/>
        <w:numPr>
          <w:ilvl w:val="0"/>
          <w:numId w:val="1"/>
        </w:numPr>
        <w:spacing w:after="70" w:line="290"/>
        <w:jc w:val="both"/>
      </w:pPr>
      <w:r>
        <w:t xml:space="preserve">Descubridores nocturnos: escucha nocturna, alta proporción de electrónica y de artistas nuevos, muchas playlists propias.</w:t>
      </w:r>
    </w:p>
    <w:p>
      <w:pPr>
        <w:pStyle w:val="ListParagraph"/>
        <w:numPr>
          <w:ilvl w:val="0"/>
          <w:numId w:val="1"/>
        </w:numPr>
        <w:spacing w:after="70" w:line="290"/>
        <w:jc w:val="both"/>
      </w:pPr>
      <w:r>
        <w:t xml:space="preserve">Clásicos de fin de semana: predominio de música clásica, escucha vespertina, baja tasa de saltos.</w:t>
      </w:r>
    </w:p>
    <w:p>
      <w:pPr>
        <w:pStyle w:val="ListParagraph"/>
        <w:numPr>
          <w:ilvl w:val="0"/>
          <w:numId w:val="1"/>
        </w:numPr>
        <w:spacing w:after="70" w:line="290"/>
        <w:jc w:val="both"/>
      </w:pPr>
      <w:r>
        <w:t xml:space="preserve">Usuario de fondo: muchas horas de escucha pero alta tasa de canciones saltadas y pocos me gusta; la música como fondo.</w:t>
      </w:r>
    </w:p>
    <w:p>
      <w:pPr>
        <w:pStyle w:val="ListParagraph"/>
        <w:numPr>
          <w:ilvl w:val="0"/>
          <w:numId w:val="1"/>
        </w:numPr>
        <w:spacing w:after="70" w:line="290"/>
        <w:jc w:val="both"/>
      </w:pPr>
      <w:r>
        <w:t xml:space="preserve">Fans del pop diurno: predominio del pop, escucha diurna, interacción moderada-alta.</w:t>
      </w:r>
    </w:p>
    <w:p>
      <w:pPr>
        <w:pStyle w:val="ListParagraph"/>
        <w:numPr>
          <w:ilvl w:val="0"/>
          <w:numId w:val="1"/>
        </w:numPr>
        <w:spacing w:after="70" w:line="290"/>
        <w:jc w:val="both"/>
      </w:pPr>
      <w:r>
        <w:t xml:space="preserve">Rockeros intensos: alta proporción de rock, muchas horas de escucha, interacción alta.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pPr>
    <w:rPr>
      <w:b/>
      <w:bCs/>
      <w:color w:val="191c22"/>
      <w:sz w:val="30"/>
      <w:szCs w:val="30"/>
    </w:rPr>
  </w:style>
  <w:style w:type="paragraph" w:styleId="Heading2">
    <w:name w:val="Heading 2"/>
    <w:basedOn w:val="Normal"/>
    <w:next w:val="Normal"/>
    <w:qFormat/>
    <w:pPr>
      <w:spacing w:after="90" w:before="200"/>
    </w:pPr>
    <w:rPr>
      <w:b/>
      <w:bCs/>
      <w:color w:val="1DB954"/>
      <w:sz w:val="25"/>
      <w:szCs w:val="25"/>
    </w:rPr>
  </w:style>
  <w:style w:type="paragraph" w:styleId="Heading3">
    <w:name w:val="Heading 3"/>
    <w:basedOn w:val="Normal"/>
    <w:next w:val="Normal"/>
    <w:qFormat/>
    <w:pPr>
      <w:spacing w:after="60" w:before="140"/>
    </w:pPr>
    <w:rPr>
      <w:b/>
      <w:bCs/>
      <w:color w:val="191c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SoundCluster - Documentación</dc:title>
  <dc:creator>SoundCluster</dc:creator>
  <cp:lastModifiedBy>Un-named</cp:lastModifiedBy>
  <cp:revision>1</cp:revision>
  <dcterms:created xsi:type="dcterms:W3CDTF">2026-07-22T22:14:38.326Z</dcterms:created>
  <dcterms:modified xsi:type="dcterms:W3CDTF">2026-07-22T22:14:38.340Z</dcterms:modified>
</cp:coreProperties>
</file>

<file path=docProps/custom.xml><?xml version="1.0" encoding="utf-8"?>
<Properties xmlns="http://schemas.openxmlformats.org/officeDocument/2006/custom-properties" xmlns:vt="http://schemas.openxmlformats.org/officeDocument/2006/docPropsVTypes"/>
</file>