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ETF投资者是否追涨杀跌？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Do ETF Investors Chase Past Performance?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—— 项目汇报演讲稿 ——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基于 Sirri &amp; Tufano (1998) 框架的 ARK ETF 资金流研究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一、开场：研究问题与理论框架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[屏幕显示 Streamlit 首页 — Fund_Flows_Analysis.py]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各位领导好，今天我汇报的项目研究的是一个金融学中的经典问题：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ETF 投资者在做买卖决策时，是否会参考过去的价格表现？</w:t>
      </w:r>
      <w:r>
        <w:rPr>
          <w:rFonts w:ascii="Arial" w:cs="Arial" w:eastAsia="Arial" w:hAnsi="Arial"/>
          <w:sz w:val="24"/>
          <w:szCs w:val="24"/>
        </w:rPr>
        <w:t xml:space="preserve">简单来说，就是“涨得好的基金会不会吸引更多钱流入？”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理论基础：Sirri &amp; Tufano (1998)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我们的理论基础是 1998 年发表在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The Journal of Finance</w:t>
      </w:r>
      <w:r>
        <w:rPr>
          <w:rFonts w:ascii="Arial" w:cs="Arial" w:eastAsia="Arial" w:hAnsi="Arial"/>
          <w:sz w:val="24"/>
          <w:szCs w:val="24"/>
        </w:rPr>
        <w:t xml:space="preserve"> 上的经典论文，作者是 Sirri 和 Tufano。他们用美国共同基金（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mutual fund</w:t>
      </w:r>
      <w:r>
        <w:rPr>
          <w:rFonts w:ascii="Arial" w:cs="Arial" w:eastAsia="Arial" w:hAnsi="Arial"/>
          <w:sz w:val="24"/>
          <w:szCs w:val="24"/>
        </w:rPr>
        <w:t xml:space="preserve">）数据发现了一个重要规律：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他们的核心理论叫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costly search</w:t>
      </w:r>
      <w:r>
        <w:rPr>
          <w:rFonts w:ascii="Arial" w:cs="Arial" w:eastAsia="Arial" w:hAnsi="Arial"/>
          <w:sz w:val="24"/>
          <w:szCs w:val="24"/>
        </w:rPr>
        <w:t xml:space="preserve">（成本搜寻）：投资者调研基金是要花时间和精力的，所以他们会用一个简单的捷径：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看过去业绩排名</w:t>
      </w:r>
      <w:r>
        <w:rPr>
          <w:rFonts w:ascii="Arial" w:cs="Arial" w:eastAsia="Arial" w:hAnsi="Arial"/>
          <w:sz w:val="24"/>
          <w:szCs w:val="24"/>
        </w:rPr>
        <w:t xml:space="preserve">。这导致了一个不对称的结果：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业绩排名前 20% 的基金</w:t>
      </w:r>
      <w:r>
        <w:rPr>
          <w:rFonts w:ascii="Arial" w:cs="Arial" w:eastAsia="Arial" w:hAnsi="Arial"/>
          <w:sz w:val="24"/>
          <w:szCs w:val="24"/>
        </w:rPr>
        <w:t xml:space="preserve">：获得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大量</w:t>
      </w:r>
      <w:r>
        <w:rPr>
          <w:rFonts w:ascii="Arial" w:cs="Arial" w:eastAsia="Arial" w:hAnsi="Arial"/>
          <w:sz w:val="24"/>
          <w:szCs w:val="24"/>
        </w:rPr>
        <w:t xml:space="preserve">资金流入（“追涨”）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业绩排名后 20% 的基金</w:t>
      </w:r>
      <w:r>
        <w:rPr>
          <w:rFonts w:ascii="Arial" w:cs="Arial" w:eastAsia="Arial" w:hAnsi="Arial"/>
          <w:sz w:val="24"/>
          <w:szCs w:val="24"/>
        </w:rPr>
        <w:t xml:space="preserve">：资金流出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并不成比例地多</w:t>
      </w:r>
      <w:r>
        <w:rPr>
          <w:rFonts w:ascii="Arial" w:cs="Arial" w:eastAsia="Arial" w:hAnsi="Arial"/>
          <w:sz w:val="24"/>
          <w:szCs w:val="24"/>
        </w:rPr>
        <w:t xml:space="preserve">（“不杀跌”）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这种“上边陡、下边平”的形状，学术上叫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convex flow-performance relationship</w:t>
      </w:r>
      <w:r>
        <w:rPr>
          <w:rFonts w:ascii="Arial" w:cs="Arial" w:eastAsia="Arial" w:hAnsi="Arial"/>
          <w:sz w:val="24"/>
          <w:szCs w:val="24"/>
        </w:rPr>
        <w:t xml:space="preserve">（凸性的资金流-业绩关系）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我们的创新点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S&amp;T 用的是 1971–1990 年的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年度</w:t>
      </w:r>
      <w:r>
        <w:rPr>
          <w:rFonts w:ascii="Arial" w:cs="Arial" w:eastAsia="Arial" w:hAnsi="Arial"/>
          <w:sz w:val="24"/>
          <w:szCs w:val="24"/>
        </w:rPr>
        <w:t xml:space="preserve">共同基金数据。年度数据只能证明“追涨这个现象存在”，但不能回答更细节的问题：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投资者多快开始反应？是第二天还是一个月后？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追涨效应持续多久？一周还是一季度？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牛市和熊市中追涨行为一样吗？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ETF 这种新型产品和传统共同基金一样吗？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我们的创新在于：用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2014–2026 年的日度 ETF 数据</w:t>
      </w:r>
      <w:r>
        <w:rPr>
          <w:rFonts w:ascii="Arial" w:cs="Arial" w:eastAsia="Arial" w:hAnsi="Arial"/>
          <w:sz w:val="24"/>
          <w:szCs w:val="24"/>
        </w:rPr>
        <w:t xml:space="preserve">，结合现代计量经济学方法（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Local Projection</w:t>
      </w:r>
      <w:r>
        <w:rPr>
          <w:rFonts w:ascii="Arial" w:cs="Arial" w:eastAsia="Arial" w:hAnsi="Arial"/>
          <w:sz w:val="24"/>
          <w:szCs w:val="24"/>
        </w:rPr>
        <w:t xml:space="preserve">、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panel fixed effects</w:t>
      </w:r>
      <w:r>
        <w:rPr>
          <w:rFonts w:ascii="Arial" w:cs="Arial" w:eastAsia="Arial" w:hAnsi="Arial"/>
          <w:sz w:val="24"/>
          <w:szCs w:val="24"/>
        </w:rPr>
        <w:t xml:space="preserve">等），来回答这些 S&amp;T 无法解答的问题。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[指向首页底部的 Dashboard Guide 表格]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我们的整个分析通过一个五页的交互式 Dashboard 展示，下面我逐页来讲。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二、第一页：The Data（数据总览）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[切换到 Streamlit 第一页 “The Data”]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1: 价格与资金流图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[在 sidebar 选择 ARKK，频率选 Monthly]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这张图是整个项目的出发点。上半部分显示的是所选 ETF 的价格走势（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candlestick chart</w:t>
      </w:r>
      <w:r>
        <w:rPr>
          <w:rFonts w:ascii="Arial" w:cs="Arial" w:eastAsia="Arial" w:hAnsi="Arial"/>
          <w:sz w:val="24"/>
          <w:szCs w:val="24"/>
        </w:rPr>
        <w:t xml:space="preserve">，K 线图），下半部分是对应的每期净资金流（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net fund flow</w:t>
      </w:r>
      <w:r>
        <w:rPr>
          <w:rFonts w:ascii="Arial" w:cs="Arial" w:eastAsia="Arial" w:hAnsi="Arial"/>
          <w:sz w:val="24"/>
          <w:szCs w:val="24"/>
        </w:rPr>
        <w:t xml:space="preserve">）。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这里的 net fund flow 指的是：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绿色柱子 = 资金净流入</w:t>
      </w:r>
      <w:r>
        <w:rPr>
          <w:rFonts w:ascii="Arial" w:cs="Arial" w:eastAsia="Arial" w:hAnsi="Arial"/>
          <w:sz w:val="24"/>
          <w:szCs w:val="24"/>
        </w:rPr>
        <w:t xml:space="preserve">：新创建的 ETF 份额多于赎回的份额，说明有更多钱流进来买这只基金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红色柱子 = 资金净流出</w:t>
      </w:r>
      <w:r>
        <w:rPr>
          <w:rFonts w:ascii="Arial" w:cs="Arial" w:eastAsia="Arial" w:hAnsi="Arial"/>
          <w:sz w:val="24"/>
          <w:szCs w:val="24"/>
        </w:rPr>
        <w:t xml:space="preserve">：赎回多于创建，说明有更多钱被抽出去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请重点观察：</w:t>
      </w:r>
      <w:r>
        <w:rPr>
          <w:rFonts w:ascii="Arial" w:cs="Arial" w:eastAsia="Arial" w:hAnsi="Arial"/>
          <w:sz w:val="24"/>
          <w:szCs w:val="24"/>
        </w:rPr>
        <w:t xml:space="preserve">2020–2021 年 ARKK 价格急速上涨期间，绿色柱子（资金流入）非常密集且高大。而 2022 年价格大跌之后，红色柱子虽然出现，但幅度明显比涨时的流入小得多。这就是“追涨不杀跌”的直观体现，但还需要统计检验来确认。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2: 描述统计表（Summary Statistics）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[展示左侧 Descriptive Statistics 表]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左边这张表展示的是我们日度面板数据（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daily panel</w:t>
      </w:r>
      <w:r>
        <w:rPr>
          <w:rFonts w:ascii="Arial" w:cs="Arial" w:eastAsia="Arial" w:hAnsi="Arial"/>
          <w:sz w:val="24"/>
          <w:szCs w:val="24"/>
        </w:rPr>
        <w:t xml:space="preserve">）的基本统计量。我主要讲几个关键变量：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Fund_Flow（日净资金流，单位：百万美元）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 = 13,243</w:t>
      </w:r>
      <w:r>
        <w:rPr>
          <w:rFonts w:ascii="Arial" w:cs="Arial" w:eastAsia="Arial" w:hAnsi="Arial"/>
          <w:sz w:val="24"/>
          <w:szCs w:val="24"/>
        </w:rPr>
        <w:t xml:space="preserve">：样本量。这是 6 只 ARK ETF 日度数据的总观测数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Mean = $1.53M</w:t>
      </w:r>
      <w:r>
        <w:rPr>
          <w:rFonts w:ascii="Arial" w:cs="Arial" w:eastAsia="Arial" w:hAnsi="Arial"/>
          <w:sz w:val="24"/>
          <w:szCs w:val="24"/>
        </w:rPr>
        <w:t xml:space="preserve">：平均值。每只 ETF 平均每天净流入 153 万美元，说明整体而言 ARK ETF 在样本期内是净流入的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SD = $65.9M</w:t>
      </w:r>
      <w:r>
        <w:rPr>
          <w:rFonts w:ascii="Arial" w:cs="Arial" w:eastAsia="Arial" w:hAnsi="Arial"/>
          <w:sz w:val="24"/>
          <w:szCs w:val="24"/>
        </w:rPr>
        <w:t xml:space="preserve">：标准差。这个值是均值的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43 倍</w:t>
      </w:r>
      <w:r>
        <w:rPr>
          <w:rFonts w:ascii="Arial" w:cs="Arial" w:eastAsia="Arial" w:hAnsi="Arial"/>
          <w:sz w:val="24"/>
          <w:szCs w:val="24"/>
        </w:rPr>
        <w:t xml:space="preserve">，说明资金流波动极大。有的天流入超过 28 亿美元（Max = $2,834.7M），有的天流出超过 27 亿美元（Min = -$2,716.6M）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P25 = P50 = P75 = 0</w:t>
      </w:r>
      <w:r>
        <w:rPr>
          <w:rFonts w:ascii="Arial" w:cs="Arial" w:eastAsia="Arial" w:hAnsi="Arial"/>
          <w:sz w:val="24"/>
          <w:szCs w:val="24"/>
        </w:rPr>
        <w:t xml:space="preserve">：中位数和四分位数都是 0，说明大多数交易日资金流为零（尤其是规模较小的 ETF），只有在特定日子才会出现大笔资金进出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Return（日收益率）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Mean = 0.07%</w:t>
      </w:r>
      <w:r>
        <w:rPr>
          <w:rFonts w:ascii="Arial" w:cs="Arial" w:eastAsia="Arial" w:hAnsi="Arial"/>
          <w:sz w:val="24"/>
          <w:szCs w:val="24"/>
        </w:rPr>
        <w:t xml:space="preserve">：日均收益率为正，对应年化约 18%，反映了 ARK ETF 在样本早期的高增长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SD = 2.3%</w:t>
      </w:r>
      <w:r>
        <w:rPr>
          <w:rFonts w:ascii="Arial" w:cs="Arial" w:eastAsia="Arial" w:hAnsi="Arial"/>
          <w:sz w:val="24"/>
          <w:szCs w:val="24"/>
        </w:rPr>
        <w:t xml:space="preserve">：日度波动率很高，对应年化约 36%。这是积极管理型科技 ETF 的典型特征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Min = -19.0%, Max = +16.6%</w:t>
      </w:r>
      <w:r>
        <w:rPr>
          <w:rFonts w:ascii="Arial" w:cs="Arial" w:eastAsia="Arial" w:hAnsi="Arial"/>
          <w:sz w:val="24"/>
          <w:szCs w:val="24"/>
        </w:rPr>
        <w:t xml:space="preserve">：极端值反映了新冠崩盘和急速反弹等事件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VIX_Close（波动率指数）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Mean = 18.6, Max = 82.7</w:t>
      </w:r>
      <w:r>
        <w:rPr>
          <w:rFonts w:ascii="Arial" w:cs="Arial" w:eastAsia="Arial" w:hAnsi="Arial"/>
          <w:sz w:val="24"/>
          <w:szCs w:val="24"/>
        </w:rPr>
        <w:t xml:space="preserve">：VIX 是市场恐慌指数。均值 18.6 属于正常水平，但最大值 82.7 对应 2020 年 3 月新冠崩盘时期。我们将它作为控制变量，排除市场情绪对资金流的干扰</w:t>
      </w:r>
    </w:p>
    <w:p>
      <w:pPr>
        <w:spacing w:after="80"/>
      </w:pP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[指向右侧 Between/Within Decomposition 表]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组间/组内方差分解（Between/Within Decomposition）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这张表是面板数据分析中非常关键的一步，等同于 Stata 中的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xtsum</w:t>
      </w:r>
      <w:r>
        <w:rPr>
          <w:rFonts w:ascii="Arial" w:cs="Arial" w:eastAsia="Arial" w:hAnsi="Arial"/>
          <w:sz w:val="24"/>
          <w:szCs w:val="24"/>
        </w:rPr>
        <w:t xml:space="preserve"> 命令。它回答的问题是：数据中的变化（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variation</w:t>
      </w:r>
      <w:r>
        <w:rPr>
          <w:rFonts w:ascii="Arial" w:cs="Arial" w:eastAsia="Arial" w:hAnsi="Arial"/>
          <w:sz w:val="24"/>
          <w:szCs w:val="24"/>
        </w:rPr>
        <w:t xml:space="preserve">）到底来自哪里？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表中每个变量有四列，我以 Fund_Flow 为例解释：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Overall SD = 65.9</w:t>
      </w:r>
      <w:r>
        <w:rPr>
          <w:rFonts w:ascii="Arial" w:cs="Arial" w:eastAsia="Arial" w:hAnsi="Arial"/>
          <w:sz w:val="24"/>
          <w:szCs w:val="24"/>
        </w:rPr>
        <w:t xml:space="preserve">：整体标准差。把所有 ETF 所有时间的数据混在一起计算的波动率，不区分“谁”和“什么时候”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Between SD = 1.68</w:t>
      </w:r>
      <w:r>
        <w:rPr>
          <w:rFonts w:ascii="Arial" w:cs="Arial" w:eastAsia="Arial" w:hAnsi="Arial"/>
          <w:sz w:val="24"/>
          <w:szCs w:val="24"/>
        </w:rPr>
        <w:t xml:space="preserve">：组间标准差。先算每只 ETF 资金流的时间平均值，再算这些平均值之间的标准差。它衡量的是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不同 ETF 之间的差异</w:t>
      </w:r>
      <w:r>
        <w:rPr>
          <w:rFonts w:ascii="Arial" w:cs="Arial" w:eastAsia="Arial" w:hAnsi="Arial"/>
          <w:sz w:val="24"/>
          <w:szCs w:val="24"/>
        </w:rPr>
        <w:t xml:space="preserve">——比如 ARKK 平均每天流入多少，ARKX 平均每天流入多少，它们之间差多大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Within SD = 65.89</w:t>
      </w:r>
      <w:r>
        <w:rPr>
          <w:rFonts w:ascii="Arial" w:cs="Arial" w:eastAsia="Arial" w:hAnsi="Arial"/>
          <w:sz w:val="24"/>
          <w:szCs w:val="24"/>
        </w:rPr>
        <w:t xml:space="preserve">：组内标准差。先把每只 ETF 的数据减去它自己的时间平均值，再算标准差。它衡量的是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同一只 ETF 随时间的波动</w:t>
      </w:r>
      <w:r>
        <w:rPr>
          <w:rFonts w:ascii="Arial" w:cs="Arial" w:eastAsia="Arial" w:hAnsi="Arial"/>
          <w:sz w:val="24"/>
          <w:szCs w:val="24"/>
        </w:rPr>
        <w:t xml:space="preserve">——比如 ARKK 今天流入 100M、明天流出 50M，这种时间上的变化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Within % = 99.94%</w:t>
      </w:r>
      <w:r>
        <w:rPr>
          <w:rFonts w:ascii="Arial" w:cs="Arial" w:eastAsia="Arial" w:hAnsi="Arial"/>
          <w:sz w:val="24"/>
          <w:szCs w:val="24"/>
        </w:rPr>
        <w:t xml:space="preserve">：组内方差占总方差的百分比。意思是：Fund_Flow 的几乎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全部变化（99.94%）都来自每只 ETF 自身随时间的波动</w:t>
      </w:r>
      <w:r>
        <w:rPr>
          <w:rFonts w:ascii="Arial" w:cs="Arial" w:eastAsia="Arial" w:hAnsi="Arial"/>
          <w:sz w:val="24"/>
          <w:szCs w:val="24"/>
        </w:rPr>
        <w:t xml:space="preserve">，而不同 ETF 之间的平均水平差异只贡献了 0.06%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其他变量的情况：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Between 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Within SD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Within 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Fund_Flow ($M)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65.89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99.94%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99.97%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 ($)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28.23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20.91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54.87%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Flow_Pct (% AUM)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99.52%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6.34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98.29%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两个重要观察：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第一，</w:t>
      </w:r>
      <w:r>
        <w:rPr>
          <w:rFonts w:ascii="Arial" w:cs="Arial" w:eastAsia="Arial" w:hAnsi="Arial"/>
          <w:sz w:val="24"/>
          <w:szCs w:val="24"/>
        </w:rPr>
        <w:t xml:space="preserve">Fund_Flow、Return、Flow_Pct 的 Within % 都接近 100%。这意味着资金流和回报率的变化几乎全部发生在“同一只 ETF 随时间的波动”这个维度上，而不是“ETF 之间的差异”。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第二，</w:t>
      </w:r>
      <w:r>
        <w:rPr>
          <w:rFonts w:ascii="Arial" w:cs="Arial" w:eastAsia="Arial" w:hAnsi="Arial"/>
          <w:sz w:val="24"/>
          <w:szCs w:val="24"/>
        </w:rPr>
        <w:t xml:space="preserve">Close（股价）的 Within % 只有 54.87%，说明不同 ETF 的价格水平差异很大（比如 ARKK 最高超过 $180，而有的 ETF 只有 $12），这很正常。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为什么这张表很重要？因为它直接证明了我们使用 entity fixed effects（个体固定效应）是合理的。</w:t>
      </w:r>
    </w:p>
    <w:p>
      <w:pPr>
        <w:spacing w:after="160" w:line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Entity fixed effects</w:t>
      </w:r>
      <w:r>
        <w:rPr>
          <w:rFonts w:ascii="Arial" w:cs="Arial" w:eastAsia="Arial" w:hAnsi="Arial"/>
          <w:sz w:val="24"/>
          <w:szCs w:val="24"/>
        </w:rPr>
        <w:t xml:space="preserve"> 的本质是：给每只 ETF 一个单独的截距项（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αᵢ</w:t>
      </w:r>
      <w:r>
        <w:rPr>
          <w:rFonts w:ascii="Arial" w:cs="Arial" w:eastAsia="Arial" w:hAnsi="Arial"/>
          <w:sz w:val="24"/>
          <w:szCs w:val="24"/>
        </w:rPr>
        <w:t xml:space="preserve">），吸收掉它们之间的固定差异（比如 ARKK 平均资金流就是比 ARKX 大），然后只用每只 ETF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自己偏离平均值的部分</w:t>
      </w:r>
      <w:r>
        <w:rPr>
          <w:rFonts w:ascii="Arial" w:cs="Arial" w:eastAsia="Arial" w:hAnsi="Arial"/>
          <w:sz w:val="24"/>
          <w:szCs w:val="24"/>
        </w:rPr>
        <w:t xml:space="preserve">来估计因果关系。既然 Within % 接近 100%，说明几乎所有有意义的信息都在 within 维度，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entity FE</w:t>
      </w:r>
      <w:r>
        <w:rPr>
          <w:rFonts w:ascii="Arial" w:cs="Arial" w:eastAsia="Arial" w:hAnsi="Arial"/>
          <w:sz w:val="24"/>
          <w:szCs w:val="24"/>
        </w:rPr>
        <w:t xml:space="preserve"> 并不会丢失信息，反而能消除 ETF 间固定差异带来的偏误。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3: ARK vs. Peer ETF 资金流对比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ARK 与 Peer 的 20 期移动平均对比图]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这张图把所有 ARK ETF 的平均资金流（红色）和所有同类型 peer ETF 的平均资金流（蓝色）放在一起。两者都做了 20 期移动平均（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20-period moving average</w:t>
      </w:r>
      <w:r>
        <w:rPr>
          <w:rFonts w:ascii="Arial" w:cs="Arial" w:eastAsia="Arial" w:hAnsi="Arial"/>
          <w:sz w:val="24"/>
          <w:szCs w:val="24"/>
        </w:rPr>
        <w:t xml:space="preserve">）来平滑波动。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主要观察：</w:t>
      </w:r>
      <w:r>
        <w:rPr>
          <w:rFonts w:ascii="Arial" w:cs="Arial" w:eastAsia="Arial" w:hAnsi="Arial"/>
          <w:sz w:val="24"/>
          <w:szCs w:val="24"/>
        </w:rPr>
        <w:t xml:space="preserve">ARK 的资金流波动幅度远大于 peer ETF。这不意外——ARK 是积极管理的主题型 ETF，明星基金经理 Cathie Wood 带来的媒体关注度让它的资金流更“情绪化”。这也是为什么我们在后面的回归中要控制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peer aggregate flow</w:t>
      </w:r>
      <w:r>
        <w:rPr>
          <w:rFonts w:ascii="Arial" w:cs="Arial" w:eastAsia="Arial" w:hAnsi="Arial"/>
          <w:sz w:val="24"/>
          <w:szCs w:val="24"/>
        </w:rPr>
        <w:t xml:space="preserve">——把市场整体的资金流动剥离出去，只看 ARK 特有的部分。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三、第二页：The Evidence（实证证据）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[切换到 Streamlit 第二页 “The Evidence”]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这一页是整个项目的核心，从三个递进的层次证明追涨存在：用眼睛看、用经典模型验证、用我们自己的新模型量化。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1: S&amp;T 散点图——用眼睛看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S&amp;T scatter 图]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这张图复现了 S&amp;T 论文的经典 Figure 1A。做法如下：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每个月，把所有 ETF 按当月回报率排名，然后转化为一个 0 到 1 的分位数值（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fractional rank</w:t>
      </w:r>
      <w:r>
        <w:rPr>
          <w:rFonts w:ascii="Arial" w:cs="Arial" w:eastAsia="Arial" w:hAnsi="Arial"/>
          <w:sz w:val="24"/>
          <w:szCs w:val="24"/>
        </w:rPr>
        <w:t xml:space="preserve">）。例如，0.21 表示排在第 21 百分位，0.95 表示接近最佳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 轴</w:t>
      </w:r>
      <w:r>
        <w:rPr>
          <w:rFonts w:ascii="Arial" w:cs="Arial" w:eastAsia="Arial" w:hAnsi="Arial"/>
          <w:sz w:val="24"/>
          <w:szCs w:val="24"/>
        </w:rPr>
        <w:t xml:space="preserve"> = 该月的业绩排名（0 = 最差，1 = 最好）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 轴</w:t>
      </w:r>
      <w:r>
        <w:rPr>
          <w:rFonts w:ascii="Arial" w:cs="Arial" w:eastAsia="Arial" w:hAnsi="Arial"/>
          <w:sz w:val="24"/>
          <w:szCs w:val="24"/>
        </w:rPr>
        <w:t xml:space="preserve"> = 该月资金流占 AUM 的百分比（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Flow % of AUM</w:t>
      </w:r>
      <w:r>
        <w:rPr>
          <w:rFonts w:ascii="Arial" w:cs="Arial" w:eastAsia="Arial" w:hAnsi="Arial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每个蓝点是一个 ETF 某个月的观测值，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红色线是 20 个等宽分组的均值连线</w:t>
      </w:r>
      <w:r>
        <w:rPr>
          <w:rFonts w:ascii="Arial" w:cs="Arial" w:eastAsia="Arial" w:hAnsi="Arial"/>
          <w:sz w:val="24"/>
          <w:szCs w:val="24"/>
        </w:rPr>
        <w:t xml:space="preserve">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bin average</w:t>
      </w:r>
      <w:r>
        <w:rPr>
          <w:rFonts w:ascii="Arial" w:cs="Arial" w:eastAsia="Arial" w:hAnsi="Arial"/>
          <w:sz w:val="24"/>
          <w:szCs w:val="24"/>
        </w:rPr>
        <w:t xml:space="preserve">）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如何解读：</w:t>
      </w:r>
      <w:r>
        <w:rPr>
          <w:rFonts w:ascii="Arial" w:cs="Arial" w:eastAsia="Arial" w:hAnsi="Arial"/>
          <w:sz w:val="24"/>
          <w:szCs w:val="24"/>
        </w:rPr>
        <w:t xml:space="preserve">如果红色线是一条平坦的直线，说明不管业绩好坏，资金流没有区别。但我们看到的是：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红线在右端（业绩最好的 ETF）明显向上翘起</w:t>
      </w:r>
      <w:r>
        <w:rPr>
          <w:rFonts w:ascii="Arial" w:cs="Arial" w:eastAsia="Arial" w:hAnsi="Arial"/>
          <w:sz w:val="24"/>
          <w:szCs w:val="24"/>
        </w:rPr>
        <w:t xml:space="preserve">。这意味着业绩排名最高的 ETF 获得了不成比例的更多资金流入——这就是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performance chasing</w:t>
      </w:r>
      <w:r>
        <w:rPr>
          <w:rFonts w:ascii="Arial" w:cs="Arial" w:eastAsia="Arial" w:hAnsi="Arial"/>
          <w:sz w:val="24"/>
          <w:szCs w:val="24"/>
        </w:rPr>
        <w:t xml:space="preserve"> 的直观证据。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2: S&amp;T 分段线性回归——用经典模型验证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Table 2]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现在我们用回归模型来量化散点图中看到的模式。S&amp;T 的经典做法是把业绩排名分成三段（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piecewise linear</w:t>
      </w:r>
      <w:r>
        <w:rPr>
          <w:rFonts w:ascii="Arial" w:cs="Arial" w:eastAsia="Arial" w:hAnsi="Arial"/>
          <w:sz w:val="24"/>
          <w:szCs w:val="24"/>
        </w:rPr>
        <w:t xml:space="preserve">），分别估计不同段的斜率：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覆盖范围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LOWPERF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Rank 的 0–0.2 部分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业绩最差的 20% ETF 的资金流敏感度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MIDPERF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Rank 的 0.2–0.8 部分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中间 60% ETF 的资金流敏感度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HIGHPERF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Rank 的 0.8–1.0 部分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业绩最好的 20% ETF 的资金流敏感度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我们做了四个递进的规格（specification），每次加一组控制变量：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600"/>
        <w:gridCol w:w="14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LOWPERF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MIDPERF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HIGHPERF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 within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(1) 基础模型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13.2**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17.3***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4,550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(2) + VIX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13.2**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17.3***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4,550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(3) + 日历效应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13.2**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17.4***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2.47%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4,550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(4) + Peer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22.6**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17.31%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505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逐行解读：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HIGHPERF = 17.3***，MIDPERF = 1.99（不显著）。</w:t>
      </w:r>
      <w:r>
        <w:rPr>
          <w:rFonts w:ascii="Arial" w:cs="Arial" w:eastAsia="Arial" w:hAnsi="Arial"/>
          <w:sz w:val="24"/>
          <w:szCs w:val="24"/>
        </w:rPr>
        <w:t xml:space="preserve">这意味着：当一只 ETF 的业绩排名从第 80 百分位上升到第 100 百分位时（即 HIGHPERF 增加 0.2），资金流入增加 17.3 × 0.2 =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3.46% of AUM</w:t>
      </w:r>
      <w:r>
        <w:rPr>
          <w:rFonts w:ascii="Arial" w:cs="Arial" w:eastAsia="Arial" w:hAnsi="Arial"/>
          <w:sz w:val="24"/>
          <w:szCs w:val="24"/>
        </w:rPr>
        <w:t xml:space="preserve">。但当排名在中间 60% 的区间内移动时（MIDPERF 增加 0.6），资金流只增加 1.99 × 0.6 = 1.19%，而且统计上不显著。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 HIGHPERF 的系数是 MIDPERF 的近 9 倍</w:t>
      </w:r>
      <w:r>
        <w:rPr>
          <w:rFonts w:ascii="Arial" w:cs="Arial" w:eastAsia="Arial" w:hAnsi="Arial"/>
          <w:sz w:val="24"/>
          <w:szCs w:val="24"/>
        </w:rPr>
        <w:t xml:space="preserve">，确认了 S&amp;T 的核心预测：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convexity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LOWPERF = 13.2**。</w:t>
      </w:r>
      <w:r>
        <w:rPr>
          <w:rFonts w:ascii="Arial" w:cs="Arial" w:eastAsia="Arial" w:hAnsi="Arial"/>
          <w:sz w:val="24"/>
          <w:szCs w:val="24"/>
        </w:rPr>
        <w:t xml:space="preserve">业绩最差的 20% 也有显著的正系数，但这不是说“业绩越差资金越流入”。它的含义是：即使在表现最差的分组内，排名相对靠前的仍然比靠后的获得更多资金流入。注意 LOWPERF &lt; HIGHPERF，说明上端的追涨效应确实更强。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第四列（+ Peer Flow）为什么 N 从 4,550 骤降到 505？</w:t>
      </w:r>
      <w:r>
        <w:rPr>
          <w:rFonts w:ascii="Arial" w:cs="Arial" w:eastAsia="Arial" w:hAnsi="Arial"/>
          <w:sz w:val="24"/>
          <w:szCs w:val="24"/>
        </w:rPr>
        <w:t xml:space="preserve">因为 peer 数据并非所有月份都有，加入 peer flow 控制变量后仅保留了有完整数据的观测。但即便如此，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R² within</w:t>
      </w:r>
      <w:r>
        <w:rPr>
          <w:rFonts w:ascii="Arial" w:cs="Arial" w:eastAsia="Arial" w:hAnsi="Arial"/>
          <w:sz w:val="24"/>
          <w:szCs w:val="24"/>
        </w:rPr>
        <w:t xml:space="preserve"> 从 2.3% 跳升到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17.3%</w:t>
      </w:r>
      <w:r>
        <w:rPr>
          <w:rFonts w:ascii="Arial" w:cs="Arial" w:eastAsia="Arial" w:hAnsi="Arial"/>
          <w:sz w:val="24"/>
          <w:szCs w:val="24"/>
        </w:rPr>
        <w:t xml:space="preserve">，说明同类基金的资金流动是一个非常重要的解释变量。Peer_Agg_Flow 的系数为 0.15***，意味着同行每流入 $1，ARK ETF 也会多流入 $0.15。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3: 我们的日度面板回归——用新模型量化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Table 3，逐列解释 7 个 specification]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S&amp;T 用的是“去年的排名”作为一个综合变量。我们可以做得更精细：把过去的回报率按时间拆分成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三个不重叠的累计窗口</w:t>
      </w:r>
      <w:r>
        <w:rPr>
          <w:rFonts w:ascii="Arial" w:cs="Arial" w:eastAsia="Arial" w:hAnsi="Arial"/>
          <w:sz w:val="24"/>
          <w:szCs w:val="24"/>
        </w:rPr>
        <w:t xml:space="preserve">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non-overlapping cumulative return windows</w:t>
      </w:r>
      <w:r>
        <w:rPr>
          <w:rFonts w:ascii="Arial" w:cs="Arial" w:eastAsia="Arial" w:hAnsi="Arial"/>
          <w:sz w:val="24"/>
          <w:szCs w:val="24"/>
        </w:rPr>
        <w:t xml:space="preserve">），分别看哪个时间段驱动了追涨。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窗口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CumRet_1_5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过去 1–5 个交易日的累计回报率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上周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CumRet_6_20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过去 6–20 个交易日的累计回报率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上月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CumRet_21_60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过去 21–60 个交易日的累计回报率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上季度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我们跞了 7 个递进的规格，每个规格加一组控制变量。核心结果如下：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7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(1) 基础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(3)+日历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(5)+事件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(7)Two-way Cluster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CumRet_1_5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CumRet_6_20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26.8***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33.3***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44.6***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44.6***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CumRet_21_60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23.3***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24.9***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30.6***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30.6***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within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12,697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12,697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10,027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10,027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逐行解读：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CumRet_1_5（上周回报率）始终不显著。</w:t>
      </w:r>
      <w:r>
        <w:rPr>
          <w:rFonts w:ascii="Arial" w:cs="Arial" w:eastAsia="Arial" w:hAnsi="Arial"/>
          <w:sz w:val="24"/>
          <w:szCs w:val="24"/>
        </w:rPr>
        <w:t xml:space="preserve">这是一个很重要的发现：投资者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不会对过去一周的短期波动做反应</w:t>
      </w:r>
      <w:r>
        <w:rPr>
          <w:rFonts w:ascii="Arial" w:cs="Arial" w:eastAsia="Arial" w:hAnsi="Arial"/>
          <w:sz w:val="24"/>
          <w:szCs w:val="24"/>
        </w:rPr>
        <w:t xml:space="preserve">。系数 8.2 看起来是正的，但标准误高达 43.8，p 值 0.85，完全不显著。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CumRet_6_20（上月回报率）高度显著。</w:t>
      </w:r>
      <w:r>
        <w:rPr>
          <w:rFonts w:ascii="Arial" w:cs="Arial" w:eastAsia="Arial" w:hAnsi="Arial"/>
          <w:sz w:val="24"/>
          <w:szCs w:val="24"/>
        </w:rPr>
        <w:t xml:space="preserve">基础模型中 β = 26.8，p = 0.0018。含义：过去 6–20 天的累计回报率每增加 1 个百分点，当天的资金流入平均增加 $26.8M。加入事件 dummy 后系数进一步上升到 44.6***。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CumRet_21_60（上季度回报率）同样高度显著。</w:t>
      </w:r>
      <w:r>
        <w:rPr>
          <w:rFonts w:ascii="Arial" w:cs="Arial" w:eastAsia="Arial" w:hAnsi="Arial"/>
          <w:sz w:val="24"/>
          <w:szCs w:val="24"/>
        </w:rPr>
        <w:t xml:space="preserve">基础模型 β = 23.3，p = 0.0008。说明投资者不仅看近一个月，也参考过去一个季度的表现。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R² within 为什么这么低（0.35%–0.85%）？</w:t>
      </w:r>
      <w:r>
        <w:rPr>
          <w:rFonts w:ascii="Arial" w:cs="Arial" w:eastAsia="Arial" w:hAnsi="Arial"/>
          <w:sz w:val="24"/>
          <w:szCs w:val="24"/>
        </w:rPr>
        <w:t xml:space="preserve">在金融学中这很正常。资金流受无数因素影响（新闻、个人理财决策、税务季节等），价格表现只是其中一个。在基金资金流文献中，0.5–2% 的 R² 就已经是有意义的（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weak but meaningful</w:t>
      </w:r>
      <w:r>
        <w:rPr>
          <w:rFonts w:ascii="Arial" w:cs="Arial" w:eastAsia="Arial" w:hAnsi="Arial"/>
          <w:sz w:val="24"/>
          <w:szCs w:val="24"/>
        </w:rPr>
        <w:t xml:space="preserve">），2–5% 就是可发表水平。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 (7) 列 Two-way Cluster 是什么？</w:t>
      </w:r>
      <w:r>
        <w:rPr>
          <w:rFonts w:ascii="Arial" w:cs="Arial" w:eastAsia="Arial" w:hAnsi="Arial"/>
          <w:sz w:val="24"/>
          <w:szCs w:val="24"/>
        </w:rPr>
        <w:t xml:space="preserve">它和第 (5) 列用的是同一个模型，但标准误的计算方法不同。普通的 entity cluster 只处理每只 ETF 内部的相关性，Two-way cluster 还额外处理了同一天不同 ETF 之间的相关性。标准误稍大，但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结果仍然显著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4: 经济显著性——这个效应到底多大？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[展示三个 metric 卡片]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统计显著性只告诉我们“效应不是零”，但不告诉我们“效应多大”。所以我们计算了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economic significance</w:t>
      </w:r>
      <w:r>
        <w:rPr>
          <w:rFonts w:ascii="Arial" w:cs="Arial" w:eastAsia="Arial" w:hAnsi="Arial"/>
          <w:sz w:val="24"/>
          <w:szCs w:val="24"/>
        </w:rPr>
        <w:t xml:space="preserve">（经济显著性）：当回报率变动一个标准差时，资金流会变化多少美元？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窗口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β 系数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1-SD 效应 ($M)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标准化 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CumRet_1_5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8.2 (ns)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$1.44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CumRet_6_20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26.8***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$3.84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0.058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CumRet_21_60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23.3***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0.064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1-SD 效应怎么算的？</w:t>
      </w:r>
      <w:r>
        <w:rPr>
          <w:rFonts w:ascii="Arial" w:cs="Arial" w:eastAsia="Arial" w:hAnsi="Arial"/>
          <w:sz w:val="24"/>
          <w:szCs w:val="24"/>
        </w:rPr>
        <w:t xml:space="preserve">比如 CumRet_6_20 的 β = 26.8，乘以该变量的标准差，就得到“当过去 6–20 天累计回报率增加一个标准差时，每天的资金流入增加 $3.84M”。相对于平均 AUM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$20.8 亿</w:t>
      </w:r>
      <w:r>
        <w:rPr>
          <w:rFonts w:ascii="Arial" w:cs="Arial" w:eastAsia="Arial" w:hAnsi="Arial"/>
          <w:sz w:val="24"/>
          <w:szCs w:val="24"/>
        </w:rPr>
        <w:t xml:space="preserve">，这代表的是一个有意义的资金再分配信号。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四、第三页：The Dynamics（动态分析）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[切换到 Streamlit 第三页 “The Dynamics”]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这一页是我们相对于 S&amp;T 最大的创新。Table 3 告诉我们“6–60 天的回报率能预测资金流”，但还不够精细。这一页用四个分析揭示追涨行为的完整动态过程。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1: 脉冲响应函数（Impulse Response Function）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Figure 1: LP impulse response 图]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这是整个项目最重要的一张图。我们使用 Jordà (2005) 提出的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Local Projection</w:t>
      </w:r>
      <w:r>
        <w:rPr>
          <w:rFonts w:ascii="Arial" w:cs="Arial" w:eastAsia="Arial" w:hAnsi="Arial"/>
          <w:sz w:val="24"/>
          <w:szCs w:val="24"/>
        </w:rPr>
        <w:t xml:space="preserve">（局部投影）方法。原理很简单：对每个未来时间点 h（0, 1, 2, ..., 40 个交易日），分别跞一个回归：</w:t>
      </w:r>
    </w:p>
    <w:p>
      <w:pPr>
        <w:spacing w:after="16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Flowᵢ,ₜ₊ₕ = αᵢ + βₕ × Returnᵢ,ₜ + γ × Controls + ε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每个 h 得到一个 βₕ，把它们串起来就形成了“一个回报率冲击如何在 40 个交易日内传导到资金流”的完整路径。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图中元素解读：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蓝色线</w:t>
      </w:r>
      <w:r>
        <w:rPr>
          <w:rFonts w:ascii="Arial" w:cs="Arial" w:eastAsia="Arial" w:hAnsi="Arial"/>
          <w:sz w:val="24"/>
          <w:szCs w:val="24"/>
        </w:rPr>
        <w:t xml:space="preserve"> =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point estimate</w:t>
      </w:r>
      <w:r>
        <w:rPr>
          <w:rFonts w:ascii="Arial" w:cs="Arial" w:eastAsia="Arial" w:hAnsi="Arial"/>
          <w:sz w:val="24"/>
          <w:szCs w:val="24"/>
        </w:rPr>
        <w:t xml:space="preserve">，即每个 h 的 βₕ 估计值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蓝色阴影</w:t>
      </w:r>
      <w:r>
        <w:rPr>
          <w:rFonts w:ascii="Arial" w:cs="Arial" w:eastAsia="Arial" w:hAnsi="Arial"/>
          <w:sz w:val="24"/>
          <w:szCs w:val="24"/>
        </w:rPr>
        <w:t xml:space="preserve"> =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95% confidence interval</w:t>
      </w:r>
      <w:r>
        <w:rPr>
          <w:rFonts w:ascii="Arial" w:cs="Arial" w:eastAsia="Arial" w:hAnsi="Arial"/>
          <w:sz w:val="24"/>
          <w:szCs w:val="24"/>
        </w:rPr>
        <w:t xml:space="preserve">。当阴影不包含零线时，该点统计显著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红色点</w:t>
      </w:r>
      <w:r>
        <w:rPr>
          <w:rFonts w:ascii="Arial" w:cs="Arial" w:eastAsia="Arial" w:hAnsi="Arial"/>
          <w:sz w:val="24"/>
          <w:szCs w:val="24"/>
        </w:rPr>
        <w:t xml:space="preserve"> = p &lt; 0.05 的显著时间点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关键发现：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 = 0（当天）：β = 411***。</w:t>
      </w:r>
      <w:r>
        <w:rPr>
          <w:rFonts w:ascii="Arial" w:cs="Arial" w:eastAsia="Arial" w:hAnsi="Arial"/>
          <w:sz w:val="24"/>
          <w:szCs w:val="24"/>
        </w:rPr>
        <w:t xml:space="preserve">这是最强的点。但这主要反映的是当天的同步关联（价格和资金流同时活跃），不一定是因果关系。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 = 1（第二天）：β = 216***。</w:t>
      </w:r>
      <w:r>
        <w:rPr>
          <w:rFonts w:ascii="Arial" w:cs="Arial" w:eastAsia="Arial" w:hAnsi="Arial"/>
          <w:sz w:val="24"/>
          <w:szCs w:val="24"/>
        </w:rPr>
        <w:t xml:space="preserve">效应迅速衰减但仍然显著。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 = 7–20：</w:t>
      </w:r>
      <w:r>
        <w:rPr>
          <w:rFonts w:ascii="Arial" w:cs="Arial" w:eastAsia="Arial" w:hAnsi="Arial"/>
          <w:sz w:val="24"/>
          <w:szCs w:val="24"/>
        </w:rPr>
        <w:t xml:space="preserve">效应在波动中保持显著。h = 18 时 β = 127**，h = 19 时 β = 94***。这说明回报率冲击的影响可以持续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3–4 周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 = 33–40：</w:t>
      </w:r>
      <w:r>
        <w:rPr>
          <w:rFonts w:ascii="Arial" w:cs="Arial" w:eastAsia="Arial" w:hAnsi="Arial"/>
          <w:sz w:val="24"/>
          <w:szCs w:val="24"/>
        </w:rPr>
        <w:t xml:space="preserve">部分时间点仍然显著（如 h=33: β=92*，h=40: β=86*），说明效应的“尾巴”可以延伸到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 个月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总结：</w:t>
      </w:r>
      <w:r>
        <w:rPr>
          <w:rFonts w:ascii="Arial" w:cs="Arial" w:eastAsia="Arial" w:hAnsi="Arial"/>
          <w:sz w:val="24"/>
          <w:szCs w:val="24"/>
        </w:rPr>
        <w:t xml:space="preserve">追涨效应当天最强，第二天快速衰减，但随后在第 7–20 天又形成一个显著的“平台期”，然后逐渐消退。这与 Table 3 的发现完全吻合：CumRet_1_5 不显著，CumRet_6_20 显著。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2: 不对称响应（Chasing vs. Fleeing）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Figure 2: 正负冲击对比图]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我们把回报率冲击拆分成两个部分：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positive shock</w:t>
      </w:r>
      <w:r>
        <w:rPr>
          <w:rFonts w:ascii="Arial" w:cs="Arial" w:eastAsia="Arial" w:hAnsi="Arial"/>
          <w:sz w:val="24"/>
          <w:szCs w:val="24"/>
        </w:rPr>
        <w:t xml:space="preserve">（max(R, 0)，即只保留上涨部分）和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negative shock</w:t>
      </w:r>
      <w:r>
        <w:rPr>
          <w:rFonts w:ascii="Arial" w:cs="Arial" w:eastAsia="Arial" w:hAnsi="Arial"/>
          <w:sz w:val="24"/>
          <w:szCs w:val="24"/>
        </w:rPr>
        <w:t xml:space="preserve">（min(R, 0)，即只保留下跌部分），分别估计它们的 impulse response。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图中元素：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蓝色线 = 上涨冲击的响应</w:t>
      </w:r>
      <w:r>
        <w:rPr>
          <w:rFonts w:ascii="Arial" w:cs="Arial" w:eastAsia="Arial" w:hAnsi="Arial"/>
          <w:sz w:val="24"/>
          <w:szCs w:val="24"/>
        </w:rPr>
        <w:t xml:space="preserve">（“追涨”部分）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红色线 = 下跌冲击的响应</w:t>
      </w:r>
      <w:r>
        <w:rPr>
          <w:rFonts w:ascii="Arial" w:cs="Arial" w:eastAsia="Arial" w:hAnsi="Arial"/>
          <w:sz w:val="24"/>
          <w:szCs w:val="24"/>
        </w:rPr>
        <w:t xml:space="preserve">（“杀跌”部分）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关键发现：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当天（h=0）：</w:t>
      </w:r>
      <w:r>
        <w:rPr>
          <w:rFonts w:ascii="Arial" w:cs="Arial" w:eastAsia="Arial" w:hAnsi="Arial"/>
          <w:sz w:val="24"/>
          <w:szCs w:val="24"/>
        </w:rPr>
        <w:t xml:space="preserve">两者差不多（β⁺ = 397，β⁻ = 426，都高度显著）。当天无论涨跌，资金流都强烈跟随。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短期（h=1–5）：</w:t>
      </w:r>
      <w:r>
        <w:rPr>
          <w:rFonts w:ascii="Arial" w:cs="Arial" w:eastAsia="Arial" w:hAnsi="Arial"/>
          <w:sz w:val="24"/>
          <w:szCs w:val="24"/>
        </w:rPr>
        <w:t xml:space="preserve">上涨冲击的响应快速衰减并变得不显著，而下跌冲击仍保持显著（h=1: β⁻ = 257***）。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中期（h=10–25）：</w:t>
      </w:r>
      <w:r>
        <w:rPr>
          <w:rFonts w:ascii="Arial" w:cs="Arial" w:eastAsia="Arial" w:hAnsi="Arial"/>
          <w:sz w:val="24"/>
          <w:szCs w:val="24"/>
        </w:rPr>
        <w:t xml:space="preserve">下跌冲击的红色线在多个时间点显著（如 h=18: β⁻ = 226**，h=19: β⁻ = 190***，h=21: β⁻ = 183***），而上涨冲击的蓝色线大多不显著。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解读：</w:t>
      </w:r>
      <w:r>
        <w:rPr>
          <w:rFonts w:ascii="Arial" w:cs="Arial" w:eastAsia="Arial" w:hAnsi="Arial"/>
          <w:sz w:val="24"/>
          <w:szCs w:val="24"/>
        </w:rPr>
        <w:t xml:space="preserve">这揭示了一个有趣的时间结构：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上涨的追涨效应集中在当天，迅速消失；而下跌的资金流出效应虽然慢一拍，但更持久</w:t>
      </w:r>
      <w:r>
        <w:rPr>
          <w:rFonts w:ascii="Arial" w:cs="Arial" w:eastAsia="Arial" w:hAnsi="Arial"/>
          <w:sz w:val="24"/>
          <w:szCs w:val="24"/>
        </w:rPr>
        <w:t xml:space="preserve">。投资者对好消息的反应是“快但短”，对坏消息的反应是“慢但稳”。这是我们用日度数据才能揭示的细节，S&amp;T 的年度数据看不到这一点。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3: 牛市 vs. 熊市（Market Regime）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Figure 3 + Table 4]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我们把样本分成三个时期：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市场环境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Pre-COVID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2014–2020初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稳定增长期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2,691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2020–2021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疫情牛市，ARK 暴涨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1,647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2022–2024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加息熊市，ARK 大跌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4,004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关键结果：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Bull 市场：</w:t>
      </w:r>
      <w:r>
        <w:rPr>
          <w:rFonts w:ascii="Arial" w:cs="Arial" w:eastAsia="Arial" w:hAnsi="Arial"/>
          <w:sz w:val="24"/>
          <w:szCs w:val="24"/>
        </w:rPr>
        <w:t xml:space="preserve">CumRet_6_20 = 79.9***，CumRet_21_60 = 90.9**，R² = 10.35%。效应极其强烈——系数是全样本的 2–3 倍，R² 高达 10%，在基金资金流文献中属于非常高的水平。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 市场：</w:t>
      </w:r>
      <w:r>
        <w:rPr>
          <w:rFonts w:ascii="Arial" w:cs="Arial" w:eastAsia="Arial" w:hAnsi="Arial"/>
          <w:sz w:val="24"/>
          <w:szCs w:val="24"/>
        </w:rPr>
        <w:t xml:space="preserve">CumRet_6_20 = -4.4（不显著），CumRet_21_60 = -10.5（不显著）。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追涨效应在熊市中完全消失</w:t>
      </w:r>
      <w:r>
        <w:rPr>
          <w:rFonts w:ascii="Arial" w:cs="Arial" w:eastAsia="Arial" w:hAnsi="Arial"/>
          <w:sz w:val="24"/>
          <w:szCs w:val="24"/>
        </w:rPr>
        <w:t xml:space="preserve">。系数甚至变成了负数（虽然不显著），暗示熊市中可能存在某种程度的“进一步下跌带来更多流出”效应。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含义：</w:t>
      </w:r>
      <w:r>
        <w:rPr>
          <w:rFonts w:ascii="Arial" w:cs="Arial" w:eastAsia="Arial" w:hAnsi="Arial"/>
          <w:sz w:val="24"/>
          <w:szCs w:val="24"/>
        </w:rPr>
        <w:t xml:space="preserve">追涨是一个“顺周期”（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pro-cyclical</w:t>
      </w:r>
      <w:r>
        <w:rPr>
          <w:rFonts w:ascii="Arial" w:cs="Arial" w:eastAsia="Arial" w:hAnsi="Arial"/>
          <w:sz w:val="24"/>
          <w:szCs w:val="24"/>
        </w:rPr>
        <w:t xml:space="preserve">）现象。当市场形势好时，投资者信心充足，更容易看到业绩好就往里追；当市场下跌时，投资者变得谨慎，追涨行为失效。这对理解市场稳定性有重要含义：追涨行为在牛市中会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放大泡沫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4: 崩盘事件研究（Drawdown Event Study）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[展示价格索引图 + 散点图 + 回归表]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这是一个补充分析。当 ETF 价格从峰值下跌超过 10%（称为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drawdown</w:t>
      </w:r>
      <w:r>
        <w:rPr>
          <w:rFonts w:ascii="Arial" w:cs="Arial" w:eastAsia="Arial" w:hAnsi="Arial"/>
          <w:sz w:val="24"/>
          <w:szCs w:val="24"/>
        </w:rPr>
        <w:t xml:space="preserve">）时，投资者会不会恂慌性抛售？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我们的做法：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识别每只 ETF 的所有≥ 10% 的崩盘事件（峰值到谷底）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计算崩盘后 1 个月、3 个月的累计资金流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跞回归：CumFlow = α + β₁ × Depth + β₂ × Duration。如果 β₁ &lt; 0且显著，说明跌得越深、资金流出越多（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panic selling</w:t>
      </w:r>
      <w:r>
        <w:rPr>
          <w:rFonts w:ascii="Arial" w:cs="Arial" w:eastAsia="Arial" w:hAnsi="Arial"/>
          <w:sz w:val="24"/>
          <w:szCs w:val="24"/>
        </w:rPr>
        <w:t xml:space="preserve">）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图中红色阴影标记了每次崩盘事件，散点图展示崩盘深度与后续资金流的关系。这个分析与前面的时间序列回归互补：前者看“持续关系”，后者看“极端事件”。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五、第四页：Robustness（稳健性检验）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[切换到 Streamlit 第四页 “Robustness”]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这一页的设计逻辑是：假设我是期刊审稿人（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journal referee</w:t>
      </w:r>
      <w:r>
        <w:rPr>
          <w:rFonts w:ascii="Arial" w:cs="Arial" w:eastAsia="Arial" w:hAnsi="Arial"/>
          <w:sz w:val="24"/>
          <w:szCs w:val="24"/>
        </w:rPr>
        <w:t xml:space="preserve">），我会怎么质疑这个结果？我们主动提出了五个核心质疑，并逐一回答。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Q1: 标准误可靠吗？（Are Standard Errors Reliable?）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质疑：我们只有 6 只 ETF，而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entity-clustered SE</w:t>
      </w:r>
      <w:r>
        <w:rPr>
          <w:rFonts w:ascii="Arial" w:cs="Arial" w:eastAsia="Arial" w:hAnsi="Arial"/>
          <w:sz w:val="24"/>
          <w:szCs w:val="24"/>
        </w:rPr>
        <w:t xml:space="preserve"> 需要足够多的 cluster 才能渐进有效。学术界一般建议至少 30–50 个 cluster（Angrist &amp; Pischke），我们只有 6 个。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解决方案：用三种不同方法计算标准误，看结果是否一致。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以 CumRet_6_20 为例（所有方法下系数相同 = 26.8，只有标准误不同）：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 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是否显著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Entity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***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Two-way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***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Driscoll-Kraay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0.029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**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Driscoll-Kraay（DK）</w:t>
      </w:r>
      <w:r>
        <w:rPr>
          <w:rFonts w:ascii="Arial" w:cs="Arial" w:eastAsia="Arial" w:hAnsi="Arial"/>
          <w:sz w:val="24"/>
          <w:szCs w:val="24"/>
        </w:rPr>
        <w:t xml:space="preserve">是最保守的方法——它同时处理截面相关性和时间自相关，不依赖 cluster 数量。DK 的 SE 是 Entity Cluster 的 1.5 倍，但 CumRet_6_20 和 CumRet_21_60 在 DK 下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仍然显著（p = 0.029 和 p = 0.013）</w:t>
      </w:r>
      <w:r>
        <w:rPr>
          <w:rFonts w:ascii="Arial" w:cs="Arial" w:eastAsia="Arial" w:hAnsi="Arial"/>
          <w:sz w:val="24"/>
          <w:szCs w:val="24"/>
        </w:rPr>
        <w:t xml:space="preserve">。这给了我们很大的信心。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异方差诊断（Heteroscedasticity Diagnostics）：</w:t>
      </w:r>
      <w:r>
        <w:rPr>
          <w:rFonts w:ascii="Arial" w:cs="Arial" w:eastAsia="Arial" w:hAnsi="Arial"/>
          <w:sz w:val="24"/>
          <w:szCs w:val="24"/>
        </w:rPr>
        <w:t xml:space="preserve">Breusch-Pagan 检验统计量 = 19.3（p = 0.0002），White 检验统计量 = 36.9（p &lt; 0.0001）。两个检验都强烈拒绝了“同方差”假设，说明我们的数据存在显著的异方差（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heteroscedasticity</w:t>
      </w:r>
      <w:r>
        <w:rPr>
          <w:rFonts w:ascii="Arial" w:cs="Arial" w:eastAsia="Arial" w:hAnsi="Arial"/>
          <w:sz w:val="24"/>
          <w:szCs w:val="24"/>
        </w:rPr>
        <w:t xml:space="preserve">），这正是为什么我们必须使用稳健标准误而不能用普通 OLS 标准误的原因。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Q2: 是回报率影响资金流，还是反过来？（Reverse Causality）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质疑：大笔资金流入可能抬高了 ETF 价格（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price impact</w:t>
      </w:r>
      <w:r>
        <w:rPr>
          <w:rFonts w:ascii="Arial" w:cs="Arial" w:eastAsia="Arial" w:hAnsi="Arial"/>
          <w:sz w:val="24"/>
          <w:szCs w:val="24"/>
        </w:rPr>
        <w:t xml:space="preserve">），导致我们观察到的关系其实是“资金流 → 回报率”而不是“回报率 → 资金流”。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1: Placebo Test（安慰剂检验）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Placebo 对比表（左 = Real，右 = Fake）]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逻辑很简单：把模型中的“过去回报率”替换成“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未来回报率</w:t>
      </w:r>
      <w:r>
        <w:rPr>
          <w:rFonts w:ascii="Arial" w:cs="Arial" w:eastAsia="Arial" w:hAnsi="Arial"/>
          <w:sz w:val="24"/>
          <w:szCs w:val="24"/>
        </w:rPr>
        <w:t xml:space="preserve">”。如果未来的回报率也能“预测”资金流，那就说明关系是虚假的或反向的。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CumRet_1_5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CumRet_6_20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CumRet_21_60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Real（滞后）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8.2 (ns)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26.8***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23.3***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Placebo（超前）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-13.2*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15.7**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-2.5***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解读：</w:t>
      </w:r>
      <w:r>
        <w:rPr>
          <w:rFonts w:ascii="Arial" w:cs="Arial" w:eastAsia="Arial" w:hAnsi="Arial"/>
          <w:sz w:val="24"/>
          <w:szCs w:val="24"/>
        </w:rPr>
        <w:t xml:space="preserve">Real 的 6–20天和 21–60天窗口高度显著。Placebo 中 CumRet_lead6_20 = 15.7** 确实也显著，这说明 6–20 天窗口可能存在一定的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price impact</w:t>
      </w:r>
      <w:r>
        <w:rPr>
          <w:rFonts w:ascii="Arial" w:cs="Arial" w:eastAsia="Arial" w:hAnsi="Arial"/>
          <w:sz w:val="24"/>
          <w:szCs w:val="24"/>
        </w:rPr>
        <w:t xml:space="preserve">（资金流对未来价格有影响）。但注意：Real 的系数（26.8）远大于 Placebo（15.7），说明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“回报率 → 资金流”仍然是主导方向</w:t>
      </w:r>
      <w:r>
        <w:rPr>
          <w:rFonts w:ascii="Arial" w:cs="Arial" w:eastAsia="Arial" w:hAnsi="Arial"/>
          <w:sz w:val="24"/>
          <w:szCs w:val="24"/>
        </w:rPr>
        <w:t xml:space="preserve">，但反向因果作为次要因素也存在。CumRet_lead21_60 = -2.5*** 为负，反映的可能是资金流入后的均值回归效应。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2: Granger Causality（格兰杰因果检验）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Granger 因果表]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同时检验两个方向：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显著的 ETF 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典型结果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→ Flows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4/6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ARKK: F=6.91, p=0.0001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Flows → Returns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0/6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基本不显著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结论：</w:t>
      </w:r>
      <w:r>
        <w:rPr>
          <w:rFonts w:ascii="Arial" w:cs="Arial" w:eastAsia="Arial" w:hAnsi="Arial"/>
          <w:sz w:val="24"/>
          <w:szCs w:val="24"/>
        </w:rPr>
        <w:t xml:space="preserve">回报率导致资金流的方向在 4/6 只 ETF 中显著，而反向基本不显著。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因果方向确认为“价格表现 → 资金流动”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Q3: 是不是 ARKK 一只基金主导了结果？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质疑：ARKK 规模最大、媒体曝光最高，结果是否只是 ARKK 的特有现象？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1: Leave-One-ETF-Out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Leave-One-Out 表]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每次剔除一只 ETF，用剩余 ETF 重新估计。核心结果：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剔除 ARKK 后：</w:t>
      </w:r>
      <w:r>
        <w:rPr>
          <w:rFonts w:ascii="Arial" w:cs="Arial" w:eastAsia="Arial" w:hAnsi="Arial"/>
          <w:sz w:val="24"/>
          <w:szCs w:val="24"/>
        </w:rPr>
        <w:t xml:space="preserve">CumRet_6_20 = 21.5*（p=0.052），CumRet_21_60 = 16.8**（p=0.015）。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仍然显著</w:t>
      </w:r>
      <w:r>
        <w:rPr>
          <w:rFonts w:ascii="Arial" w:cs="Arial" w:eastAsia="Arial" w:hAnsi="Arial"/>
          <w:sz w:val="24"/>
          <w:szCs w:val="24"/>
        </w:rPr>
        <w:t xml:space="preserve">，但系数变小了。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剔除其他任何一只 ETF：</w:t>
      </w:r>
      <w:r>
        <w:rPr>
          <w:rFonts w:ascii="Arial" w:cs="Arial" w:eastAsia="Arial" w:hAnsi="Arial"/>
          <w:sz w:val="24"/>
          <w:szCs w:val="24"/>
        </w:rPr>
        <w:t xml:space="preserve">CumRet_6_20 和 CumRet_21_60 均保持显著（p &lt; 0.005），系数变化很小。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含义：</w:t>
      </w:r>
      <w:r>
        <w:rPr>
          <w:rFonts w:ascii="Arial" w:cs="Arial" w:eastAsia="Arial" w:hAnsi="Arial"/>
          <w:sz w:val="24"/>
          <w:szCs w:val="24"/>
        </w:rPr>
        <w:t xml:space="preserve">ARKK 确实对结果有贡献（剔掉它系数变小），但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剔掉 ARKK 后结果仍然成立</w:t>
      </w:r>
      <w:r>
        <w:rPr>
          <w:rFonts w:ascii="Arial" w:cs="Arial" w:eastAsia="Arial" w:hAnsi="Arial"/>
          <w:sz w:val="24"/>
          <w:szCs w:val="24"/>
        </w:rPr>
        <w:t xml:space="preserve">，说明追涨不是 ARKK 独有的现象。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2: ARKK Interaction Model（交互项模型）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Interaction 表 + Split Sample 表]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在回归中加入 ARKK 的交互项，看它的系数是否与其他 ETF 不同：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系数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显著性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CumRet_6_20（基础）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非-ARKK ETF 的效应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CumRet_6_20 × ARKK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ARKK 额外的效应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CumRet_21_60（基础）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非-ARKK ETF 的效应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CumRet_21_60 × ARKK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ARKK 额外的效应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解读：</w:t>
      </w:r>
      <w:r>
        <w:rPr>
          <w:rFonts w:ascii="Arial" w:cs="Arial" w:eastAsia="Arial" w:hAnsi="Arial"/>
          <w:sz w:val="24"/>
          <w:szCs w:val="24"/>
        </w:rPr>
        <w:t xml:space="preserve">ARKK 的总效应 = 基础 + 交互项。比如 CumRet_6_20: ARKK 的总效应是 21.5 + 23.0 = 44.5，而其他 ETF 只有 21.5。所以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ARKK 的追涨效应确实是其他 ETF 的两倍</w:t>
      </w:r>
      <w:r>
        <w:rPr>
          <w:rFonts w:ascii="Arial" w:cs="Arial" w:eastAsia="Arial" w:hAnsi="Arial"/>
          <w:sz w:val="24"/>
          <w:szCs w:val="24"/>
        </w:rPr>
        <w:t xml:space="preserve">，但其他 ETF 本身的效应也是显著的。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Q4: 系数随时间稳定吗？（Time Stability）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Figure 4 rolling coefficient 图]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我们用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2-year rolling window</w:t>
      </w:r>
      <w:r>
        <w:rPr>
          <w:rFonts w:ascii="Arial" w:cs="Arial" w:eastAsia="Arial" w:hAnsi="Arial"/>
          <w:sz w:val="24"/>
          <w:szCs w:val="24"/>
        </w:rPr>
        <w:t xml:space="preserve">（504 个交易日）在时间轴上滑动，每个窗口跞一次回归，画出系数随时间的变化轨迹。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观察：</w:t>
      </w:r>
      <w:r>
        <w:rPr>
          <w:rFonts w:ascii="Arial" w:cs="Arial" w:eastAsia="Arial" w:hAnsi="Arial"/>
          <w:sz w:val="24"/>
          <w:szCs w:val="24"/>
        </w:rPr>
        <w:t xml:space="preserve">CumRet_6_20 和 CumRet_21_60 的系数在 2020–2021 年（牛市）期间达到峰值，在 2022–2024 年（熊市）期间回落甚至接近零，但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整体方向始终为正</w:t>
      </w:r>
      <w:r>
        <w:rPr>
          <w:rFonts w:ascii="Arial" w:cs="Arial" w:eastAsia="Arial" w:hAnsi="Arial"/>
          <w:sz w:val="24"/>
          <w:szCs w:val="24"/>
        </w:rPr>
        <w:t xml:space="preserve">。阴影区域（95% CI）在大多数时期不包含零。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Fama-MacBeth 回归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FM 表]</w:t>
      </w:r>
    </w:p>
    <w:p>
      <w:pPr>
        <w:spacing w:after="160" w:line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Fama-MacBeth</w:t>
      </w:r>
      <w:r>
        <w:rPr>
          <w:rFonts w:ascii="Arial" w:cs="Arial" w:eastAsia="Arial" w:hAnsi="Arial"/>
          <w:sz w:val="24"/>
          <w:szCs w:val="24"/>
        </w:rPr>
        <w:t xml:space="preserve"> 是另一种检验时间稳定性的方法：每个时间点跞一次截面回归，然后对所有时间点的系数取平均。结果：三个窗口的系数都不显著（p 均 &gt; 0.16）。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这是因为</w:t>
      </w:r>
      <w:r>
        <w:rPr>
          <w:rFonts w:ascii="Arial" w:cs="Arial" w:eastAsia="Arial" w:hAnsi="Arial"/>
          <w:sz w:val="24"/>
          <w:szCs w:val="24"/>
        </w:rPr>
        <w:t xml:space="preserve">每个截面只有 6 只 ETF，样本太小无法稳定估计。但这不是问题——FM 不适合“N 小、T 大”的面板结构（这也是 Petersen 2009 论文中明确指出的）。滚动窗口图提供了更合适的时间稳定性检验。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Q5: 换一种方法还成立吗？（Alternative Specifications）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[展示 Flow % AUM 和 DK SE 两张表]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我们做了两个替代规格：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替代因变量：Flow % of AUM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把因变量从绝对金额（$M）换成资金流占 AUM 的百分比。结果：三个窗口全部显著（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CumRet_1_5 也变显著了！</w:t>
      </w:r>
      <w:r>
        <w:rPr>
          <w:rFonts w:ascii="Arial" w:cs="Arial" w:eastAsia="Arial" w:hAnsi="Arial"/>
          <w:sz w:val="24"/>
          <w:szCs w:val="24"/>
        </w:rPr>
        <w:t xml:space="preserve">p = 0.016）。这说明当我们控制基金规模差异后，短期追涨也变得可检测了。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替代标准误：Driscoll-Kraay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用最保守的 DK SE 重新计算 p 值。结果：CumRet_6_20（p = 0.029）和 CumRet_21_60（p = 0.013）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仍然显著</w:t>
      </w:r>
      <w:r>
        <w:rPr>
          <w:rFonts w:ascii="Arial" w:cs="Arial" w:eastAsia="Arial" w:hAnsi="Arial"/>
          <w:sz w:val="24"/>
          <w:szCs w:val="24"/>
        </w:rPr>
        <w:t xml:space="preserve">。CumRet_1_5 不显著（p = 0.69），与主表一致。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总结五个质疑的回答：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质疑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检验方法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不可靠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三种 SE 对比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全部显著，包括最保守的 DK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反向因果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Placebo + Granger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主方向确认，次要反向存在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ARKK 主导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 + Interaction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剔除 ARKK 后仍显著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时间不稳定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Rolling + FM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方向始终为正，强度随周期变化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规格依赖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Flow%AUM + DK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替代规格均确认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六、第五页：Explorer（交互式探索）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[切换到 Streamlit 第五页 “Explorer”，演示互动]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这一页是一个交互式探索工具，可以选择任意一只 ETF 查看四个维度的分析：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1: 资金流分布（Flow Distribution）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[演示选择 ARKK，展示直方图]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左边是资金流的直方图（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histogram</w:t>
      </w:r>
      <w:r>
        <w:rPr>
          <w:rFonts w:ascii="Arial" w:cs="Arial" w:eastAsia="Arial" w:hAnsi="Arial"/>
          <w:sz w:val="24"/>
          <w:szCs w:val="24"/>
        </w:rPr>
        <w:t xml:space="preserve">），红色虚线是中位数。右边显示均值、标准差、偏度（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skewness</w:t>
      </w:r>
      <w:r>
        <w:rPr>
          <w:rFonts w:ascii="Arial" w:cs="Arial" w:eastAsia="Arial" w:hAnsi="Arial"/>
          <w:sz w:val="24"/>
          <w:szCs w:val="24"/>
        </w:rPr>
        <w:t xml:space="preserve">）和样本量。可以通过切换不同 ETF 来观察各只基金资金流分布的形状差异。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2: 交叉相关图（Cross-Correlogram）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[演示 cross-correlogram]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这张图展示资金流与不同时间偏移的回报率之间的 Pearson 相关系数。横轴是 lag 数（负值 = 回报率领先，正值 = 资金流领先）。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如果负 lag 处出现显著正相关，说明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过去的回报率与未来的资金流正相关</w:t>
      </w:r>
      <w:r>
        <w:rPr>
          <w:rFonts w:ascii="Arial" w:cs="Arial" w:eastAsia="Arial" w:hAnsi="Arial"/>
          <w:sz w:val="24"/>
          <w:szCs w:val="24"/>
        </w:rPr>
        <w:t xml:space="preserve"> = 追涨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灰色虚线是 95% 置信区间，柱子超过虚线表示统计显著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3: R² 热力图（Heatmap）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[演示 heatmap]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这是一张全景图，展示每只 ETF（Y 轴）在每个 lag（X 轴）的单变量回归 R²。颜色越深 = R² 越高 = 预测能力越强。可以一眼看出哪些 ETF 的追涨效应最强、集中在哪些 lag。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Section 4: 季节性分析（Seasonality）</w:t>
      </w:r>
    </w:p>
    <w:p>
      <w:pPr>
        <w:spacing w:after="160" w:line="360"/>
        <w:ind w:left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[演示按月份的平均资金流柱状图]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按 12 个月份分组，显示平均资金流。红色柱子是一月份，用于检验基金文献中著名的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January effect</w:t>
      </w:r>
      <w:r>
        <w:rPr>
          <w:rFonts w:ascii="Arial" w:cs="Arial" w:eastAsia="Arial" w:hAnsi="Arial"/>
          <w:sz w:val="24"/>
          <w:szCs w:val="24"/>
        </w:rPr>
        <w:t xml:space="preserve">（一月效应）：年初投资者倾向于重新配置资产，导致一月资金流异常。我们在 Table 3 中也加入了 january dummy，其系数 = 4.2–5.5（p &lt; 0.015），确认了一月效应的存在。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七、结论与下一步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核心结论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ETF 投资者确实会追涨（performance chasing）。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过去 6–60 天的累计回报率能显著预测资金流入（β = 26.8–44.6，p &lt; 0.01）。但过去 1–5 天的短期波动不能——投资者追的是持续趋势，不是日常噪音。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追涨效应有明确的时间结构。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Local Projection 显示：当天反应最强（β = 411***），第 7–20 天形成显著的平台期，然后逐渐衰减，约 40 个交易日后基本消失。这是 S&amp;T 年度数据无法揭示的细节。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上涨反应“快但短”，下跌反应“慢但稳”。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不对称分析显示：对好消息的追涨反应集中在当天就快速衰减，而对坏消息的资金流出则在 10–25 天后才达到高峰。投资者对坏消息的反应更慢但更持久。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牛市追涨更强烈，熊市追涨失效。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Bull 市场的系数是全样本的 2–3 倍（R² = 10.35%），而 Bear 市场中系数变成负数且不显著。追涨是一个 pro-cyclical 现象。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结果经过了严格的稳健性检验。</w:t>
      </w:r>
    </w:p>
    <w:p>
      <w:pPr>
        <w:spacing w:after="160" w:line="360"/>
      </w:pPr>
      <w:r>
        <w:rPr>
          <w:rFonts w:ascii="Arial" w:cs="Arial" w:eastAsia="Arial" w:hAnsi="Arial"/>
          <w:sz w:val="24"/>
          <w:szCs w:val="24"/>
        </w:rPr>
        <w:t xml:space="preserve">三种标准误方法、Placebo test、Granger 因果、Leave-one-out、ARKK interaction、替代因变量、滚动窗口——所有检验都支持主结论。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下一步工作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完善每只 ARK ETF 各自 peer group 的分析（目前 6 只都已有 peer 数据）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补充 GLS/WLS 估计和 Chow 结构断点检验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sz w:val="24"/>
          <w:szCs w:val="24"/>
        </w:rPr>
        <w:t xml:space="preserve">整理论文初稿，准备向期刊投稿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汇报完毕，谢谢各位领导！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ETF Performance Chasing — 项目汇报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2026-04-05T03:58:02.046Z</dcterms:created>
  <dcterms:modified xsi:type="dcterms:W3CDTF">2026-04-05T03:58:02.048Z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