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974C" w14:textId="77777777" w:rsidR="006647CA" w:rsidRDefault="006647CA">
      <w:pPr>
        <w:spacing w:before="2400"/>
      </w:pPr>
    </w:p>
    <w:p w14:paraId="64C50A0F" w14:textId="77777777" w:rsidR="006647CA" w:rsidRDefault="00F0168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ETF</w:t>
      </w:r>
      <w:r>
        <w:rPr>
          <w:b/>
          <w:bCs/>
          <w:color w:val="1F4E79"/>
          <w:sz w:val="52"/>
          <w:szCs w:val="52"/>
        </w:rPr>
        <w:t>投资者是否追涨杀跌？</w:t>
      </w:r>
    </w:p>
    <w:p w14:paraId="761FDE47" w14:textId="77777777" w:rsidR="006647CA" w:rsidRDefault="00F01680">
      <w:pPr>
        <w:spacing w:after="120"/>
        <w:jc w:val="center"/>
      </w:pPr>
      <w:r>
        <w:rPr>
          <w:i/>
          <w:iCs/>
          <w:color w:val="2E75B6"/>
          <w:sz w:val="32"/>
          <w:szCs w:val="32"/>
        </w:rPr>
        <w:t>Do ETF Investors Chase Past Performance?</w:t>
      </w:r>
    </w:p>
    <w:p w14:paraId="3F9F3B29" w14:textId="77777777" w:rsidR="006647CA" w:rsidRDefault="00F01680">
      <w:pPr>
        <w:spacing w:after="600"/>
        <w:jc w:val="center"/>
      </w:pPr>
      <w:r>
        <w:rPr>
          <w:color w:val="666666"/>
          <w:sz w:val="28"/>
          <w:szCs w:val="28"/>
        </w:rPr>
        <w:t xml:space="preserve">—— </w:t>
      </w:r>
      <w:r>
        <w:rPr>
          <w:color w:val="666666"/>
          <w:sz w:val="28"/>
          <w:szCs w:val="28"/>
        </w:rPr>
        <w:t>项目汇报演讲稿</w:t>
      </w:r>
      <w:r>
        <w:rPr>
          <w:color w:val="666666"/>
          <w:sz w:val="28"/>
          <w:szCs w:val="28"/>
        </w:rPr>
        <w:t xml:space="preserve"> ——</w:t>
      </w:r>
    </w:p>
    <w:p w14:paraId="5AAD66FD" w14:textId="77777777" w:rsidR="006647CA" w:rsidRDefault="00F01680">
      <w:pPr>
        <w:spacing w:after="120"/>
        <w:jc w:val="center"/>
      </w:pPr>
      <w:r>
        <w:rPr>
          <w:sz w:val="26"/>
          <w:szCs w:val="26"/>
        </w:rPr>
        <w:t>基于</w:t>
      </w:r>
      <w:r>
        <w:rPr>
          <w:sz w:val="26"/>
          <w:szCs w:val="26"/>
        </w:rPr>
        <w:t xml:space="preserve"> Sirri &amp; Tufano (1998) </w:t>
      </w:r>
      <w:r>
        <w:rPr>
          <w:sz w:val="26"/>
          <w:szCs w:val="26"/>
        </w:rPr>
        <w:t>框架的</w:t>
      </w:r>
      <w:r>
        <w:rPr>
          <w:sz w:val="26"/>
          <w:szCs w:val="26"/>
        </w:rPr>
        <w:t xml:space="preserve"> ARK ETF </w:t>
      </w:r>
      <w:r>
        <w:rPr>
          <w:sz w:val="26"/>
          <w:szCs w:val="26"/>
        </w:rPr>
        <w:t>资金流研究</w:t>
      </w:r>
    </w:p>
    <w:p w14:paraId="4954E29C" w14:textId="77777777" w:rsidR="006647CA" w:rsidRDefault="00F01680">
      <w:pPr>
        <w:spacing w:after="120"/>
        <w:jc w:val="center"/>
      </w:pPr>
      <w:proofErr w:type="gramStart"/>
      <w:r>
        <w:rPr>
          <w:color w:val="666666"/>
        </w:rPr>
        <w:t>2026</w:t>
      </w:r>
      <w:r>
        <w:rPr>
          <w:color w:val="666666"/>
        </w:rPr>
        <w:t>年</w:t>
      </w:r>
      <w:r>
        <w:rPr>
          <w:color w:val="666666"/>
        </w:rPr>
        <w:t>4</w:t>
      </w:r>
      <w:r>
        <w:rPr>
          <w:color w:val="666666"/>
        </w:rPr>
        <w:t>月</w:t>
      </w:r>
      <w:proofErr w:type="gramEnd"/>
    </w:p>
    <w:p w14:paraId="58864753" w14:textId="77777777" w:rsidR="006647CA" w:rsidRDefault="00F01680">
      <w:r>
        <w:br w:type="page"/>
      </w:r>
    </w:p>
    <w:p w14:paraId="326B0E06" w14:textId="77777777" w:rsidR="006647CA" w:rsidRDefault="00F01680">
      <w:pPr>
        <w:pStyle w:val="Heading1"/>
      </w:pPr>
      <w:r>
        <w:lastRenderedPageBreak/>
        <w:t>一、开场：研究问题与框架</w:t>
      </w:r>
    </w:p>
    <w:p w14:paraId="5005D1F9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屏幕显示</w:t>
      </w:r>
      <w:r>
        <w:rPr>
          <w:i/>
          <w:iCs/>
          <w:color w:val="999999"/>
          <w:sz w:val="22"/>
          <w:szCs w:val="22"/>
        </w:rPr>
        <w:t xml:space="preserve"> </w:t>
      </w:r>
      <w:proofErr w:type="spellStart"/>
      <w:r>
        <w:rPr>
          <w:i/>
          <w:iCs/>
          <w:color w:val="999999"/>
          <w:sz w:val="22"/>
          <w:szCs w:val="22"/>
        </w:rPr>
        <w:t>Streamlit</w:t>
      </w:r>
      <w:proofErr w:type="spellEnd"/>
      <w:r>
        <w:rPr>
          <w:i/>
          <w:iCs/>
          <w:color w:val="999999"/>
          <w:sz w:val="22"/>
          <w:szCs w:val="22"/>
        </w:rPr>
        <w:t xml:space="preserve"> </w:t>
      </w:r>
      <w:r>
        <w:rPr>
          <w:i/>
          <w:iCs/>
          <w:color w:val="999999"/>
          <w:sz w:val="22"/>
          <w:szCs w:val="22"/>
        </w:rPr>
        <w:t>首页</w:t>
      </w:r>
      <w:r>
        <w:rPr>
          <w:i/>
          <w:iCs/>
          <w:color w:val="999999"/>
          <w:sz w:val="22"/>
          <w:szCs w:val="22"/>
        </w:rPr>
        <w:t xml:space="preserve"> — Fund_Flows_Analysis.py]</w:t>
      </w:r>
    </w:p>
    <w:p w14:paraId="0A55167A" w14:textId="77777777" w:rsidR="006647CA" w:rsidRDefault="00F01680">
      <w:pPr>
        <w:spacing w:after="160" w:line="360" w:lineRule="auto"/>
      </w:pPr>
      <w:r>
        <w:t>各位领导好，今天我汇报的项目核心问题是：</w:t>
      </w:r>
      <w:r>
        <w:rPr>
          <w:b/>
          <w:bCs/>
        </w:rPr>
        <w:t>ETF</w:t>
      </w:r>
      <w:r>
        <w:rPr>
          <w:b/>
          <w:bCs/>
        </w:rPr>
        <w:t>投资者在做投资决策时，</w:t>
      </w:r>
      <w:proofErr w:type="gramStart"/>
      <w:r>
        <w:rPr>
          <w:b/>
          <w:bCs/>
        </w:rPr>
        <w:t>是否会</w:t>
      </w:r>
      <w:r>
        <w:rPr>
          <w:b/>
          <w:bCs/>
        </w:rPr>
        <w:t>“</w:t>
      </w:r>
      <w:r>
        <w:rPr>
          <w:b/>
          <w:bCs/>
        </w:rPr>
        <w:t>追涨</w:t>
      </w:r>
      <w:r>
        <w:rPr>
          <w:b/>
          <w:bCs/>
        </w:rPr>
        <w:t>”</w:t>
      </w:r>
      <w:r>
        <w:rPr>
          <w:b/>
          <w:bCs/>
        </w:rPr>
        <w:t>？</w:t>
      </w:r>
      <w:proofErr w:type="gramEnd"/>
    </w:p>
    <w:p w14:paraId="7D4BF1B3" w14:textId="77777777" w:rsidR="006647CA" w:rsidRDefault="006647CA">
      <w:pPr>
        <w:spacing w:after="80"/>
      </w:pPr>
    </w:p>
    <w:p w14:paraId="658466BF" w14:textId="77777777" w:rsidR="006647CA" w:rsidRDefault="00F01680">
      <w:pPr>
        <w:spacing w:after="160" w:line="360" w:lineRule="auto"/>
      </w:pPr>
      <w:r>
        <w:t>所谓</w:t>
      </w:r>
      <w:r>
        <w:t>“</w:t>
      </w:r>
      <w:r>
        <w:t>追涨</w:t>
      </w:r>
      <w:r>
        <w:t>”</w:t>
      </w:r>
      <w:r>
        <w:t>，学术上叫</w:t>
      </w:r>
      <w:r>
        <w:t xml:space="preserve"> </w:t>
      </w:r>
      <w:r>
        <w:rPr>
          <w:i/>
          <w:iCs/>
          <w:color w:val="2E75B6"/>
        </w:rPr>
        <w:t>performance chasing</w:t>
      </w:r>
      <w:r>
        <w:t>，指的是投资者看到某只基金过去一段时间涨得好，就把钱追进去买。这个现象在共同基金（</w:t>
      </w:r>
      <w:r>
        <w:rPr>
          <w:i/>
          <w:iCs/>
          <w:color w:val="2E75B6"/>
        </w:rPr>
        <w:t>mutual fund</w:t>
      </w:r>
      <w:r>
        <w:t>）的研究中早已被证实，但在</w:t>
      </w:r>
      <w:r>
        <w:t xml:space="preserve"> ETF </w:t>
      </w:r>
      <w:r>
        <w:t>领域还没有系统性的实证研究。</w:t>
      </w:r>
    </w:p>
    <w:p w14:paraId="23669E02" w14:textId="77777777" w:rsidR="006647CA" w:rsidRDefault="006647CA">
      <w:pPr>
        <w:spacing w:after="80"/>
      </w:pPr>
    </w:p>
    <w:p w14:paraId="32C8666E" w14:textId="77777777" w:rsidR="006647CA" w:rsidRDefault="00F01680">
      <w:pPr>
        <w:spacing w:after="160" w:line="360" w:lineRule="auto"/>
      </w:pPr>
      <w:r>
        <w:t>我们的理论基础是</w:t>
      </w:r>
      <w:r>
        <w:t xml:space="preserve"> 1998 </w:t>
      </w:r>
      <w:r>
        <w:t>年</w:t>
      </w:r>
      <w:r>
        <w:t xml:space="preserve"> Sirri &amp; Tufano </w:t>
      </w:r>
      <w:r>
        <w:t>发表在</w:t>
      </w:r>
      <w:r>
        <w:t xml:space="preserve"> </w:t>
      </w:r>
      <w:r>
        <w:rPr>
          <w:i/>
          <w:iCs/>
          <w:color w:val="2E75B6"/>
        </w:rPr>
        <w:t>The Journal of Finance</w:t>
      </w:r>
      <w:r>
        <w:t xml:space="preserve"> </w:t>
      </w:r>
      <w:r>
        <w:t>上的经典论文</w:t>
      </w:r>
      <w:r>
        <w:t>“Costly Search and Mutual Fund Flows”</w:t>
      </w:r>
      <w:r>
        <w:t>。他们的核心发现是：</w:t>
      </w:r>
    </w:p>
    <w:p w14:paraId="4D0E4A2D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proofErr w:type="gramStart"/>
      <w:r>
        <w:rPr>
          <w:b/>
          <w:bCs/>
        </w:rPr>
        <w:t>投资者会追涨</w:t>
      </w:r>
      <w:proofErr w:type="gramEnd"/>
      <w:r>
        <w:rPr>
          <w:b/>
          <w:bCs/>
        </w:rPr>
        <w:t>，但不会等比例地杀跌</w:t>
      </w:r>
      <w:r>
        <w:t>——</w:t>
      </w:r>
      <w:r>
        <w:t>业绩排名前</w:t>
      </w:r>
      <w:r>
        <w:t xml:space="preserve"> 20% </w:t>
      </w:r>
      <w:r>
        <w:t>的基金会吸引大量资金流入，但排名后</w:t>
      </w:r>
      <w:r>
        <w:t xml:space="preserve"> 20% </w:t>
      </w:r>
      <w:r>
        <w:t>的基金并不会等比例地流出</w:t>
      </w:r>
    </w:p>
    <w:p w14:paraId="38406D60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t>这种不对称的关系叫做</w:t>
      </w:r>
      <w:r>
        <w:t xml:space="preserve"> </w:t>
      </w:r>
      <w:r>
        <w:rPr>
          <w:i/>
          <w:iCs/>
          <w:color w:val="2E75B6"/>
        </w:rPr>
        <w:t>convex flow-performance relationship</w:t>
      </w:r>
      <w:r>
        <w:t>（凸性的资金流</w:t>
      </w:r>
      <w:r>
        <w:t>-</w:t>
      </w:r>
      <w:r>
        <w:t>业绩关系）</w:t>
      </w:r>
    </w:p>
    <w:p w14:paraId="1AB0CB3A" w14:textId="77777777" w:rsidR="006647CA" w:rsidRDefault="006647CA">
      <w:pPr>
        <w:spacing w:after="80"/>
      </w:pPr>
    </w:p>
    <w:p w14:paraId="0B713143" w14:textId="77777777" w:rsidR="006647CA" w:rsidRDefault="00F01680">
      <w:pPr>
        <w:spacing w:after="160" w:line="360" w:lineRule="auto"/>
      </w:pPr>
      <w:r>
        <w:t>但</w:t>
      </w:r>
      <w:r>
        <w:t xml:space="preserve"> S&amp;T </w:t>
      </w:r>
      <w:r>
        <w:t>用的是</w:t>
      </w:r>
      <w:r>
        <w:rPr>
          <w:b/>
          <w:bCs/>
        </w:rPr>
        <w:t>年度</w:t>
      </w:r>
      <w:r>
        <w:t>数据，只能证明</w:t>
      </w:r>
      <w:r>
        <w:t>“</w:t>
      </w:r>
      <w:r>
        <w:t>追涨存在</w:t>
      </w:r>
      <w:r>
        <w:t>”</w:t>
      </w:r>
      <w:r>
        <w:t>，不能回答</w:t>
      </w:r>
      <w:r>
        <w:t>“</w:t>
      </w:r>
      <w:r>
        <w:t>投资者多快反应、持续多久、牛熊市有无区别</w:t>
      </w:r>
      <w:r>
        <w:t>”</w:t>
      </w:r>
      <w:r>
        <w:t>这些问题。我们的创新在于</w:t>
      </w:r>
      <w:proofErr w:type="gramStart"/>
      <w:r>
        <w:t>用</w:t>
      </w:r>
      <w:r>
        <w:rPr>
          <w:b/>
          <w:bCs/>
        </w:rPr>
        <w:t>日度</w:t>
      </w:r>
      <w:proofErr w:type="gramEnd"/>
      <w:r>
        <w:t xml:space="preserve"> ETF </w:t>
      </w:r>
      <w:r>
        <w:t>数据来回答这些问题。</w:t>
      </w:r>
    </w:p>
    <w:p w14:paraId="107B8BDE" w14:textId="77777777" w:rsidR="006647CA" w:rsidRDefault="00F01680">
      <w:r>
        <w:br w:type="page"/>
      </w:r>
    </w:p>
    <w:p w14:paraId="6EB183C9" w14:textId="77777777" w:rsidR="006647CA" w:rsidRDefault="00F01680">
      <w:pPr>
        <w:pStyle w:val="Heading1"/>
      </w:pPr>
      <w:r>
        <w:lastRenderedPageBreak/>
        <w:t>二、第一页：</w:t>
      </w:r>
      <w:r>
        <w:t>The Data</w:t>
      </w:r>
      <w:r>
        <w:t>（数据总览）</w:t>
      </w:r>
    </w:p>
    <w:p w14:paraId="2B19A271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切换到</w:t>
      </w:r>
      <w:r>
        <w:rPr>
          <w:i/>
          <w:iCs/>
          <w:color w:val="999999"/>
          <w:sz w:val="22"/>
          <w:szCs w:val="22"/>
        </w:rPr>
        <w:t xml:space="preserve"> </w:t>
      </w:r>
      <w:proofErr w:type="spellStart"/>
      <w:r>
        <w:rPr>
          <w:i/>
          <w:iCs/>
          <w:color w:val="999999"/>
          <w:sz w:val="22"/>
          <w:szCs w:val="22"/>
        </w:rPr>
        <w:t>Streamlit</w:t>
      </w:r>
      <w:proofErr w:type="spellEnd"/>
      <w:r>
        <w:rPr>
          <w:i/>
          <w:iCs/>
          <w:color w:val="999999"/>
          <w:sz w:val="22"/>
          <w:szCs w:val="22"/>
        </w:rPr>
        <w:t xml:space="preserve"> </w:t>
      </w:r>
      <w:r>
        <w:rPr>
          <w:i/>
          <w:iCs/>
          <w:color w:val="999999"/>
          <w:sz w:val="22"/>
          <w:szCs w:val="22"/>
        </w:rPr>
        <w:t>第一页</w:t>
      </w:r>
      <w:r>
        <w:rPr>
          <w:i/>
          <w:iCs/>
          <w:color w:val="999999"/>
          <w:sz w:val="22"/>
          <w:szCs w:val="22"/>
        </w:rPr>
        <w:t xml:space="preserve"> “The Data”]</w:t>
      </w:r>
    </w:p>
    <w:p w14:paraId="11799C99" w14:textId="77777777" w:rsidR="006647CA" w:rsidRDefault="00F01680">
      <w:pPr>
        <w:pStyle w:val="Heading2"/>
      </w:pPr>
      <w:r>
        <w:t xml:space="preserve">1. </w:t>
      </w:r>
      <w:r>
        <w:t>价格与资金流图（</w:t>
      </w:r>
      <w:r>
        <w:t>Price and Fund Flow</w:t>
      </w:r>
      <w:r>
        <w:t>）</w:t>
      </w:r>
    </w:p>
    <w:p w14:paraId="0179615E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展示</w:t>
      </w:r>
      <w:r>
        <w:rPr>
          <w:i/>
          <w:iCs/>
          <w:color w:val="999999"/>
          <w:sz w:val="22"/>
          <w:szCs w:val="22"/>
        </w:rPr>
        <w:t xml:space="preserve"> K </w:t>
      </w:r>
      <w:r>
        <w:rPr>
          <w:i/>
          <w:iCs/>
          <w:color w:val="999999"/>
          <w:sz w:val="22"/>
          <w:szCs w:val="22"/>
        </w:rPr>
        <w:t>线</w:t>
      </w:r>
      <w:r>
        <w:rPr>
          <w:i/>
          <w:iCs/>
          <w:color w:val="999999"/>
          <w:sz w:val="22"/>
          <w:szCs w:val="22"/>
        </w:rPr>
        <w:t xml:space="preserve"> + </w:t>
      </w:r>
      <w:r>
        <w:rPr>
          <w:i/>
          <w:iCs/>
          <w:color w:val="999999"/>
          <w:sz w:val="22"/>
          <w:szCs w:val="22"/>
        </w:rPr>
        <w:t>资金流柱状图，选择</w:t>
      </w:r>
      <w:r>
        <w:rPr>
          <w:i/>
          <w:iCs/>
          <w:color w:val="999999"/>
          <w:sz w:val="22"/>
          <w:szCs w:val="22"/>
        </w:rPr>
        <w:t xml:space="preserve"> ARKK]</w:t>
      </w:r>
    </w:p>
    <w:p w14:paraId="28990713" w14:textId="77777777" w:rsidR="006647CA" w:rsidRDefault="00F01680">
      <w:pPr>
        <w:spacing w:after="160" w:line="360" w:lineRule="auto"/>
      </w:pPr>
      <w:r>
        <w:t>这张图上半部分是</w:t>
      </w:r>
      <w:r>
        <w:t xml:space="preserve"> ARKK </w:t>
      </w:r>
      <w:r>
        <w:t>的价格走势（</w:t>
      </w:r>
      <w:r>
        <w:rPr>
          <w:i/>
          <w:iCs/>
          <w:color w:val="2E75B6"/>
        </w:rPr>
        <w:t>candlestick</w:t>
      </w:r>
      <w:r>
        <w:t>），下半部分是每日的净资金流（</w:t>
      </w:r>
      <w:r>
        <w:rPr>
          <w:i/>
          <w:iCs/>
          <w:color w:val="2E75B6"/>
        </w:rPr>
        <w:t>net fund flow</w:t>
      </w:r>
      <w:r>
        <w:t>）。绿色柱子代表资金流入，红色代表流出。</w:t>
      </w:r>
    </w:p>
    <w:p w14:paraId="11B13906" w14:textId="77777777" w:rsidR="006647CA" w:rsidRDefault="00F01680">
      <w:pPr>
        <w:spacing w:after="160" w:line="360" w:lineRule="auto"/>
      </w:pPr>
      <w:r>
        <w:t>肉眼可以看到：在</w:t>
      </w:r>
      <w:r>
        <w:t xml:space="preserve"> 2020–2021 </w:t>
      </w:r>
      <w:r>
        <w:t>年</w:t>
      </w:r>
      <w:r>
        <w:t xml:space="preserve"> ARKK </w:t>
      </w:r>
      <w:r>
        <w:t>价格大涨期间，资金大量流入；而</w:t>
      </w:r>
      <w:r>
        <w:t xml:space="preserve"> 2022 </w:t>
      </w:r>
      <w:r>
        <w:t>年价格下跌后，资金流出的反应明显比较慢。这就是我们要用统计方法验证的现象。</w:t>
      </w:r>
    </w:p>
    <w:p w14:paraId="56E56758" w14:textId="77777777" w:rsidR="006647CA" w:rsidRDefault="00F01680">
      <w:pPr>
        <w:pStyle w:val="Heading2"/>
      </w:pPr>
      <w:r>
        <w:t xml:space="preserve">2. </w:t>
      </w:r>
      <w:r>
        <w:t>描述统计（</w:t>
      </w:r>
      <w:r>
        <w:t>Summary Statistics</w:t>
      </w:r>
      <w:r>
        <w:t>）</w:t>
      </w:r>
    </w:p>
    <w:p w14:paraId="39BA7A17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展示</w:t>
      </w:r>
      <w:r>
        <w:rPr>
          <w:i/>
          <w:iCs/>
          <w:color w:val="999999"/>
          <w:sz w:val="22"/>
          <w:szCs w:val="22"/>
        </w:rPr>
        <w:t xml:space="preserve"> Table 1 </w:t>
      </w:r>
      <w:r>
        <w:rPr>
          <w:i/>
          <w:iCs/>
          <w:color w:val="999999"/>
          <w:sz w:val="22"/>
          <w:szCs w:val="22"/>
        </w:rPr>
        <w:t>描述统计表</w:t>
      </w:r>
      <w:r>
        <w:rPr>
          <w:i/>
          <w:iCs/>
          <w:color w:val="999999"/>
          <w:sz w:val="22"/>
          <w:szCs w:val="22"/>
        </w:rPr>
        <w:t>]</w:t>
      </w:r>
    </w:p>
    <w:p w14:paraId="41EAA1B7" w14:textId="77777777" w:rsidR="006647CA" w:rsidRDefault="00F01680">
      <w:pPr>
        <w:spacing w:after="160" w:line="360" w:lineRule="auto"/>
      </w:pPr>
      <w:r>
        <w:t>我们的样本包含</w:t>
      </w:r>
      <w:r>
        <w:t xml:space="preserve"> </w:t>
      </w:r>
      <w:r>
        <w:rPr>
          <w:b/>
          <w:bCs/>
        </w:rPr>
        <w:t xml:space="preserve">6 </w:t>
      </w:r>
      <w:r>
        <w:rPr>
          <w:b/>
          <w:bCs/>
        </w:rPr>
        <w:t>只</w:t>
      </w:r>
      <w:r>
        <w:rPr>
          <w:b/>
          <w:bCs/>
        </w:rPr>
        <w:t xml:space="preserve"> ARK ETF</w:t>
      </w:r>
      <w:r>
        <w:t>（</w:t>
      </w:r>
      <w:r>
        <w:t>ARKK</w:t>
      </w:r>
      <w:r>
        <w:t>、</w:t>
      </w:r>
      <w:r>
        <w:t>ARKF</w:t>
      </w:r>
      <w:r>
        <w:t>、</w:t>
      </w:r>
      <w:r>
        <w:t>ARKG</w:t>
      </w:r>
      <w:r>
        <w:t>、</w:t>
      </w:r>
      <w:r>
        <w:t>ARKQ</w:t>
      </w:r>
      <w:r>
        <w:t>、</w:t>
      </w:r>
      <w:r>
        <w:t>ARKW</w:t>
      </w:r>
      <w:r>
        <w:t>、</w:t>
      </w:r>
      <w:r>
        <w:t>ARKX</w:t>
      </w:r>
      <w:r>
        <w:t>）和它们对应的约</w:t>
      </w:r>
      <w:r>
        <w:t xml:space="preserve"> </w:t>
      </w:r>
      <w:r>
        <w:rPr>
          <w:b/>
          <w:bCs/>
        </w:rPr>
        <w:t xml:space="preserve">100 </w:t>
      </w:r>
      <w:r>
        <w:rPr>
          <w:b/>
          <w:bCs/>
        </w:rPr>
        <w:t>只同类型</w:t>
      </w:r>
      <w:r>
        <w:rPr>
          <w:b/>
          <w:bCs/>
        </w:rPr>
        <w:t xml:space="preserve"> peer ETF</w:t>
      </w:r>
      <w:r>
        <w:t>，时间跨度从</w:t>
      </w:r>
      <w:r>
        <w:t xml:space="preserve"> 2014 </w:t>
      </w:r>
      <w:r>
        <w:t>年到</w:t>
      </w:r>
      <w:r>
        <w:t xml:space="preserve"> 2026 </w:t>
      </w:r>
      <w:r>
        <w:t>年，数据源为</w:t>
      </w:r>
      <w:r>
        <w:t xml:space="preserve"> Bloomberg</w:t>
      </w:r>
      <w:r>
        <w:t>。</w:t>
      </w:r>
    </w:p>
    <w:p w14:paraId="614ACFC2" w14:textId="77777777" w:rsidR="006647CA" w:rsidRDefault="00F01680">
      <w:pPr>
        <w:spacing w:after="160" w:line="360" w:lineRule="auto"/>
      </w:pPr>
      <w:r>
        <w:t>每只</w:t>
      </w:r>
      <w:r>
        <w:t xml:space="preserve"> ETF </w:t>
      </w:r>
      <w:r>
        <w:t>的日均资金流均值为</w:t>
      </w:r>
      <w:r>
        <w:t xml:space="preserve"> </w:t>
      </w:r>
      <w:r>
        <w:rPr>
          <w:b/>
          <w:bCs/>
        </w:rPr>
        <w:t>$1.53M</w:t>
      </w:r>
      <w:r>
        <w:t>，标准差达</w:t>
      </w:r>
      <w:r>
        <w:t xml:space="preserve"> </w:t>
      </w:r>
      <w:r>
        <w:rPr>
          <w:b/>
          <w:bCs/>
        </w:rPr>
        <w:t>$65.9M</w:t>
      </w:r>
      <w:r>
        <w:t>，说明资金流的波动非常大。平均</w:t>
      </w:r>
      <w:r>
        <w:t xml:space="preserve"> AUM</w:t>
      </w:r>
      <w:r>
        <w:t>（</w:t>
      </w:r>
      <w:r>
        <w:rPr>
          <w:i/>
          <w:iCs/>
          <w:color w:val="2E75B6"/>
        </w:rPr>
        <w:t>Assets Under Management</w:t>
      </w:r>
      <w:r>
        <w:t>，管理资产规模）约</w:t>
      </w:r>
      <w:r>
        <w:t xml:space="preserve"> </w:t>
      </w:r>
      <w:r>
        <w:rPr>
          <w:b/>
          <w:bCs/>
        </w:rPr>
        <w:t xml:space="preserve">$20.8 </w:t>
      </w:r>
      <w:r>
        <w:rPr>
          <w:b/>
          <w:bCs/>
        </w:rPr>
        <w:t>亿</w:t>
      </w:r>
      <w:r>
        <w:t>。</w:t>
      </w:r>
    </w:p>
    <w:p w14:paraId="0E111CFF" w14:textId="77777777" w:rsidR="006647CA" w:rsidRDefault="00F01680">
      <w:pPr>
        <w:spacing w:after="160" w:line="360" w:lineRule="auto"/>
      </w:pPr>
      <w:r>
        <w:t>右边表格展示的是</w:t>
      </w:r>
      <w:r>
        <w:t xml:space="preserve"> </w:t>
      </w:r>
      <w:r>
        <w:rPr>
          <w:i/>
          <w:iCs/>
          <w:color w:val="2E75B6"/>
        </w:rPr>
        <w:t>between/within decomposition</w:t>
      </w:r>
      <w:r>
        <w:t>（组间</w:t>
      </w:r>
      <w:r>
        <w:t>/</w:t>
      </w:r>
      <w:r>
        <w:t>组内方差分解）。组内方差占比高，说明资金流的变化主要来自每只</w:t>
      </w:r>
      <w:r>
        <w:t xml:space="preserve"> ETF </w:t>
      </w:r>
      <w:r>
        <w:rPr>
          <w:b/>
          <w:bCs/>
        </w:rPr>
        <w:t>自身随时间的波动</w:t>
      </w:r>
      <w:r>
        <w:t>，而不是</w:t>
      </w:r>
      <w:r>
        <w:t xml:space="preserve"> ETF </w:t>
      </w:r>
      <w:r>
        <w:t>之间的差异。这也证明我们使用</w:t>
      </w:r>
      <w:r>
        <w:t xml:space="preserve"> </w:t>
      </w:r>
      <w:r>
        <w:rPr>
          <w:i/>
          <w:iCs/>
          <w:color w:val="2E75B6"/>
        </w:rPr>
        <w:t>entity fixed effects</w:t>
      </w:r>
      <w:r>
        <w:t>（个体固定效应）模型是合理的。</w:t>
      </w:r>
    </w:p>
    <w:p w14:paraId="41921C1B" w14:textId="77777777" w:rsidR="006647CA" w:rsidRDefault="00F01680">
      <w:pPr>
        <w:pStyle w:val="Heading2"/>
      </w:pPr>
      <w:r>
        <w:t xml:space="preserve">3. ARK vs. Peer </w:t>
      </w:r>
      <w:r>
        <w:t>资金流对比</w:t>
      </w:r>
    </w:p>
    <w:p w14:paraId="1D4D1DDD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展示</w:t>
      </w:r>
      <w:r>
        <w:rPr>
          <w:i/>
          <w:iCs/>
          <w:color w:val="999999"/>
          <w:sz w:val="22"/>
          <w:szCs w:val="22"/>
        </w:rPr>
        <w:t xml:space="preserve"> ARK </w:t>
      </w:r>
      <w:r>
        <w:rPr>
          <w:i/>
          <w:iCs/>
          <w:color w:val="999999"/>
          <w:sz w:val="22"/>
          <w:szCs w:val="22"/>
        </w:rPr>
        <w:t>与</w:t>
      </w:r>
      <w:r>
        <w:rPr>
          <w:i/>
          <w:iCs/>
          <w:color w:val="999999"/>
          <w:sz w:val="22"/>
          <w:szCs w:val="22"/>
        </w:rPr>
        <w:t xml:space="preserve"> Peer </w:t>
      </w:r>
      <w:r>
        <w:rPr>
          <w:i/>
          <w:iCs/>
          <w:color w:val="999999"/>
          <w:sz w:val="22"/>
          <w:szCs w:val="22"/>
        </w:rPr>
        <w:t>的</w:t>
      </w:r>
      <w:r>
        <w:rPr>
          <w:i/>
          <w:iCs/>
          <w:color w:val="999999"/>
          <w:sz w:val="22"/>
          <w:szCs w:val="22"/>
        </w:rPr>
        <w:t xml:space="preserve"> 20 </w:t>
      </w:r>
      <w:r>
        <w:rPr>
          <w:i/>
          <w:iCs/>
          <w:color w:val="999999"/>
          <w:sz w:val="22"/>
          <w:szCs w:val="22"/>
        </w:rPr>
        <w:t>期移动平均资金流对比图</w:t>
      </w:r>
      <w:r>
        <w:rPr>
          <w:i/>
          <w:iCs/>
          <w:color w:val="999999"/>
          <w:sz w:val="22"/>
          <w:szCs w:val="22"/>
        </w:rPr>
        <w:t>]</w:t>
      </w:r>
    </w:p>
    <w:p w14:paraId="327F69E6" w14:textId="77777777" w:rsidR="006647CA" w:rsidRDefault="00F01680">
      <w:pPr>
        <w:spacing w:after="160" w:line="360" w:lineRule="auto"/>
      </w:pPr>
      <w:r>
        <w:t>这张图把</w:t>
      </w:r>
      <w:r>
        <w:t xml:space="preserve"> ARK ETF </w:t>
      </w:r>
      <w:r>
        <w:t>和同类型</w:t>
      </w:r>
      <w:r>
        <w:t xml:space="preserve"> peer ETF </w:t>
      </w:r>
      <w:r>
        <w:t>的平均资金流放在一起比较。可以看出</w:t>
      </w:r>
      <w:r>
        <w:t xml:space="preserve"> ARK </w:t>
      </w:r>
      <w:r>
        <w:t>的资金流波动远大于同类型基金，说明</w:t>
      </w:r>
      <w:r>
        <w:t xml:space="preserve"> ARK </w:t>
      </w:r>
      <w:r>
        <w:t>投资者的行为更极端。</w:t>
      </w:r>
    </w:p>
    <w:p w14:paraId="5D0E6263" w14:textId="77777777" w:rsidR="006647CA" w:rsidRDefault="00F01680">
      <w:r>
        <w:br w:type="page"/>
      </w:r>
    </w:p>
    <w:p w14:paraId="0BE154E6" w14:textId="77777777" w:rsidR="006647CA" w:rsidRDefault="00F01680">
      <w:pPr>
        <w:pStyle w:val="Heading1"/>
      </w:pPr>
      <w:r>
        <w:lastRenderedPageBreak/>
        <w:t>三、第二页：</w:t>
      </w:r>
      <w:r>
        <w:t>The Evidence</w:t>
      </w:r>
      <w:r>
        <w:t>（实证证据）</w:t>
      </w:r>
    </w:p>
    <w:p w14:paraId="5E82A25E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切换到</w:t>
      </w:r>
      <w:r>
        <w:rPr>
          <w:i/>
          <w:iCs/>
          <w:color w:val="999999"/>
          <w:sz w:val="22"/>
          <w:szCs w:val="22"/>
        </w:rPr>
        <w:t xml:space="preserve"> </w:t>
      </w:r>
      <w:proofErr w:type="spellStart"/>
      <w:r>
        <w:rPr>
          <w:i/>
          <w:iCs/>
          <w:color w:val="999999"/>
          <w:sz w:val="22"/>
          <w:szCs w:val="22"/>
        </w:rPr>
        <w:t>Streamlit</w:t>
      </w:r>
      <w:proofErr w:type="spellEnd"/>
      <w:r>
        <w:rPr>
          <w:i/>
          <w:iCs/>
          <w:color w:val="999999"/>
          <w:sz w:val="22"/>
          <w:szCs w:val="22"/>
        </w:rPr>
        <w:t xml:space="preserve"> </w:t>
      </w:r>
      <w:r>
        <w:rPr>
          <w:i/>
          <w:iCs/>
          <w:color w:val="999999"/>
          <w:sz w:val="22"/>
          <w:szCs w:val="22"/>
        </w:rPr>
        <w:t>第二页</w:t>
      </w:r>
      <w:r>
        <w:rPr>
          <w:i/>
          <w:iCs/>
          <w:color w:val="999999"/>
          <w:sz w:val="22"/>
          <w:szCs w:val="22"/>
        </w:rPr>
        <w:t xml:space="preserve"> “The Evidence”]</w:t>
      </w:r>
    </w:p>
    <w:p w14:paraId="549BCD6F" w14:textId="77777777" w:rsidR="006647CA" w:rsidRDefault="00F01680">
      <w:pPr>
        <w:spacing w:after="160" w:line="360" w:lineRule="auto"/>
      </w:pPr>
      <w:r>
        <w:t>这一页是整个项目的核心，从三个层面证明</w:t>
      </w:r>
      <w:r>
        <w:t>“</w:t>
      </w:r>
      <w:r>
        <w:t>追涨</w:t>
      </w:r>
      <w:r>
        <w:t>”</w:t>
      </w:r>
      <w:r>
        <w:t>存在。</w:t>
      </w:r>
    </w:p>
    <w:p w14:paraId="7824FAA1" w14:textId="77777777" w:rsidR="006647CA" w:rsidRDefault="00F01680">
      <w:pPr>
        <w:pStyle w:val="Heading2"/>
      </w:pPr>
      <w:r>
        <w:t xml:space="preserve">1. S&amp;T </w:t>
      </w:r>
      <w:r>
        <w:t>散点图（</w:t>
      </w:r>
      <w:r>
        <w:t>Performance Rank vs. Flow</w:t>
      </w:r>
      <w:r>
        <w:t>）</w:t>
      </w:r>
    </w:p>
    <w:p w14:paraId="3DAFF47D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展示</w:t>
      </w:r>
      <w:r>
        <w:rPr>
          <w:i/>
          <w:iCs/>
          <w:color w:val="999999"/>
          <w:sz w:val="22"/>
          <w:szCs w:val="22"/>
        </w:rPr>
        <w:t xml:space="preserve"> S&amp;T scatter </w:t>
      </w:r>
      <w:r>
        <w:rPr>
          <w:i/>
          <w:iCs/>
          <w:color w:val="999999"/>
          <w:sz w:val="22"/>
          <w:szCs w:val="22"/>
        </w:rPr>
        <w:t>散点图</w:t>
      </w:r>
      <w:r>
        <w:rPr>
          <w:i/>
          <w:iCs/>
          <w:color w:val="999999"/>
          <w:sz w:val="22"/>
          <w:szCs w:val="22"/>
        </w:rPr>
        <w:t>]</w:t>
      </w:r>
    </w:p>
    <w:p w14:paraId="22433EF2" w14:textId="77777777" w:rsidR="006647CA" w:rsidRDefault="00F01680">
      <w:pPr>
        <w:spacing w:after="160" w:line="360" w:lineRule="auto"/>
      </w:pPr>
      <w:r>
        <w:t>这张图复现了</w:t>
      </w:r>
      <w:r>
        <w:t xml:space="preserve"> S&amp;T </w:t>
      </w:r>
      <w:r>
        <w:t>论文的经典图表。横轴是</w:t>
      </w:r>
      <w:r>
        <w:t xml:space="preserve"> </w:t>
      </w:r>
      <w:r>
        <w:rPr>
          <w:i/>
          <w:iCs/>
          <w:color w:val="2E75B6"/>
        </w:rPr>
        <w:t>fractional performance rank</w:t>
      </w:r>
      <w:r>
        <w:t>（分位数业绩排名），从</w:t>
      </w:r>
      <w:r>
        <w:t xml:space="preserve"> 0</w:t>
      </w:r>
      <w:r>
        <w:t>（最差）到</w:t>
      </w:r>
      <w:r>
        <w:t xml:space="preserve"> 1</w:t>
      </w:r>
      <w:r>
        <w:t>（最好）；纵轴是该月的资金流（占</w:t>
      </w:r>
      <w:r>
        <w:t xml:space="preserve"> AUM </w:t>
      </w:r>
      <w:r>
        <w:t>的百分比）。</w:t>
      </w:r>
    </w:p>
    <w:p w14:paraId="08D29419" w14:textId="77777777" w:rsidR="006647CA" w:rsidRDefault="00F01680">
      <w:pPr>
        <w:spacing w:after="160" w:line="360" w:lineRule="auto"/>
      </w:pPr>
      <w:r>
        <w:t>红色线是</w:t>
      </w:r>
      <w:r>
        <w:t xml:space="preserve"> 20 </w:t>
      </w:r>
      <w:proofErr w:type="gramStart"/>
      <w:r>
        <w:t>个</w:t>
      </w:r>
      <w:proofErr w:type="gramEnd"/>
      <w:r>
        <w:t>分组的平均值。可以清晰地看到：</w:t>
      </w:r>
      <w:r>
        <w:rPr>
          <w:b/>
          <w:bCs/>
        </w:rPr>
        <w:t>红线在右端明显上翘</w:t>
      </w:r>
      <w:r>
        <w:t>——</w:t>
      </w:r>
      <w:r>
        <w:t>这就是</w:t>
      </w:r>
      <w:r>
        <w:t>“</w:t>
      </w:r>
      <w:r>
        <w:t>追涨</w:t>
      </w:r>
      <w:r>
        <w:t>”</w:t>
      </w:r>
      <w:r>
        <w:t>的直观证据。业绩排名前</w:t>
      </w:r>
      <w:r>
        <w:t xml:space="preserve"> 20% </w:t>
      </w:r>
      <w:r>
        <w:t>的基金，资金流入不成比例地增加。</w:t>
      </w:r>
    </w:p>
    <w:p w14:paraId="11882FD1" w14:textId="77777777" w:rsidR="006647CA" w:rsidRDefault="00F01680">
      <w:pPr>
        <w:pStyle w:val="Heading2"/>
      </w:pPr>
      <w:r>
        <w:t xml:space="preserve">2. S&amp;T </w:t>
      </w:r>
      <w:r>
        <w:t>分段线性回归（</w:t>
      </w:r>
      <w:r>
        <w:t>Piecewise Linear Regression</w:t>
      </w:r>
      <w:r>
        <w:t>）</w:t>
      </w:r>
    </w:p>
    <w:p w14:paraId="309F2943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展示</w:t>
      </w:r>
      <w:r>
        <w:rPr>
          <w:i/>
          <w:iCs/>
          <w:color w:val="999999"/>
          <w:sz w:val="22"/>
          <w:szCs w:val="22"/>
        </w:rPr>
        <w:t xml:space="preserve"> Table 2]</w:t>
      </w:r>
    </w:p>
    <w:p w14:paraId="64FEBBFD" w14:textId="77777777" w:rsidR="006647CA" w:rsidRDefault="00F01680">
      <w:pPr>
        <w:spacing w:after="160" w:line="360" w:lineRule="auto"/>
      </w:pPr>
      <w:r>
        <w:t>我们把散点图的观察用回归模型来量化。按照</w:t>
      </w:r>
      <w:r>
        <w:t xml:space="preserve"> S&amp;T </w:t>
      </w:r>
      <w:r>
        <w:t>的经典做法，把业绩排名分成三段：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400"/>
        <w:gridCol w:w="1960"/>
      </w:tblGrid>
      <w:tr w:rsidR="006647CA" w14:paraId="1DEFFD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D226" w14:textId="77777777" w:rsidR="006647CA" w:rsidRDefault="00F01680">
            <w:r>
              <w:rPr>
                <w:b/>
                <w:bCs/>
                <w:color w:val="FFFFFF"/>
                <w:sz w:val="22"/>
                <w:szCs w:val="22"/>
              </w:rPr>
              <w:t>变量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AB3B" w14:textId="77777777" w:rsidR="006647CA" w:rsidRDefault="00F01680">
            <w:r>
              <w:rPr>
                <w:b/>
                <w:bCs/>
                <w:color w:val="FFFFFF"/>
                <w:sz w:val="22"/>
                <w:szCs w:val="22"/>
              </w:rPr>
              <w:t>含义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F5D1" w14:textId="77777777" w:rsidR="006647CA" w:rsidRDefault="00F01680">
            <w:r>
              <w:rPr>
                <w:b/>
                <w:bCs/>
                <w:color w:val="FFFFFF"/>
                <w:sz w:val="22"/>
                <w:szCs w:val="22"/>
              </w:rPr>
              <w:t>系数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FE50" w14:textId="77777777" w:rsidR="006647CA" w:rsidRDefault="00F01680">
            <w:r>
              <w:rPr>
                <w:b/>
                <w:bCs/>
                <w:color w:val="FFFFFF"/>
                <w:sz w:val="22"/>
                <w:szCs w:val="22"/>
              </w:rPr>
              <w:t>显著性</w:t>
            </w:r>
          </w:p>
        </w:tc>
      </w:tr>
      <w:tr w:rsidR="006647CA" w14:paraId="041D47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F28E" w14:textId="77777777" w:rsidR="006647CA" w:rsidRDefault="00F01680">
            <w:r>
              <w:rPr>
                <w:sz w:val="22"/>
                <w:szCs w:val="22"/>
              </w:rPr>
              <w:t>LOWPERF</w:t>
            </w:r>
            <w:r>
              <w:rPr>
                <w:sz w:val="22"/>
                <w:szCs w:val="22"/>
              </w:rPr>
              <w:t>（后</w:t>
            </w:r>
            <w:r>
              <w:rPr>
                <w:sz w:val="22"/>
                <w:szCs w:val="22"/>
              </w:rPr>
              <w:t xml:space="preserve"> 20%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4FDB7" w14:textId="77777777" w:rsidR="006647CA" w:rsidRDefault="00F01680">
            <w:proofErr w:type="gramStart"/>
            <w:r>
              <w:rPr>
                <w:sz w:val="22"/>
                <w:szCs w:val="22"/>
              </w:rPr>
              <w:t>min(</w:t>
            </w:r>
            <w:proofErr w:type="gramEnd"/>
            <w:r>
              <w:rPr>
                <w:sz w:val="22"/>
                <w:szCs w:val="22"/>
              </w:rPr>
              <w:t>Rank, 0.2)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1DF0" w14:textId="77777777" w:rsidR="006647CA" w:rsidRDefault="00F01680">
            <w:r>
              <w:rPr>
                <w:sz w:val="22"/>
                <w:szCs w:val="22"/>
              </w:rPr>
              <w:t>13.2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74C76" w14:textId="77777777" w:rsidR="006647CA" w:rsidRDefault="00F01680">
            <w:r>
              <w:rPr>
                <w:sz w:val="22"/>
                <w:szCs w:val="22"/>
              </w:rPr>
              <w:t>**</w:t>
            </w:r>
          </w:p>
        </w:tc>
      </w:tr>
      <w:tr w:rsidR="006647CA" w14:paraId="33BE11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8928" w14:textId="77777777" w:rsidR="006647CA" w:rsidRDefault="00F01680">
            <w:r>
              <w:rPr>
                <w:sz w:val="22"/>
                <w:szCs w:val="22"/>
              </w:rPr>
              <w:t>MIDPERF</w:t>
            </w:r>
            <w:r>
              <w:rPr>
                <w:sz w:val="22"/>
                <w:szCs w:val="22"/>
              </w:rPr>
              <w:t>（中间</w:t>
            </w:r>
            <w:r>
              <w:rPr>
                <w:sz w:val="22"/>
                <w:szCs w:val="22"/>
              </w:rPr>
              <w:t xml:space="preserve"> 60%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C109" w14:textId="77777777" w:rsidR="006647CA" w:rsidRDefault="00F01680">
            <w:proofErr w:type="gramStart"/>
            <w:r>
              <w:rPr>
                <w:sz w:val="22"/>
                <w:szCs w:val="22"/>
              </w:rPr>
              <w:t>min(</w:t>
            </w:r>
            <w:proofErr w:type="gramEnd"/>
            <w:r>
              <w:rPr>
                <w:sz w:val="22"/>
                <w:szCs w:val="22"/>
              </w:rPr>
              <w:t>Rank−LOW, 0.6)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59B2" w14:textId="77777777" w:rsidR="006647CA" w:rsidRDefault="00F01680">
            <w:r>
              <w:rPr>
                <w:sz w:val="22"/>
                <w:szCs w:val="22"/>
              </w:rPr>
              <w:t>1.99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F034B" w14:textId="77777777" w:rsidR="006647CA" w:rsidRDefault="00F01680">
            <w:r>
              <w:rPr>
                <w:sz w:val="22"/>
                <w:szCs w:val="22"/>
              </w:rPr>
              <w:t>不显著</w:t>
            </w:r>
          </w:p>
        </w:tc>
      </w:tr>
      <w:tr w:rsidR="006647CA" w14:paraId="1C3B5F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85D8" w14:textId="77777777" w:rsidR="006647CA" w:rsidRDefault="00F01680">
            <w:r>
              <w:rPr>
                <w:sz w:val="22"/>
                <w:szCs w:val="22"/>
              </w:rPr>
              <w:t>HIGHPERF</w:t>
            </w:r>
            <w:r>
              <w:rPr>
                <w:sz w:val="22"/>
                <w:szCs w:val="22"/>
              </w:rPr>
              <w:t>（前</w:t>
            </w:r>
            <w:r>
              <w:rPr>
                <w:sz w:val="22"/>
                <w:szCs w:val="22"/>
              </w:rPr>
              <w:t xml:space="preserve"> 20%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7C93" w14:textId="77777777" w:rsidR="006647CA" w:rsidRDefault="00F01680">
            <w:r>
              <w:rPr>
                <w:sz w:val="22"/>
                <w:szCs w:val="22"/>
              </w:rPr>
              <w:t>Rank−LOW−MID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DC35B" w14:textId="77777777" w:rsidR="006647CA" w:rsidRDefault="00F01680">
            <w:r>
              <w:rPr>
                <w:sz w:val="22"/>
                <w:szCs w:val="22"/>
              </w:rPr>
              <w:t>17.3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5D7D" w14:textId="77777777" w:rsidR="006647CA" w:rsidRDefault="00F01680">
            <w:r>
              <w:rPr>
                <w:sz w:val="22"/>
                <w:szCs w:val="22"/>
              </w:rPr>
              <w:t>***</w:t>
            </w:r>
          </w:p>
        </w:tc>
      </w:tr>
    </w:tbl>
    <w:p w14:paraId="2CD50C56" w14:textId="77777777" w:rsidR="006647CA" w:rsidRDefault="006647CA">
      <w:pPr>
        <w:spacing w:after="80"/>
      </w:pPr>
    </w:p>
    <w:p w14:paraId="044712F1" w14:textId="77777777" w:rsidR="006647CA" w:rsidRDefault="00F01680">
      <w:pPr>
        <w:spacing w:after="160" w:line="360" w:lineRule="auto"/>
      </w:pPr>
      <w:r>
        <w:rPr>
          <w:b/>
          <w:bCs/>
        </w:rPr>
        <w:t xml:space="preserve">HIGHPERF </w:t>
      </w:r>
      <w:r>
        <w:rPr>
          <w:b/>
          <w:bCs/>
        </w:rPr>
        <w:t>的系数是</w:t>
      </w:r>
      <w:r>
        <w:rPr>
          <w:b/>
          <w:bCs/>
        </w:rPr>
        <w:t xml:space="preserve"> MIDPERF </w:t>
      </w:r>
      <w:r>
        <w:rPr>
          <w:b/>
          <w:bCs/>
        </w:rPr>
        <w:t>的近</w:t>
      </w:r>
      <w:r>
        <w:rPr>
          <w:b/>
          <w:bCs/>
        </w:rPr>
        <w:t xml:space="preserve"> 9 </w:t>
      </w:r>
      <w:r>
        <w:rPr>
          <w:b/>
          <w:bCs/>
        </w:rPr>
        <w:t>倍</w:t>
      </w:r>
      <w:r>
        <w:t>，且在</w:t>
      </w:r>
      <w:r>
        <w:t xml:space="preserve"> 1% </w:t>
      </w:r>
      <w:r>
        <w:t>水平下显著。这确认了</w:t>
      </w:r>
      <w:r>
        <w:t xml:space="preserve"> </w:t>
      </w:r>
      <w:r>
        <w:rPr>
          <w:i/>
          <w:iCs/>
          <w:color w:val="2E75B6"/>
        </w:rPr>
        <w:t>convex flow-performance relationship</w:t>
      </w:r>
      <w:r>
        <w:t>：投资者对明星基金的追捧是不成比例的强烈。</w:t>
      </w:r>
    </w:p>
    <w:p w14:paraId="35AE56E8" w14:textId="77777777" w:rsidR="006647CA" w:rsidRDefault="00F01680">
      <w:pPr>
        <w:spacing w:after="160" w:line="360" w:lineRule="auto"/>
      </w:pPr>
      <w:r>
        <w:t>加入</w:t>
      </w:r>
      <w:r>
        <w:t xml:space="preserve"> </w:t>
      </w:r>
      <w:r>
        <w:rPr>
          <w:i/>
          <w:iCs/>
          <w:color w:val="2E75B6"/>
        </w:rPr>
        <w:t>peer aggregate flow</w:t>
      </w:r>
      <w:r>
        <w:t>（同类基金平均资金流）控制变量后，</w:t>
      </w:r>
      <w:r>
        <w:rPr>
          <w:i/>
          <w:iCs/>
          <w:color w:val="2E75B6"/>
        </w:rPr>
        <w:t>R² within</w:t>
      </w:r>
      <w:r>
        <w:t xml:space="preserve"> </w:t>
      </w:r>
      <w:r>
        <w:t>从</w:t>
      </w:r>
      <w:r>
        <w:t xml:space="preserve"> 2.3% </w:t>
      </w:r>
      <w:r>
        <w:t>跳升到</w:t>
      </w:r>
      <w:r>
        <w:t xml:space="preserve"> 17.3%</w:t>
      </w:r>
      <w:r>
        <w:t>，说明同类基金的资金流动是重要的解释变量。</w:t>
      </w:r>
    </w:p>
    <w:p w14:paraId="7C48D453" w14:textId="77777777" w:rsidR="006647CA" w:rsidRDefault="00F01680">
      <w:pPr>
        <w:pStyle w:val="Heading2"/>
      </w:pPr>
      <w:r>
        <w:t xml:space="preserve">3. </w:t>
      </w:r>
      <w:r>
        <w:t>我们的主回归（</w:t>
      </w:r>
      <w:r>
        <w:t>Daily Panel Specification</w:t>
      </w:r>
      <w:r>
        <w:t>）</w:t>
      </w:r>
    </w:p>
    <w:p w14:paraId="11067063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lastRenderedPageBreak/>
        <w:t>[</w:t>
      </w:r>
      <w:r>
        <w:rPr>
          <w:i/>
          <w:iCs/>
          <w:color w:val="999999"/>
          <w:sz w:val="22"/>
          <w:szCs w:val="22"/>
        </w:rPr>
        <w:t>展示</w:t>
      </w:r>
      <w:r>
        <w:rPr>
          <w:i/>
          <w:iCs/>
          <w:color w:val="999999"/>
          <w:sz w:val="22"/>
          <w:szCs w:val="22"/>
        </w:rPr>
        <w:t xml:space="preserve"> Table 3</w:t>
      </w:r>
      <w:r>
        <w:rPr>
          <w:i/>
          <w:iCs/>
          <w:color w:val="999999"/>
          <w:sz w:val="22"/>
          <w:szCs w:val="22"/>
        </w:rPr>
        <w:t>，重点指出</w:t>
      </w:r>
      <w:r>
        <w:rPr>
          <w:i/>
          <w:iCs/>
          <w:color w:val="999999"/>
          <w:sz w:val="22"/>
          <w:szCs w:val="22"/>
        </w:rPr>
        <w:t xml:space="preserve"> 5 </w:t>
      </w:r>
      <w:r>
        <w:rPr>
          <w:i/>
          <w:iCs/>
          <w:color w:val="999999"/>
          <w:sz w:val="22"/>
          <w:szCs w:val="22"/>
        </w:rPr>
        <w:t>列</w:t>
      </w:r>
      <w:r>
        <w:rPr>
          <w:i/>
          <w:iCs/>
          <w:color w:val="999999"/>
          <w:sz w:val="22"/>
          <w:szCs w:val="22"/>
        </w:rPr>
        <w:t xml:space="preserve"> specification </w:t>
      </w:r>
      <w:r>
        <w:rPr>
          <w:i/>
          <w:iCs/>
          <w:color w:val="999999"/>
          <w:sz w:val="22"/>
          <w:szCs w:val="22"/>
        </w:rPr>
        <w:t>的递进关系</w:t>
      </w:r>
      <w:r>
        <w:rPr>
          <w:i/>
          <w:iCs/>
          <w:color w:val="999999"/>
          <w:sz w:val="22"/>
          <w:szCs w:val="22"/>
        </w:rPr>
        <w:t>]</w:t>
      </w:r>
    </w:p>
    <w:p w14:paraId="3F123FBC" w14:textId="77777777" w:rsidR="006647CA" w:rsidRDefault="00F01680">
      <w:pPr>
        <w:spacing w:after="160" w:line="360" w:lineRule="auto"/>
      </w:pPr>
      <w:r>
        <w:t xml:space="preserve">S&amp;T </w:t>
      </w:r>
      <w:proofErr w:type="gramStart"/>
      <w:r>
        <w:t>用的是</w:t>
      </w:r>
      <w:r>
        <w:t>“</w:t>
      </w:r>
      <w:r>
        <w:t>去年回报率</w:t>
      </w:r>
      <w:r>
        <w:t>”</w:t>
      </w:r>
      <w:r>
        <w:t>这一个变量</w:t>
      </w:r>
      <w:proofErr w:type="gramEnd"/>
      <w:r>
        <w:t>。我们用日度数据，可以拆分成</w:t>
      </w:r>
      <w:r>
        <w:rPr>
          <w:b/>
          <w:bCs/>
        </w:rPr>
        <w:t>三个不重叠的累计回报率窗口</w:t>
      </w:r>
      <w:r>
        <w:t>（</w:t>
      </w:r>
      <w:r>
        <w:rPr>
          <w:i/>
          <w:iCs/>
          <w:color w:val="2E75B6"/>
        </w:rPr>
        <w:t>non-overlapping cumulative return windows</w:t>
      </w:r>
      <w:r>
        <w:t>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200"/>
        <w:gridCol w:w="2160"/>
      </w:tblGrid>
      <w:tr w:rsidR="006647CA" w14:paraId="20C612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EADC" w14:textId="77777777" w:rsidR="006647CA" w:rsidRDefault="00F01680">
            <w:r>
              <w:rPr>
                <w:b/>
                <w:bCs/>
                <w:color w:val="FFFFFF"/>
                <w:sz w:val="22"/>
                <w:szCs w:val="22"/>
              </w:rPr>
              <w:t>窗口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D26A" w14:textId="77777777" w:rsidR="006647CA" w:rsidRDefault="00F01680">
            <w:r>
              <w:rPr>
                <w:b/>
                <w:bCs/>
                <w:color w:val="FFFFFF"/>
                <w:sz w:val="22"/>
                <w:szCs w:val="22"/>
              </w:rPr>
              <w:t>含义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5F3D8" w14:textId="77777777" w:rsidR="006647CA" w:rsidRDefault="00F01680">
            <w:r>
              <w:rPr>
                <w:b/>
                <w:bCs/>
                <w:color w:val="FFFFFF"/>
                <w:sz w:val="22"/>
                <w:szCs w:val="22"/>
              </w:rPr>
              <w:t>基础模型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β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855F3" w14:textId="77777777" w:rsidR="006647CA" w:rsidRDefault="00F01680">
            <w:r>
              <w:rPr>
                <w:b/>
                <w:bCs/>
                <w:color w:val="FFFFFF"/>
                <w:sz w:val="22"/>
                <w:szCs w:val="22"/>
              </w:rPr>
              <w:t>显著性</w:t>
            </w:r>
          </w:p>
        </w:tc>
      </w:tr>
      <w:tr w:rsidR="006647CA" w14:paraId="469451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A8141" w14:textId="77777777" w:rsidR="006647CA" w:rsidRDefault="00F01680">
            <w:r>
              <w:rPr>
                <w:sz w:val="22"/>
                <w:szCs w:val="22"/>
              </w:rPr>
              <w:t>CumRet_1_5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8038" w14:textId="77777777" w:rsidR="006647CA" w:rsidRDefault="00F01680">
            <w:r>
              <w:rPr>
                <w:sz w:val="22"/>
                <w:szCs w:val="22"/>
              </w:rPr>
              <w:t>过去</w:t>
            </w:r>
            <w:r>
              <w:rPr>
                <w:sz w:val="22"/>
                <w:szCs w:val="22"/>
              </w:rPr>
              <w:t xml:space="preserve"> 1–5 </w:t>
            </w:r>
            <w:r>
              <w:rPr>
                <w:sz w:val="22"/>
                <w:szCs w:val="22"/>
              </w:rPr>
              <w:t>天（上周）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A383" w14:textId="77777777" w:rsidR="006647CA" w:rsidRDefault="00F01680">
            <w:r>
              <w:rPr>
                <w:sz w:val="22"/>
                <w:szCs w:val="22"/>
              </w:rPr>
              <w:t>8.2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990C9" w14:textId="77777777" w:rsidR="006647CA" w:rsidRDefault="00F01680">
            <w:r>
              <w:rPr>
                <w:sz w:val="22"/>
                <w:szCs w:val="22"/>
              </w:rPr>
              <w:t>不显著</w:t>
            </w:r>
          </w:p>
        </w:tc>
      </w:tr>
      <w:tr w:rsidR="006647CA" w14:paraId="5ACFCF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F2255" w14:textId="77777777" w:rsidR="006647CA" w:rsidRDefault="00F01680">
            <w:r>
              <w:rPr>
                <w:sz w:val="22"/>
                <w:szCs w:val="22"/>
              </w:rPr>
              <w:t>CumRet_6_20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4FCB5" w14:textId="77777777" w:rsidR="006647CA" w:rsidRDefault="00F01680">
            <w:r>
              <w:rPr>
                <w:sz w:val="22"/>
                <w:szCs w:val="22"/>
              </w:rPr>
              <w:t>过去</w:t>
            </w:r>
            <w:r>
              <w:rPr>
                <w:sz w:val="22"/>
                <w:szCs w:val="22"/>
              </w:rPr>
              <w:t xml:space="preserve"> 6–20 </w:t>
            </w:r>
            <w:r>
              <w:rPr>
                <w:sz w:val="22"/>
                <w:szCs w:val="22"/>
              </w:rPr>
              <w:t>天（上月）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F7FD2" w14:textId="77777777" w:rsidR="006647CA" w:rsidRDefault="00F01680">
            <w:r>
              <w:rPr>
                <w:sz w:val="22"/>
                <w:szCs w:val="22"/>
              </w:rPr>
              <w:t>26.8***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93DA" w14:textId="77777777" w:rsidR="006647CA" w:rsidRDefault="00F01680">
            <w:r>
              <w:rPr>
                <w:sz w:val="22"/>
                <w:szCs w:val="22"/>
              </w:rPr>
              <w:t>p &lt; 0.01</w:t>
            </w:r>
          </w:p>
        </w:tc>
      </w:tr>
      <w:tr w:rsidR="006647CA" w14:paraId="5F95B4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57D3" w14:textId="77777777" w:rsidR="006647CA" w:rsidRDefault="00F01680">
            <w:r>
              <w:rPr>
                <w:sz w:val="22"/>
                <w:szCs w:val="22"/>
              </w:rPr>
              <w:t>CumRet_21_60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2A46" w14:textId="77777777" w:rsidR="006647CA" w:rsidRDefault="00F01680">
            <w:r>
              <w:rPr>
                <w:sz w:val="22"/>
                <w:szCs w:val="22"/>
              </w:rPr>
              <w:t>过去</w:t>
            </w:r>
            <w:r>
              <w:rPr>
                <w:sz w:val="22"/>
                <w:szCs w:val="22"/>
              </w:rPr>
              <w:t xml:space="preserve"> 21–60 </w:t>
            </w:r>
            <w:r>
              <w:rPr>
                <w:sz w:val="22"/>
                <w:szCs w:val="22"/>
              </w:rPr>
              <w:t>天（上季度）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07335" w14:textId="77777777" w:rsidR="006647CA" w:rsidRDefault="00F01680">
            <w:r>
              <w:rPr>
                <w:sz w:val="22"/>
                <w:szCs w:val="22"/>
              </w:rPr>
              <w:t>23.3***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07F71" w14:textId="77777777" w:rsidR="006647CA" w:rsidRDefault="00F01680">
            <w:r>
              <w:rPr>
                <w:sz w:val="22"/>
                <w:szCs w:val="22"/>
              </w:rPr>
              <w:t>p &lt; 0.01</w:t>
            </w:r>
          </w:p>
        </w:tc>
      </w:tr>
    </w:tbl>
    <w:p w14:paraId="0D3DFAF3" w14:textId="77777777" w:rsidR="006647CA" w:rsidRDefault="006647CA">
      <w:pPr>
        <w:spacing w:after="80"/>
      </w:pPr>
    </w:p>
    <w:p w14:paraId="1DD0E1F8" w14:textId="77777777" w:rsidR="006647CA" w:rsidRDefault="00F01680">
      <w:pPr>
        <w:spacing w:after="160" w:line="360" w:lineRule="auto"/>
      </w:pPr>
      <w:r>
        <w:rPr>
          <w:b/>
          <w:bCs/>
        </w:rPr>
        <w:t>核心发现：</w:t>
      </w:r>
      <w:r>
        <w:t xml:space="preserve">1–5 </w:t>
      </w:r>
      <w:r>
        <w:t>天的短期收益率</w:t>
      </w:r>
      <w:r>
        <w:rPr>
          <w:b/>
          <w:bCs/>
        </w:rPr>
        <w:t>不显著</w:t>
      </w:r>
      <w:r>
        <w:t>——</w:t>
      </w:r>
      <w:r>
        <w:t>投资者不对日常波动做反应。但</w:t>
      </w:r>
      <w:r>
        <w:t xml:space="preserve"> 6–20 </w:t>
      </w:r>
      <w:r>
        <w:t>天和</w:t>
      </w:r>
      <w:r>
        <w:t xml:space="preserve"> 21–60 </w:t>
      </w:r>
      <w:r>
        <w:t>天的窗口</w:t>
      </w:r>
      <w:r>
        <w:rPr>
          <w:b/>
          <w:bCs/>
        </w:rPr>
        <w:t>高度显著</w:t>
      </w:r>
      <w:r>
        <w:t>（</w:t>
      </w:r>
      <w:r>
        <w:t>p &lt; 0.01</w:t>
      </w:r>
      <w:r>
        <w:t>），说明追涨行为发生在</w:t>
      </w:r>
      <w:r>
        <w:t xml:space="preserve"> </w:t>
      </w:r>
      <w:r>
        <w:rPr>
          <w:b/>
          <w:bCs/>
        </w:rPr>
        <w:t xml:space="preserve">2 </w:t>
      </w:r>
      <w:r>
        <w:rPr>
          <w:b/>
          <w:bCs/>
        </w:rPr>
        <w:t>周到</w:t>
      </w:r>
      <w:r>
        <w:rPr>
          <w:b/>
          <w:bCs/>
        </w:rPr>
        <w:t xml:space="preserve"> 3 </w:t>
      </w:r>
      <w:r>
        <w:rPr>
          <w:b/>
          <w:bCs/>
        </w:rPr>
        <w:t>个月</w:t>
      </w:r>
      <w:r>
        <w:t xml:space="preserve"> </w:t>
      </w:r>
      <w:r>
        <w:t>的时间窗口内。投资者追的是</w:t>
      </w:r>
      <w:r>
        <w:rPr>
          <w:b/>
          <w:bCs/>
        </w:rPr>
        <w:t>持续趋势</w:t>
      </w:r>
      <w:r>
        <w:t>，不是日常噪音。</w:t>
      </w:r>
    </w:p>
    <w:p w14:paraId="7179A894" w14:textId="77777777" w:rsidR="006647CA" w:rsidRDefault="00F01680">
      <w:pPr>
        <w:spacing w:after="160" w:line="360" w:lineRule="auto"/>
      </w:pPr>
      <w:r>
        <w:t>随着逐步加入控制变量（</w:t>
      </w:r>
      <w:r>
        <w:t>VIX</w:t>
      </w:r>
      <w:r>
        <w:t>、日历效应、</w:t>
      </w:r>
      <w:r>
        <w:t>peer flow</w:t>
      </w:r>
      <w:r>
        <w:t>、宏观事件</w:t>
      </w:r>
      <w:r>
        <w:t xml:space="preserve"> dummy</w:t>
      </w:r>
      <w:r>
        <w:t>），系数保持稳定且显著，说明结果很稳健。</w:t>
      </w:r>
    </w:p>
    <w:p w14:paraId="63452C86" w14:textId="77777777" w:rsidR="006647CA" w:rsidRDefault="00F01680">
      <w:pPr>
        <w:pStyle w:val="Heading2"/>
      </w:pPr>
      <w:r>
        <w:t xml:space="preserve">4. </w:t>
      </w:r>
      <w:r>
        <w:t>经济显著性（</w:t>
      </w:r>
      <w:r>
        <w:t>Economic Significance</w:t>
      </w:r>
      <w:r>
        <w:t>）</w:t>
      </w:r>
    </w:p>
    <w:p w14:paraId="6FCA0D22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展示三个</w:t>
      </w:r>
      <w:r>
        <w:rPr>
          <w:i/>
          <w:iCs/>
          <w:color w:val="999999"/>
          <w:sz w:val="22"/>
          <w:szCs w:val="22"/>
        </w:rPr>
        <w:t xml:space="preserve"> metric </w:t>
      </w:r>
      <w:r>
        <w:rPr>
          <w:i/>
          <w:iCs/>
          <w:color w:val="999999"/>
          <w:sz w:val="22"/>
          <w:szCs w:val="22"/>
        </w:rPr>
        <w:t>卡片</w:t>
      </w:r>
      <w:r>
        <w:rPr>
          <w:i/>
          <w:iCs/>
          <w:color w:val="999999"/>
          <w:sz w:val="22"/>
          <w:szCs w:val="22"/>
        </w:rPr>
        <w:t>]</w:t>
      </w:r>
    </w:p>
    <w:p w14:paraId="3566C63E" w14:textId="77777777" w:rsidR="006647CA" w:rsidRDefault="00F01680">
      <w:pPr>
        <w:spacing w:after="160" w:line="360" w:lineRule="auto"/>
      </w:pPr>
      <w:r>
        <w:t>统计显著只说明</w:t>
      </w:r>
      <w:r>
        <w:t>“</w:t>
      </w:r>
      <w:r>
        <w:t>有</w:t>
      </w:r>
      <w:r>
        <w:t>”</w:t>
      </w:r>
      <w:r>
        <w:t>这个效应，但效应多大呢？我们计算了经济显著性：</w:t>
      </w:r>
    </w:p>
    <w:p w14:paraId="42CFF9C9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t xml:space="preserve">6–20 </w:t>
      </w:r>
      <w:r>
        <w:t>天累计回报率每增加一个标准差（</w:t>
      </w:r>
      <w:r>
        <w:rPr>
          <w:i/>
          <w:iCs/>
          <w:color w:val="2E75B6"/>
        </w:rPr>
        <w:t>1-SD shock</w:t>
      </w:r>
      <w:r>
        <w:t>），日均资金流入增加约</w:t>
      </w:r>
      <w:r>
        <w:t xml:space="preserve"> </w:t>
      </w:r>
      <w:r>
        <w:rPr>
          <w:b/>
          <w:bCs/>
        </w:rPr>
        <w:t>$3.8M</w:t>
      </w:r>
    </w:p>
    <w:p w14:paraId="3FAE75E0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t xml:space="preserve">21–60 </w:t>
      </w:r>
      <w:r>
        <w:t>天累计回报率每增加一个标准差，日均资金流入增加约</w:t>
      </w:r>
      <w:r>
        <w:t xml:space="preserve"> </w:t>
      </w:r>
      <w:r>
        <w:rPr>
          <w:b/>
          <w:bCs/>
        </w:rPr>
        <w:t>$4.2M</w:t>
      </w:r>
    </w:p>
    <w:p w14:paraId="22ECF4C2" w14:textId="77777777" w:rsidR="006647CA" w:rsidRDefault="00F01680">
      <w:pPr>
        <w:spacing w:after="160" w:line="360" w:lineRule="auto"/>
      </w:pPr>
      <w:r>
        <w:t>相对于平均</w:t>
      </w:r>
      <w:r>
        <w:t xml:space="preserve"> AUM $20.8 </w:t>
      </w:r>
      <w:r>
        <w:t>亿，这是一个有意义的资金再分配信号。</w:t>
      </w:r>
    </w:p>
    <w:p w14:paraId="77767CE8" w14:textId="77777777" w:rsidR="006647CA" w:rsidRDefault="00F01680">
      <w:r>
        <w:br w:type="page"/>
      </w:r>
    </w:p>
    <w:p w14:paraId="17A2C699" w14:textId="77777777" w:rsidR="006647CA" w:rsidRDefault="00F01680">
      <w:pPr>
        <w:pStyle w:val="Heading1"/>
      </w:pPr>
      <w:r>
        <w:lastRenderedPageBreak/>
        <w:t>四、第三页：</w:t>
      </w:r>
      <w:r>
        <w:t>The Dynamics</w:t>
      </w:r>
      <w:r>
        <w:t>（动态分析）</w:t>
      </w:r>
    </w:p>
    <w:p w14:paraId="5AA987DD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切换到</w:t>
      </w:r>
      <w:r>
        <w:rPr>
          <w:i/>
          <w:iCs/>
          <w:color w:val="999999"/>
          <w:sz w:val="22"/>
          <w:szCs w:val="22"/>
        </w:rPr>
        <w:t xml:space="preserve"> </w:t>
      </w:r>
      <w:proofErr w:type="spellStart"/>
      <w:r>
        <w:rPr>
          <w:i/>
          <w:iCs/>
          <w:color w:val="999999"/>
          <w:sz w:val="22"/>
          <w:szCs w:val="22"/>
        </w:rPr>
        <w:t>Streamlit</w:t>
      </w:r>
      <w:proofErr w:type="spellEnd"/>
      <w:r>
        <w:rPr>
          <w:i/>
          <w:iCs/>
          <w:color w:val="999999"/>
          <w:sz w:val="22"/>
          <w:szCs w:val="22"/>
        </w:rPr>
        <w:t xml:space="preserve"> </w:t>
      </w:r>
      <w:r>
        <w:rPr>
          <w:i/>
          <w:iCs/>
          <w:color w:val="999999"/>
          <w:sz w:val="22"/>
          <w:szCs w:val="22"/>
        </w:rPr>
        <w:t>第三页</w:t>
      </w:r>
      <w:r>
        <w:rPr>
          <w:i/>
          <w:iCs/>
          <w:color w:val="999999"/>
          <w:sz w:val="22"/>
          <w:szCs w:val="22"/>
        </w:rPr>
        <w:t xml:space="preserve"> “The Dynamics”]</w:t>
      </w:r>
    </w:p>
    <w:p w14:paraId="34CE108A" w14:textId="77777777" w:rsidR="006647CA" w:rsidRDefault="00F01680">
      <w:pPr>
        <w:spacing w:after="160" w:line="360" w:lineRule="auto"/>
      </w:pPr>
      <w:r>
        <w:t>这一页是我们相对于</w:t>
      </w:r>
      <w:r>
        <w:t xml:space="preserve"> S&amp;T </w:t>
      </w:r>
      <w:r>
        <w:t>论文最大的创新。</w:t>
      </w:r>
      <w:r>
        <w:t xml:space="preserve">S&amp;T </w:t>
      </w:r>
      <w:proofErr w:type="gramStart"/>
      <w:r>
        <w:t>证明了</w:t>
      </w:r>
      <w:r>
        <w:t>“</w:t>
      </w:r>
      <w:r>
        <w:t>有</w:t>
      </w:r>
      <w:r>
        <w:t>”</w:t>
      </w:r>
      <w:r>
        <w:t>追涨</w:t>
      </w:r>
      <w:proofErr w:type="gramEnd"/>
      <w:r>
        <w:t>，</w:t>
      </w:r>
      <w:proofErr w:type="gramStart"/>
      <w:r>
        <w:t>我们还要回答</w:t>
      </w:r>
      <w:r>
        <w:t>“</w:t>
      </w:r>
      <w:r>
        <w:t>怎么追的</w:t>
      </w:r>
      <w:r>
        <w:t>”</w:t>
      </w:r>
      <w:r>
        <w:t>。</w:t>
      </w:r>
      <w:proofErr w:type="gramEnd"/>
    </w:p>
    <w:p w14:paraId="605D3D25" w14:textId="77777777" w:rsidR="006647CA" w:rsidRDefault="00F01680">
      <w:pPr>
        <w:pStyle w:val="Heading2"/>
      </w:pPr>
      <w:r>
        <w:t xml:space="preserve">1. </w:t>
      </w:r>
      <w:r>
        <w:t>脉冲响应函数（</w:t>
      </w:r>
      <w:r>
        <w:t>Impulse Response Function</w:t>
      </w:r>
      <w:r>
        <w:t>）</w:t>
      </w:r>
    </w:p>
    <w:p w14:paraId="73FFAB6D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展示</w:t>
      </w:r>
      <w:r>
        <w:rPr>
          <w:i/>
          <w:iCs/>
          <w:color w:val="999999"/>
          <w:sz w:val="22"/>
          <w:szCs w:val="22"/>
        </w:rPr>
        <w:t xml:space="preserve"> Figure 1: LP impulse response </w:t>
      </w:r>
      <w:r>
        <w:rPr>
          <w:i/>
          <w:iCs/>
          <w:color w:val="999999"/>
          <w:sz w:val="22"/>
          <w:szCs w:val="22"/>
        </w:rPr>
        <w:t>图</w:t>
      </w:r>
      <w:r>
        <w:rPr>
          <w:i/>
          <w:iCs/>
          <w:color w:val="999999"/>
          <w:sz w:val="22"/>
          <w:szCs w:val="22"/>
        </w:rPr>
        <w:t>]</w:t>
      </w:r>
    </w:p>
    <w:p w14:paraId="32605F86" w14:textId="77777777" w:rsidR="006647CA" w:rsidRDefault="00F01680">
      <w:pPr>
        <w:spacing w:after="160" w:line="360" w:lineRule="auto"/>
      </w:pPr>
      <w:r>
        <w:t>我们使用</w:t>
      </w:r>
      <w:r>
        <w:t xml:space="preserve"> Jordà (2005) </w:t>
      </w:r>
      <w:r>
        <w:t>提出的</w:t>
      </w:r>
      <w:r>
        <w:t xml:space="preserve"> </w:t>
      </w:r>
      <w:r>
        <w:rPr>
          <w:i/>
          <w:iCs/>
          <w:color w:val="2E75B6"/>
        </w:rPr>
        <w:t>Local Projection</w:t>
      </w:r>
      <w:r>
        <w:t>（局部投影）方法，估计了从第</w:t>
      </w:r>
      <w:r>
        <w:t xml:space="preserve"> 0 </w:t>
      </w:r>
      <w:r>
        <w:t>天到第</w:t>
      </w:r>
      <w:r>
        <w:t xml:space="preserve"> 40 </w:t>
      </w:r>
      <w:proofErr w:type="gramStart"/>
      <w:r>
        <w:t>个</w:t>
      </w:r>
      <w:proofErr w:type="gramEnd"/>
      <w:r>
        <w:t>交易日，一个</w:t>
      </w:r>
      <w:r>
        <w:t xml:space="preserve"> </w:t>
      </w:r>
      <w:r>
        <w:rPr>
          <w:i/>
          <w:iCs/>
          <w:color w:val="2E75B6"/>
        </w:rPr>
        <w:t>return shock</w:t>
      </w:r>
      <w:r>
        <w:t>（回报率冲击）如何传导到资金流。</w:t>
      </w:r>
    </w:p>
    <w:p w14:paraId="363D52F3" w14:textId="77777777" w:rsidR="006647CA" w:rsidRDefault="00F01680">
      <w:pPr>
        <w:spacing w:after="160" w:line="360" w:lineRule="auto"/>
      </w:pPr>
      <w:r>
        <w:t>图中蓝色线是</w:t>
      </w:r>
      <w:r>
        <w:t xml:space="preserve"> </w:t>
      </w:r>
      <w:r>
        <w:rPr>
          <w:i/>
          <w:iCs/>
          <w:color w:val="2E75B6"/>
        </w:rPr>
        <w:t>point estimate</w:t>
      </w:r>
      <w:r>
        <w:t>（点估计），阴影区域是</w:t>
      </w:r>
      <w:r>
        <w:t xml:space="preserve"> </w:t>
      </w:r>
      <w:r>
        <w:rPr>
          <w:i/>
          <w:iCs/>
          <w:color w:val="2E75B6"/>
        </w:rPr>
        <w:t>95% confidence interval</w:t>
      </w:r>
      <w:r>
        <w:t>（置信区间），红点表示统计显著的时间点。</w:t>
      </w:r>
    </w:p>
    <w:p w14:paraId="69A401C0" w14:textId="77777777" w:rsidR="006647CA" w:rsidRDefault="00F01680">
      <w:pPr>
        <w:spacing w:after="160" w:line="360" w:lineRule="auto"/>
      </w:pPr>
      <w:r>
        <w:rPr>
          <w:b/>
          <w:bCs/>
        </w:rPr>
        <w:t>解读：</w:t>
      </w:r>
      <w:r>
        <w:t>效应大约从第</w:t>
      </w:r>
      <w:r>
        <w:t xml:space="preserve"> 5 </w:t>
      </w:r>
      <w:r>
        <w:t>天开始显现，在第</w:t>
      </w:r>
      <w:r>
        <w:t xml:space="preserve"> 10–20 </w:t>
      </w:r>
      <w:proofErr w:type="gramStart"/>
      <w:r>
        <w:t>天达到</w:t>
      </w:r>
      <w:proofErr w:type="gramEnd"/>
      <w:r>
        <w:t>峰值，随后逐渐衰减。这意味着投资者的追</w:t>
      </w:r>
      <w:proofErr w:type="gramStart"/>
      <w:r>
        <w:t>涨反应</w:t>
      </w:r>
      <w:proofErr w:type="gramEnd"/>
      <w:r>
        <w:t>不是即时的，而是有一个</w:t>
      </w:r>
      <w:r>
        <w:t xml:space="preserve"> </w:t>
      </w:r>
      <w:r>
        <w:rPr>
          <w:b/>
          <w:bCs/>
        </w:rPr>
        <w:t xml:space="preserve">1–2 </w:t>
      </w:r>
      <w:r>
        <w:rPr>
          <w:b/>
          <w:bCs/>
        </w:rPr>
        <w:t>周的延迟</w:t>
      </w:r>
      <w:r>
        <w:t>，然后持续大约</w:t>
      </w:r>
      <w:r>
        <w:t xml:space="preserve"> 1 </w:t>
      </w:r>
      <w:proofErr w:type="gramStart"/>
      <w:r>
        <w:t>个</w:t>
      </w:r>
      <w:proofErr w:type="gramEnd"/>
      <w:r>
        <w:t>月。</w:t>
      </w:r>
    </w:p>
    <w:p w14:paraId="53E41BE8" w14:textId="77777777" w:rsidR="006647CA" w:rsidRDefault="00F01680">
      <w:pPr>
        <w:pStyle w:val="Heading2"/>
      </w:pPr>
      <w:r>
        <w:t xml:space="preserve">2. </w:t>
      </w:r>
      <w:r>
        <w:t>不对称响应（</w:t>
      </w:r>
      <w:r>
        <w:t>Asymmetric Response</w:t>
      </w:r>
      <w:r>
        <w:t>）</w:t>
      </w:r>
    </w:p>
    <w:p w14:paraId="710F8877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展示</w:t>
      </w:r>
      <w:r>
        <w:rPr>
          <w:i/>
          <w:iCs/>
          <w:color w:val="999999"/>
          <w:sz w:val="22"/>
          <w:szCs w:val="22"/>
        </w:rPr>
        <w:t xml:space="preserve"> Figure 2: </w:t>
      </w:r>
      <w:r>
        <w:rPr>
          <w:i/>
          <w:iCs/>
          <w:color w:val="999999"/>
          <w:sz w:val="22"/>
          <w:szCs w:val="22"/>
        </w:rPr>
        <w:t>正负冲击对比图</w:t>
      </w:r>
      <w:r>
        <w:rPr>
          <w:i/>
          <w:iCs/>
          <w:color w:val="999999"/>
          <w:sz w:val="22"/>
          <w:szCs w:val="22"/>
        </w:rPr>
        <w:t>]</w:t>
      </w:r>
    </w:p>
    <w:p w14:paraId="7BF340BA" w14:textId="77777777" w:rsidR="006647CA" w:rsidRDefault="00F01680">
      <w:pPr>
        <w:spacing w:after="160" w:line="360" w:lineRule="auto"/>
      </w:pPr>
      <w:r>
        <w:t>我们把回报率冲击拆分成</w:t>
      </w:r>
      <w:r>
        <w:t xml:space="preserve"> </w:t>
      </w:r>
      <w:r>
        <w:rPr>
          <w:i/>
          <w:iCs/>
          <w:color w:val="2E75B6"/>
        </w:rPr>
        <w:t>positive shock</w:t>
      </w:r>
      <w:r>
        <w:t>（上涨）和</w:t>
      </w:r>
      <w:r>
        <w:t xml:space="preserve"> </w:t>
      </w:r>
      <w:r>
        <w:rPr>
          <w:i/>
          <w:iCs/>
          <w:color w:val="2E75B6"/>
        </w:rPr>
        <w:t>negative shock</w:t>
      </w:r>
      <w:r>
        <w:t>（下跌）两部分分别估计。</w:t>
      </w:r>
    </w:p>
    <w:p w14:paraId="3E071762" w14:textId="77777777" w:rsidR="006647CA" w:rsidRDefault="00F01680">
      <w:pPr>
        <w:spacing w:after="160" w:line="360" w:lineRule="auto"/>
      </w:pPr>
      <w:r>
        <w:rPr>
          <w:b/>
          <w:bCs/>
        </w:rPr>
        <w:t>结果：</w:t>
      </w:r>
      <w:r>
        <w:t>蓝色线（上涨冲击）明显高于红色线（下跌冲击）。这就证实了</w:t>
      </w:r>
      <w:r>
        <w:t xml:space="preserve"> S&amp;T </w:t>
      </w:r>
      <w:r>
        <w:t>的核心预测：</w:t>
      </w:r>
      <w:r>
        <w:rPr>
          <w:b/>
          <w:bCs/>
        </w:rPr>
        <w:t>投资者追涨的力度远大于杀跌的力度</w:t>
      </w:r>
      <w:r>
        <w:t>。用大白话说：赚钱时</w:t>
      </w:r>
      <w:proofErr w:type="gramStart"/>
      <w:r>
        <w:t>拼命赶简会</w:t>
      </w:r>
      <w:proofErr w:type="gramEnd"/>
      <w:r>
        <w:t>，亏钱时反而想</w:t>
      </w:r>
      <w:r>
        <w:t>“</w:t>
      </w:r>
      <w:r>
        <w:t>再等等</w:t>
      </w:r>
      <w:r>
        <w:t>”</w:t>
      </w:r>
      <w:r>
        <w:t>。</w:t>
      </w:r>
    </w:p>
    <w:p w14:paraId="3118CF2A" w14:textId="77777777" w:rsidR="006647CA" w:rsidRDefault="00F01680">
      <w:pPr>
        <w:pStyle w:val="Heading2"/>
      </w:pPr>
      <w:r>
        <w:t xml:space="preserve">3. </w:t>
      </w:r>
      <w:r>
        <w:t>牛熊市对比（</w:t>
      </w:r>
      <w:r>
        <w:t>Bull vs. Bear Market</w:t>
      </w:r>
      <w:r>
        <w:t>）</w:t>
      </w:r>
    </w:p>
    <w:p w14:paraId="1FD03974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展示</w:t>
      </w:r>
      <w:r>
        <w:rPr>
          <w:i/>
          <w:iCs/>
          <w:color w:val="999999"/>
          <w:sz w:val="22"/>
          <w:szCs w:val="22"/>
        </w:rPr>
        <w:t xml:space="preserve"> Figure 3 + Table 4]</w:t>
      </w:r>
    </w:p>
    <w:p w14:paraId="1238DDA7" w14:textId="77777777" w:rsidR="006647CA" w:rsidRDefault="00F01680">
      <w:pPr>
        <w:spacing w:after="160" w:line="360" w:lineRule="auto"/>
      </w:pPr>
      <w:r>
        <w:t>我们把样本分成</w:t>
      </w:r>
      <w:r>
        <w:t xml:space="preserve"> </w:t>
      </w:r>
      <w:r>
        <w:rPr>
          <w:i/>
          <w:iCs/>
          <w:color w:val="2E75B6"/>
        </w:rPr>
        <w:t>bull market</w:t>
      </w:r>
      <w:r>
        <w:t>（</w:t>
      </w:r>
      <w:r>
        <w:t xml:space="preserve">2020–2021 </w:t>
      </w:r>
      <w:r>
        <w:t>年的疫情牛市）和</w:t>
      </w:r>
      <w:r>
        <w:t xml:space="preserve"> </w:t>
      </w:r>
      <w:r>
        <w:rPr>
          <w:i/>
          <w:iCs/>
          <w:color w:val="2E75B6"/>
        </w:rPr>
        <w:t>bear market</w:t>
      </w:r>
      <w:r>
        <w:t>（</w:t>
      </w:r>
      <w:r>
        <w:t xml:space="preserve">2022–2024 </w:t>
      </w:r>
      <w:r>
        <w:t>年的加息熊市）两个子样本。</w:t>
      </w:r>
    </w:p>
    <w:p w14:paraId="2A9C0039" w14:textId="77777777" w:rsidR="006647CA" w:rsidRDefault="00F01680">
      <w:pPr>
        <w:spacing w:after="160" w:line="360" w:lineRule="auto"/>
      </w:pPr>
      <w:r>
        <w:rPr>
          <w:b/>
          <w:bCs/>
        </w:rPr>
        <w:lastRenderedPageBreak/>
        <w:t>结果：</w:t>
      </w:r>
      <w:r>
        <w:t>牛市中追涨效应更强（蓝色线更高），熊市中效应变弱但仍然存在。投资者在乐观环境下更容易追涨，在悲观环境下反应更迟缓。</w:t>
      </w:r>
    </w:p>
    <w:p w14:paraId="3DC15928" w14:textId="77777777" w:rsidR="006647CA" w:rsidRDefault="00F01680">
      <w:pPr>
        <w:pStyle w:val="Heading2"/>
      </w:pPr>
      <w:r>
        <w:t xml:space="preserve">4. </w:t>
      </w:r>
      <w:r>
        <w:t>崩盘事件研究（</w:t>
      </w:r>
      <w:r>
        <w:t>Drawdown Event Study</w:t>
      </w:r>
      <w:r>
        <w:t>）</w:t>
      </w:r>
    </w:p>
    <w:p w14:paraId="3D863430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展示价格索引</w:t>
      </w:r>
      <w:r>
        <w:rPr>
          <w:i/>
          <w:iCs/>
          <w:color w:val="999999"/>
          <w:sz w:val="22"/>
          <w:szCs w:val="22"/>
        </w:rPr>
        <w:t xml:space="preserve"> + </w:t>
      </w:r>
      <w:r>
        <w:rPr>
          <w:i/>
          <w:iCs/>
          <w:color w:val="999999"/>
          <w:sz w:val="22"/>
          <w:szCs w:val="22"/>
        </w:rPr>
        <w:t>崩盘散点图</w:t>
      </w:r>
      <w:r>
        <w:rPr>
          <w:i/>
          <w:iCs/>
          <w:color w:val="999999"/>
          <w:sz w:val="22"/>
          <w:szCs w:val="22"/>
        </w:rPr>
        <w:t>]</w:t>
      </w:r>
    </w:p>
    <w:p w14:paraId="608CFB6A" w14:textId="77777777" w:rsidR="006647CA" w:rsidRDefault="00F01680">
      <w:pPr>
        <w:spacing w:after="160" w:line="360" w:lineRule="auto"/>
      </w:pPr>
      <w:r>
        <w:t>我们还做了一个补充分析：当</w:t>
      </w:r>
      <w:r>
        <w:t xml:space="preserve"> ETF </w:t>
      </w:r>
      <w:r>
        <w:t>价格从峰值下跌超过</w:t>
      </w:r>
      <w:r>
        <w:t xml:space="preserve"> 10% </w:t>
      </w:r>
      <w:r>
        <w:t>时（</w:t>
      </w:r>
      <w:r>
        <w:rPr>
          <w:i/>
          <w:iCs/>
          <w:color w:val="2E75B6"/>
        </w:rPr>
        <w:t>drawdown</w:t>
      </w:r>
      <w:r>
        <w:t>），投资者会不会</w:t>
      </w:r>
      <w:proofErr w:type="gramStart"/>
      <w:r>
        <w:t>恂慌性</w:t>
      </w:r>
      <w:proofErr w:type="gramEnd"/>
      <w:r>
        <w:t>抛售（</w:t>
      </w:r>
      <w:r>
        <w:rPr>
          <w:i/>
          <w:iCs/>
          <w:color w:val="2E75B6"/>
        </w:rPr>
        <w:t>panic selling</w:t>
      </w:r>
      <w:r>
        <w:t>）？</w:t>
      </w:r>
    </w:p>
    <w:p w14:paraId="1B95F384" w14:textId="77777777" w:rsidR="006647CA" w:rsidRDefault="00F01680">
      <w:pPr>
        <w:spacing w:after="160" w:line="360" w:lineRule="auto"/>
      </w:pPr>
      <w:r>
        <w:t>图中红色阴影标记了每次崩盘事件。散点图展示崩盘深度与后续资金流的关系，用于检验投资者是否会因为价格大跌而大量赎回。</w:t>
      </w:r>
    </w:p>
    <w:p w14:paraId="62ABD8E8" w14:textId="77777777" w:rsidR="006647CA" w:rsidRDefault="00F01680">
      <w:r>
        <w:br w:type="page"/>
      </w:r>
    </w:p>
    <w:p w14:paraId="75AD20D5" w14:textId="77777777" w:rsidR="006647CA" w:rsidRDefault="00F01680">
      <w:pPr>
        <w:pStyle w:val="Heading1"/>
      </w:pPr>
      <w:r>
        <w:lastRenderedPageBreak/>
        <w:t>五、第四页：</w:t>
      </w:r>
      <w:r>
        <w:t>Robustness</w:t>
      </w:r>
      <w:r>
        <w:t>（稳健性检验）</w:t>
      </w:r>
    </w:p>
    <w:p w14:paraId="0DD18271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切换到</w:t>
      </w:r>
      <w:r>
        <w:rPr>
          <w:i/>
          <w:iCs/>
          <w:color w:val="999999"/>
          <w:sz w:val="22"/>
          <w:szCs w:val="22"/>
        </w:rPr>
        <w:t xml:space="preserve"> </w:t>
      </w:r>
      <w:proofErr w:type="spellStart"/>
      <w:r>
        <w:rPr>
          <w:i/>
          <w:iCs/>
          <w:color w:val="999999"/>
          <w:sz w:val="22"/>
          <w:szCs w:val="22"/>
        </w:rPr>
        <w:t>Streamlit</w:t>
      </w:r>
      <w:proofErr w:type="spellEnd"/>
      <w:r>
        <w:rPr>
          <w:i/>
          <w:iCs/>
          <w:color w:val="999999"/>
          <w:sz w:val="22"/>
          <w:szCs w:val="22"/>
        </w:rPr>
        <w:t xml:space="preserve"> </w:t>
      </w:r>
      <w:r>
        <w:rPr>
          <w:i/>
          <w:iCs/>
          <w:color w:val="999999"/>
          <w:sz w:val="22"/>
          <w:szCs w:val="22"/>
        </w:rPr>
        <w:t>第四页</w:t>
      </w:r>
      <w:r>
        <w:rPr>
          <w:i/>
          <w:iCs/>
          <w:color w:val="999999"/>
          <w:sz w:val="22"/>
          <w:szCs w:val="22"/>
        </w:rPr>
        <w:t xml:space="preserve"> “Robustness”]</w:t>
      </w:r>
    </w:p>
    <w:p w14:paraId="3985F4A7" w14:textId="77777777" w:rsidR="006647CA" w:rsidRDefault="00F01680">
      <w:pPr>
        <w:spacing w:after="160" w:line="360" w:lineRule="auto"/>
      </w:pPr>
      <w:r>
        <w:t>这一页回答的是</w:t>
      </w:r>
      <w:r>
        <w:t>“</w:t>
      </w:r>
      <w:r>
        <w:t>如果我是期刊审稿人（</w:t>
      </w:r>
      <w:r>
        <w:rPr>
          <w:i/>
          <w:iCs/>
          <w:color w:val="2E75B6"/>
        </w:rPr>
        <w:t>journal referee</w:t>
      </w:r>
      <w:r>
        <w:t>），我会怎么质疑这个结果</w:t>
      </w:r>
      <w:r>
        <w:t>”</w:t>
      </w:r>
      <w:r>
        <w:t>。我们主动回答了五个核心质疑：</w:t>
      </w:r>
    </w:p>
    <w:p w14:paraId="63078F12" w14:textId="77777777" w:rsidR="006647CA" w:rsidRDefault="006647CA">
      <w:pPr>
        <w:spacing w:after="80"/>
      </w:pPr>
    </w:p>
    <w:p w14:paraId="34088EAA" w14:textId="77777777" w:rsidR="006647CA" w:rsidRDefault="00F01680">
      <w:pPr>
        <w:pStyle w:val="Heading2"/>
      </w:pPr>
      <w:r>
        <w:t xml:space="preserve">Q1: </w:t>
      </w:r>
      <w:r>
        <w:t>标准误可靠吗？</w:t>
      </w:r>
    </w:p>
    <w:p w14:paraId="4755E387" w14:textId="77777777" w:rsidR="006647CA" w:rsidRDefault="00F01680">
      <w:pPr>
        <w:spacing w:after="160" w:line="360" w:lineRule="auto"/>
      </w:pPr>
      <w:r>
        <w:t>我们只有</w:t>
      </w:r>
      <w:r>
        <w:t xml:space="preserve"> 6 </w:t>
      </w:r>
      <w:proofErr w:type="gramStart"/>
      <w:r>
        <w:t>个</w:t>
      </w:r>
      <w:proofErr w:type="gramEnd"/>
      <w:r>
        <w:t xml:space="preserve"> ETF </w:t>
      </w:r>
      <w:r>
        <w:t>的</w:t>
      </w:r>
      <w:r>
        <w:t xml:space="preserve"> cluster</w:t>
      </w:r>
      <w:r>
        <w:t>，而学术界建议至少</w:t>
      </w:r>
      <w:r>
        <w:t xml:space="preserve"> 30 </w:t>
      </w:r>
      <w:proofErr w:type="gramStart"/>
      <w:r>
        <w:t>个</w:t>
      </w:r>
      <w:proofErr w:type="gramEnd"/>
      <w:r>
        <w:t>。所以我们用了三种不同的标准误估计方法：</w:t>
      </w:r>
    </w:p>
    <w:p w14:paraId="45068EBB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rPr>
          <w:i/>
          <w:iCs/>
          <w:color w:val="2E75B6"/>
        </w:rPr>
        <w:t>Entity-clustered SE</w:t>
      </w:r>
      <w:r>
        <w:t>（按</w:t>
      </w:r>
      <w:r>
        <w:t xml:space="preserve"> ETF </w:t>
      </w:r>
      <w:r>
        <w:t>聚类）</w:t>
      </w:r>
    </w:p>
    <w:p w14:paraId="279E69DC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rPr>
          <w:i/>
          <w:iCs/>
          <w:color w:val="2E75B6"/>
        </w:rPr>
        <w:t>Two-way clustered SE</w:t>
      </w:r>
      <w:r>
        <w:t>（同时按</w:t>
      </w:r>
      <w:r>
        <w:t xml:space="preserve"> ETF </w:t>
      </w:r>
      <w:r>
        <w:t>和日期聚类）</w:t>
      </w:r>
    </w:p>
    <w:p w14:paraId="034FF32B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rPr>
          <w:i/>
          <w:iCs/>
          <w:color w:val="2E75B6"/>
        </w:rPr>
        <w:t>Driscoll-Kraay SE</w:t>
      </w:r>
      <w:r>
        <w:t>（最保守的估计方法，同时处理截面和时间相关性）</w:t>
      </w:r>
    </w:p>
    <w:p w14:paraId="2D306EB9" w14:textId="77777777" w:rsidR="006647CA" w:rsidRDefault="00F01680">
      <w:pPr>
        <w:spacing w:after="160" w:line="360" w:lineRule="auto"/>
      </w:pPr>
      <w:r>
        <w:rPr>
          <w:b/>
          <w:bCs/>
        </w:rPr>
        <w:t>结果：</w:t>
      </w:r>
      <w:r>
        <w:t xml:space="preserve">DK </w:t>
      </w:r>
      <w:r>
        <w:t>标准误更大，但核心变量</w:t>
      </w:r>
      <w:r>
        <w:t xml:space="preserve"> CumRet_6_20 </w:t>
      </w:r>
      <w:r>
        <w:t>和</w:t>
      </w:r>
      <w:r>
        <w:t xml:space="preserve"> CumRet_21_60 </w:t>
      </w:r>
      <w:r>
        <w:t>在三种方法下</w:t>
      </w:r>
      <w:r>
        <w:rPr>
          <w:b/>
          <w:bCs/>
        </w:rPr>
        <w:t>均保持显著</w:t>
      </w:r>
      <w:r>
        <w:t>。</w:t>
      </w:r>
    </w:p>
    <w:p w14:paraId="3614683B" w14:textId="77777777" w:rsidR="006647CA" w:rsidRDefault="00F01680">
      <w:pPr>
        <w:pStyle w:val="Heading2"/>
      </w:pPr>
      <w:r>
        <w:t xml:space="preserve">Q2: </w:t>
      </w:r>
      <w:r>
        <w:t>有没有反向因果？</w:t>
      </w:r>
    </w:p>
    <w:p w14:paraId="47EF72AE" w14:textId="77777777" w:rsidR="006647CA" w:rsidRDefault="00F01680">
      <w:pPr>
        <w:spacing w:after="160" w:line="360" w:lineRule="auto"/>
      </w:pPr>
      <w:r>
        <w:t>担心的是：不是</w:t>
      </w:r>
      <w:r>
        <w:t>“</w:t>
      </w:r>
      <w:r>
        <w:t>价格影响资金流</w:t>
      </w:r>
      <w:r>
        <w:t>”</w:t>
      </w:r>
      <w:r>
        <w:t>，而是</w:t>
      </w:r>
      <w:r>
        <w:t>“</w:t>
      </w:r>
      <w:r>
        <w:t>资金流推高了价格</w:t>
      </w:r>
      <w:r>
        <w:t>”</w:t>
      </w:r>
      <w:r>
        <w:t>（</w:t>
      </w:r>
      <w:r>
        <w:rPr>
          <w:i/>
          <w:iCs/>
          <w:color w:val="2E75B6"/>
        </w:rPr>
        <w:t>reverse causality</w:t>
      </w:r>
      <w:r>
        <w:t xml:space="preserve"> / </w:t>
      </w:r>
      <w:r>
        <w:rPr>
          <w:i/>
          <w:iCs/>
          <w:color w:val="2E75B6"/>
        </w:rPr>
        <w:t>price impact</w:t>
      </w:r>
      <w:r>
        <w:t>）。我们做了两个测试：</w:t>
      </w:r>
    </w:p>
    <w:p w14:paraId="480F4F7B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rPr>
          <w:i/>
          <w:iCs/>
          <w:color w:val="2E75B6"/>
        </w:rPr>
        <w:t>Placebo test</w:t>
      </w:r>
      <w:r>
        <w:t>（安慰剂测试）：用</w:t>
      </w:r>
      <w:r>
        <w:rPr>
          <w:b/>
          <w:bCs/>
        </w:rPr>
        <w:t>未来</w:t>
      </w:r>
      <w:r>
        <w:t>的回报率替代过去的回报率。</w:t>
      </w:r>
      <w:proofErr w:type="gramStart"/>
      <w:r>
        <w:t>如果未来回报率也能</w:t>
      </w:r>
      <w:r>
        <w:t>“</w:t>
      </w:r>
      <w:r>
        <w:t>预测</w:t>
      </w:r>
      <w:r>
        <w:t>”</w:t>
      </w:r>
      <w:r>
        <w:t>资金流</w:t>
      </w:r>
      <w:proofErr w:type="gramEnd"/>
      <w:r>
        <w:t>，就说明关系是虚假的。</w:t>
      </w:r>
      <w:r>
        <w:rPr>
          <w:b/>
          <w:bCs/>
        </w:rPr>
        <w:t>结果：未来回报率不显著</w:t>
      </w:r>
      <w:r>
        <w:t>，确认因果方向是对的</w:t>
      </w:r>
    </w:p>
    <w:p w14:paraId="0E690C76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rPr>
          <w:i/>
          <w:iCs/>
          <w:color w:val="2E75B6"/>
        </w:rPr>
        <w:t>Granger causality test</w:t>
      </w:r>
      <w:r>
        <w:t>（格兰杰因果检验）：同时检验两个方向。</w:t>
      </w:r>
      <w:r>
        <w:rPr>
          <w:b/>
          <w:bCs/>
        </w:rPr>
        <w:t>结果</w:t>
      </w:r>
      <w:proofErr w:type="gramStart"/>
      <w:r>
        <w:rPr>
          <w:b/>
          <w:bCs/>
        </w:rPr>
        <w:t>：</w:t>
      </w:r>
      <w:r>
        <w:rPr>
          <w:b/>
          <w:bCs/>
        </w:rPr>
        <w:t>“</w:t>
      </w:r>
      <w:proofErr w:type="gramEnd"/>
      <w:r>
        <w:rPr>
          <w:b/>
          <w:bCs/>
        </w:rPr>
        <w:t>回报率</w:t>
      </w:r>
      <w:r>
        <w:rPr>
          <w:b/>
          <w:bCs/>
        </w:rPr>
        <w:t>→</w:t>
      </w:r>
      <w:proofErr w:type="gramStart"/>
      <w:r>
        <w:rPr>
          <w:b/>
          <w:bCs/>
        </w:rPr>
        <w:t>资金流</w:t>
      </w:r>
      <w:r>
        <w:rPr>
          <w:b/>
          <w:bCs/>
        </w:rPr>
        <w:t>”</w:t>
      </w:r>
      <w:r>
        <w:rPr>
          <w:b/>
          <w:bCs/>
        </w:rPr>
        <w:t>方向显著</w:t>
      </w:r>
      <w:proofErr w:type="gramEnd"/>
      <w:r>
        <w:t>，反向也存在但较弱</w:t>
      </w:r>
    </w:p>
    <w:p w14:paraId="6F0FB81F" w14:textId="77777777" w:rsidR="006647CA" w:rsidRDefault="00F01680">
      <w:pPr>
        <w:pStyle w:val="Heading2"/>
      </w:pPr>
      <w:r>
        <w:t xml:space="preserve">Q3: </w:t>
      </w:r>
      <w:r>
        <w:t>是不是被</w:t>
      </w:r>
      <w:r>
        <w:t xml:space="preserve"> ARKK </w:t>
      </w:r>
      <w:r>
        <w:t>一只基金主导了？</w:t>
      </w:r>
    </w:p>
    <w:p w14:paraId="49177260" w14:textId="77777777" w:rsidR="006647CA" w:rsidRDefault="00F01680">
      <w:pPr>
        <w:spacing w:after="160" w:line="360" w:lineRule="auto"/>
      </w:pPr>
      <w:r>
        <w:t xml:space="preserve">ARKK </w:t>
      </w:r>
      <w:r>
        <w:t>是最大的基金，媒体关注度最高，结果会不会只是</w:t>
      </w:r>
      <w:r>
        <w:t xml:space="preserve"> ARKK </w:t>
      </w:r>
      <w:r>
        <w:t>的现象？</w:t>
      </w:r>
    </w:p>
    <w:p w14:paraId="238BA31F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rPr>
          <w:i/>
          <w:iCs/>
          <w:color w:val="2E75B6"/>
        </w:rPr>
        <w:lastRenderedPageBreak/>
        <w:t>Leave-one-ETF-out</w:t>
      </w:r>
      <w:r>
        <w:t>（逐一排除检验）：每次剔除一只</w:t>
      </w:r>
      <w:r>
        <w:t xml:space="preserve"> ETF </w:t>
      </w:r>
      <w:r>
        <w:t>重新估计，</w:t>
      </w:r>
      <w:r>
        <w:rPr>
          <w:b/>
          <w:bCs/>
        </w:rPr>
        <w:t>系数保持稻定</w:t>
      </w:r>
    </w:p>
    <w:p w14:paraId="3EFD925C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rPr>
          <w:i/>
          <w:iCs/>
          <w:color w:val="2E75B6"/>
        </w:rPr>
        <w:t>ARKK interaction model</w:t>
      </w:r>
      <w:r>
        <w:t>（交互项模型）：</w:t>
      </w:r>
      <w:r>
        <w:t xml:space="preserve">ARKK </w:t>
      </w:r>
      <w:r>
        <w:t>的系数确实比其他</w:t>
      </w:r>
      <w:r>
        <w:t xml:space="preserve"> ETF </w:t>
      </w:r>
      <w:r>
        <w:t>更强，但</w:t>
      </w:r>
      <w:r>
        <w:rPr>
          <w:b/>
          <w:bCs/>
        </w:rPr>
        <w:t>剔除</w:t>
      </w:r>
      <w:r>
        <w:rPr>
          <w:b/>
          <w:bCs/>
        </w:rPr>
        <w:t xml:space="preserve"> ARKK </w:t>
      </w:r>
      <w:r>
        <w:rPr>
          <w:b/>
          <w:bCs/>
        </w:rPr>
        <w:t>后其他</w:t>
      </w:r>
      <w:r>
        <w:rPr>
          <w:b/>
          <w:bCs/>
        </w:rPr>
        <w:t xml:space="preserve"> ETF </w:t>
      </w:r>
      <w:r>
        <w:rPr>
          <w:b/>
          <w:bCs/>
        </w:rPr>
        <w:t>仍然显著</w:t>
      </w:r>
    </w:p>
    <w:p w14:paraId="20E4B2CF" w14:textId="77777777" w:rsidR="006647CA" w:rsidRDefault="00F01680">
      <w:pPr>
        <w:pStyle w:val="Heading2"/>
      </w:pPr>
      <w:r>
        <w:t xml:space="preserve">Q4: </w:t>
      </w:r>
      <w:r>
        <w:t>系数随时间稳定吗？</w:t>
      </w:r>
    </w:p>
    <w:p w14:paraId="00AC6B72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展示</w:t>
      </w:r>
      <w:r>
        <w:rPr>
          <w:i/>
          <w:iCs/>
          <w:color w:val="999999"/>
          <w:sz w:val="22"/>
          <w:szCs w:val="22"/>
        </w:rPr>
        <w:t xml:space="preserve"> Figure 4 rolling coefficient </w:t>
      </w:r>
      <w:r>
        <w:rPr>
          <w:i/>
          <w:iCs/>
          <w:color w:val="999999"/>
          <w:sz w:val="22"/>
          <w:szCs w:val="22"/>
        </w:rPr>
        <w:t>图</w:t>
      </w:r>
      <w:r>
        <w:rPr>
          <w:i/>
          <w:iCs/>
          <w:color w:val="999999"/>
          <w:sz w:val="22"/>
          <w:szCs w:val="22"/>
        </w:rPr>
        <w:t>]</w:t>
      </w:r>
    </w:p>
    <w:p w14:paraId="71A2A963" w14:textId="77777777" w:rsidR="006647CA" w:rsidRDefault="00F01680">
      <w:pPr>
        <w:spacing w:after="160" w:line="360" w:lineRule="auto"/>
      </w:pPr>
      <w:r>
        <w:t>我们用</w:t>
      </w:r>
      <w:r>
        <w:t xml:space="preserve"> </w:t>
      </w:r>
      <w:r>
        <w:rPr>
          <w:i/>
          <w:iCs/>
          <w:color w:val="2E75B6"/>
        </w:rPr>
        <w:t>2-year rolling window</w:t>
      </w:r>
      <w:r>
        <w:t>（</w:t>
      </w:r>
      <w:r>
        <w:t>2</w:t>
      </w:r>
      <w:r>
        <w:t>年滚动窗口）估计系数随时间的变化。</w:t>
      </w:r>
      <w:r>
        <w:rPr>
          <w:b/>
          <w:bCs/>
        </w:rPr>
        <w:t>系数始终为正</w:t>
      </w:r>
      <w:r>
        <w:t>，说明追涨是持续存在的现象，不是某个特定时期的巧合。</w:t>
      </w:r>
    </w:p>
    <w:p w14:paraId="084924EB" w14:textId="77777777" w:rsidR="006647CA" w:rsidRDefault="00F01680">
      <w:pPr>
        <w:pStyle w:val="Heading2"/>
      </w:pPr>
      <w:r>
        <w:t xml:space="preserve">Q5: </w:t>
      </w:r>
      <w:r>
        <w:t>换一种方法还成立吗？</w:t>
      </w:r>
    </w:p>
    <w:p w14:paraId="791A043D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t>把因变量从</w:t>
      </w:r>
      <w:r>
        <w:t xml:space="preserve"> </w:t>
      </w:r>
      <w:r>
        <w:rPr>
          <w:i/>
          <w:iCs/>
          <w:color w:val="2E75B6"/>
        </w:rPr>
        <w:t>Fund Flow ($M)</w:t>
      </w:r>
      <w:r>
        <w:t xml:space="preserve"> </w:t>
      </w:r>
      <w:r>
        <w:t>换成</w:t>
      </w:r>
      <w:r>
        <w:t xml:space="preserve"> </w:t>
      </w:r>
      <w:r>
        <w:rPr>
          <w:i/>
          <w:iCs/>
          <w:color w:val="2E75B6"/>
        </w:rPr>
        <w:t>Flow % AUM</w:t>
      </w:r>
      <w:r>
        <w:t>（流量占</w:t>
      </w:r>
      <w:r>
        <w:t xml:space="preserve"> AUM </w:t>
      </w:r>
      <w:r>
        <w:t>的百分比）</w:t>
      </w:r>
      <w:r>
        <w:t>——</w:t>
      </w:r>
      <w:r>
        <w:rPr>
          <w:b/>
          <w:bCs/>
        </w:rPr>
        <w:t>仍然显著</w:t>
      </w:r>
    </w:p>
    <w:p w14:paraId="76219330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t>用最保守的</w:t>
      </w:r>
      <w:r>
        <w:t xml:space="preserve"> </w:t>
      </w:r>
      <w:r>
        <w:rPr>
          <w:i/>
          <w:iCs/>
          <w:color w:val="2E75B6"/>
        </w:rPr>
        <w:t>Driscoll-Kraay SE</w:t>
      </w:r>
      <w:r>
        <w:t xml:space="preserve"> ——</w:t>
      </w:r>
      <w:r>
        <w:rPr>
          <w:b/>
          <w:bCs/>
        </w:rPr>
        <w:t>仍然显著</w:t>
      </w:r>
    </w:p>
    <w:p w14:paraId="0118A289" w14:textId="77777777" w:rsidR="006647CA" w:rsidRDefault="00F01680">
      <w:r>
        <w:br w:type="page"/>
      </w:r>
    </w:p>
    <w:p w14:paraId="29200C41" w14:textId="77777777" w:rsidR="006647CA" w:rsidRDefault="00F01680">
      <w:pPr>
        <w:pStyle w:val="Heading1"/>
      </w:pPr>
      <w:r>
        <w:lastRenderedPageBreak/>
        <w:t>六、第五页：</w:t>
      </w:r>
      <w:r>
        <w:t>Explorer</w:t>
      </w:r>
      <w:r>
        <w:t>（交互式探索）</w:t>
      </w:r>
    </w:p>
    <w:p w14:paraId="4D82F314" w14:textId="77777777" w:rsidR="006647CA" w:rsidRDefault="00F01680">
      <w:pPr>
        <w:spacing w:after="160" w:line="360" w:lineRule="auto"/>
        <w:ind w:left="360"/>
      </w:pPr>
      <w:r>
        <w:rPr>
          <w:i/>
          <w:iCs/>
          <w:color w:val="999999"/>
          <w:sz w:val="22"/>
          <w:szCs w:val="22"/>
        </w:rPr>
        <w:t>[</w:t>
      </w:r>
      <w:r>
        <w:rPr>
          <w:i/>
          <w:iCs/>
          <w:color w:val="999999"/>
          <w:sz w:val="22"/>
          <w:szCs w:val="22"/>
        </w:rPr>
        <w:t>切换到</w:t>
      </w:r>
      <w:r>
        <w:rPr>
          <w:i/>
          <w:iCs/>
          <w:color w:val="999999"/>
          <w:sz w:val="22"/>
          <w:szCs w:val="22"/>
        </w:rPr>
        <w:t xml:space="preserve"> </w:t>
      </w:r>
      <w:proofErr w:type="spellStart"/>
      <w:r>
        <w:rPr>
          <w:i/>
          <w:iCs/>
          <w:color w:val="999999"/>
          <w:sz w:val="22"/>
          <w:szCs w:val="22"/>
        </w:rPr>
        <w:t>Streamlit</w:t>
      </w:r>
      <w:proofErr w:type="spellEnd"/>
      <w:r>
        <w:rPr>
          <w:i/>
          <w:iCs/>
          <w:color w:val="999999"/>
          <w:sz w:val="22"/>
          <w:szCs w:val="22"/>
        </w:rPr>
        <w:t xml:space="preserve"> </w:t>
      </w:r>
      <w:r>
        <w:rPr>
          <w:i/>
          <w:iCs/>
          <w:color w:val="999999"/>
          <w:sz w:val="22"/>
          <w:szCs w:val="22"/>
        </w:rPr>
        <w:t>第五页</w:t>
      </w:r>
      <w:r>
        <w:rPr>
          <w:i/>
          <w:iCs/>
          <w:color w:val="999999"/>
          <w:sz w:val="22"/>
          <w:szCs w:val="22"/>
        </w:rPr>
        <w:t xml:space="preserve"> “</w:t>
      </w:r>
      <w:proofErr w:type="gramStart"/>
      <w:r>
        <w:rPr>
          <w:i/>
          <w:iCs/>
          <w:color w:val="999999"/>
          <w:sz w:val="22"/>
          <w:szCs w:val="22"/>
        </w:rPr>
        <w:t>Explorer”</w:t>
      </w:r>
      <w:r>
        <w:rPr>
          <w:i/>
          <w:iCs/>
          <w:color w:val="999999"/>
          <w:sz w:val="22"/>
          <w:szCs w:val="22"/>
        </w:rPr>
        <w:t>，</w:t>
      </w:r>
      <w:proofErr w:type="gramEnd"/>
      <w:r>
        <w:rPr>
          <w:i/>
          <w:iCs/>
          <w:color w:val="999999"/>
          <w:sz w:val="22"/>
          <w:szCs w:val="22"/>
        </w:rPr>
        <w:t>演示互动</w:t>
      </w:r>
      <w:r>
        <w:rPr>
          <w:i/>
          <w:iCs/>
          <w:color w:val="999999"/>
          <w:sz w:val="22"/>
          <w:szCs w:val="22"/>
        </w:rPr>
        <w:t>]</w:t>
      </w:r>
    </w:p>
    <w:p w14:paraId="33B426F6" w14:textId="77777777" w:rsidR="006647CA" w:rsidRDefault="00F01680">
      <w:pPr>
        <w:spacing w:after="160" w:line="360" w:lineRule="auto"/>
      </w:pPr>
      <w:r>
        <w:t>这一页是一个交互式工具，可以选择任意一只</w:t>
      </w:r>
      <w:r>
        <w:t xml:space="preserve"> ETF</w:t>
      </w:r>
      <w:r>
        <w:t>（包括</w:t>
      </w:r>
      <w:r>
        <w:t xml:space="preserve"> peer</w:t>
      </w:r>
      <w:r>
        <w:t>），查看它的：</w:t>
      </w:r>
    </w:p>
    <w:p w14:paraId="214781B0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rPr>
          <w:b/>
          <w:bCs/>
        </w:rPr>
        <w:t>资金流分布</w:t>
      </w:r>
      <w:r>
        <w:t>（均值、标准差、偏度）</w:t>
      </w:r>
    </w:p>
    <w:p w14:paraId="4F46FA01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rPr>
          <w:i/>
          <w:iCs/>
          <w:color w:val="2E75B6"/>
        </w:rPr>
        <w:t>Cross-correlogram</w:t>
      </w:r>
      <w:r>
        <w:t>（交叉相关图）：展示资金流与不同</w:t>
      </w:r>
      <w:r>
        <w:t xml:space="preserve"> lag </w:t>
      </w:r>
      <w:r>
        <w:t>的回报率的相关性</w:t>
      </w:r>
    </w:p>
    <w:p w14:paraId="70F1D3A0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rPr>
          <w:i/>
          <w:iCs/>
          <w:color w:val="2E75B6"/>
        </w:rPr>
        <w:t>R² heatmap</w:t>
      </w:r>
      <w:r>
        <w:t>（</w:t>
      </w:r>
      <w:r>
        <w:t xml:space="preserve">R² </w:t>
      </w:r>
      <w:r>
        <w:t>热力图）：一眼看出哪只</w:t>
      </w:r>
      <w:r>
        <w:t xml:space="preserve"> ETF </w:t>
      </w:r>
      <w:r>
        <w:t>、哪个</w:t>
      </w:r>
      <w:r>
        <w:t xml:space="preserve"> lag </w:t>
      </w:r>
      <w:r>
        <w:t>的预测能力最强</w:t>
      </w:r>
    </w:p>
    <w:p w14:paraId="0850841C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rPr>
          <w:b/>
          <w:bCs/>
        </w:rPr>
        <w:t>季节性分析</w:t>
      </w:r>
      <w:r>
        <w:t>：各月平均资金流，检验</w:t>
      </w:r>
      <w:r>
        <w:t xml:space="preserve"> </w:t>
      </w:r>
      <w:r>
        <w:rPr>
          <w:i/>
          <w:iCs/>
          <w:color w:val="2E75B6"/>
        </w:rPr>
        <w:t>January effect</w:t>
      </w:r>
      <w:r>
        <w:t>（一月效应）</w:t>
      </w:r>
    </w:p>
    <w:p w14:paraId="13E8D7B4" w14:textId="77777777" w:rsidR="006647CA" w:rsidRDefault="00F01680">
      <w:pPr>
        <w:spacing w:after="160" w:line="360" w:lineRule="auto"/>
      </w:pPr>
      <w:r>
        <w:t>这个页面主要用于实时演示和研究探索，不是论文的核心内容。</w:t>
      </w:r>
    </w:p>
    <w:p w14:paraId="66A7CA56" w14:textId="77777777" w:rsidR="006647CA" w:rsidRDefault="00F01680">
      <w:r>
        <w:br w:type="page"/>
      </w:r>
    </w:p>
    <w:p w14:paraId="4E0A3D0D" w14:textId="77777777" w:rsidR="006647CA" w:rsidRDefault="00F01680">
      <w:pPr>
        <w:pStyle w:val="Heading1"/>
      </w:pPr>
      <w:r>
        <w:lastRenderedPageBreak/>
        <w:t>七、方法论总结</w:t>
      </w:r>
    </w:p>
    <w:p w14:paraId="79D50691" w14:textId="77777777" w:rsidR="006647CA" w:rsidRDefault="00F01680">
      <w:pPr>
        <w:spacing w:after="160" w:line="360" w:lineRule="auto"/>
      </w:pPr>
      <w:r>
        <w:t>下表概括了整个项目的研究方法体系：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6647CA" w14:paraId="0EE5FB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E9A0" w14:textId="77777777" w:rsidR="006647CA" w:rsidRDefault="00F01680">
            <w:r>
              <w:rPr>
                <w:b/>
                <w:bCs/>
                <w:color w:val="FFFFFF"/>
                <w:sz w:val="22"/>
                <w:szCs w:val="22"/>
              </w:rPr>
              <w:t>方法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49032" w14:textId="77777777" w:rsidR="006647CA" w:rsidRDefault="00F01680">
            <w:r>
              <w:rPr>
                <w:b/>
                <w:bCs/>
                <w:color w:val="FFFFFF"/>
                <w:sz w:val="22"/>
                <w:szCs w:val="22"/>
              </w:rPr>
              <w:t>用途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8563" w14:textId="77777777" w:rsidR="006647CA" w:rsidRDefault="00F01680">
            <w:r>
              <w:rPr>
                <w:b/>
                <w:bCs/>
                <w:color w:val="FFFFFF"/>
                <w:sz w:val="22"/>
                <w:szCs w:val="22"/>
              </w:rPr>
              <w:t>对应输出</w:t>
            </w:r>
          </w:p>
        </w:tc>
      </w:tr>
      <w:tr w:rsidR="006647CA" w14:paraId="69157B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192D" w14:textId="77777777" w:rsidR="006647CA" w:rsidRDefault="00F01680">
            <w:r>
              <w:rPr>
                <w:sz w:val="22"/>
                <w:szCs w:val="22"/>
              </w:rPr>
              <w:t>S&amp;T piecewise linear regression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78DF2" w14:textId="77777777" w:rsidR="006647CA" w:rsidRDefault="00F01680">
            <w:r>
              <w:rPr>
                <w:sz w:val="22"/>
                <w:szCs w:val="22"/>
              </w:rPr>
              <w:t>复现经典框架，检验</w:t>
            </w:r>
            <w:r>
              <w:rPr>
                <w:sz w:val="22"/>
                <w:szCs w:val="22"/>
              </w:rPr>
              <w:t xml:space="preserve"> flow-performance convexity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D320A" w14:textId="77777777" w:rsidR="006647CA" w:rsidRDefault="00F01680">
            <w:r>
              <w:rPr>
                <w:sz w:val="22"/>
                <w:szCs w:val="22"/>
              </w:rPr>
              <w:t>Table 2</w:t>
            </w:r>
          </w:p>
        </w:tc>
      </w:tr>
      <w:tr w:rsidR="006647CA" w14:paraId="36B2B1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278FB" w14:textId="77777777" w:rsidR="006647CA" w:rsidRDefault="00F01680">
            <w:r>
              <w:rPr>
                <w:sz w:val="22"/>
                <w:szCs w:val="22"/>
              </w:rPr>
              <w:t>Panel FE + cumulative return windows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3203" w14:textId="77777777" w:rsidR="006647CA" w:rsidRDefault="00F01680">
            <w:r>
              <w:rPr>
                <w:sz w:val="22"/>
                <w:szCs w:val="22"/>
              </w:rPr>
              <w:t>识别哪个时间窗口驱动追涨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8E9B" w14:textId="77777777" w:rsidR="006647CA" w:rsidRDefault="00F01680">
            <w:r>
              <w:rPr>
                <w:sz w:val="22"/>
                <w:szCs w:val="22"/>
              </w:rPr>
              <w:t>Table 3</w:t>
            </w:r>
          </w:p>
        </w:tc>
      </w:tr>
      <w:tr w:rsidR="006647CA" w14:paraId="08167C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5932" w14:textId="77777777" w:rsidR="006647CA" w:rsidRDefault="00F01680">
            <w:r>
              <w:rPr>
                <w:sz w:val="22"/>
                <w:szCs w:val="22"/>
              </w:rPr>
              <w:t>Local Projection (Jordà 2005)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57E53" w14:textId="77777777" w:rsidR="006647CA" w:rsidRDefault="00F01680">
            <w:r>
              <w:rPr>
                <w:sz w:val="22"/>
                <w:szCs w:val="22"/>
              </w:rPr>
              <w:t>估计</w:t>
            </w:r>
            <w:r>
              <w:rPr>
                <w:sz w:val="22"/>
                <w:szCs w:val="22"/>
              </w:rPr>
              <w:t xml:space="preserve"> 0–40 </w:t>
            </w:r>
            <w:r>
              <w:rPr>
                <w:sz w:val="22"/>
                <w:szCs w:val="22"/>
              </w:rPr>
              <w:t>天的动态</w:t>
            </w:r>
            <w:r>
              <w:rPr>
                <w:sz w:val="22"/>
                <w:szCs w:val="22"/>
              </w:rPr>
              <w:t xml:space="preserve"> impulse response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019B" w14:textId="77777777" w:rsidR="006647CA" w:rsidRDefault="00F01680">
            <w:r>
              <w:rPr>
                <w:sz w:val="22"/>
                <w:szCs w:val="22"/>
              </w:rPr>
              <w:t>Figure 1–3</w:t>
            </w:r>
          </w:p>
        </w:tc>
      </w:tr>
      <w:tr w:rsidR="006647CA" w14:paraId="5848A3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1D77" w14:textId="77777777" w:rsidR="006647CA" w:rsidRDefault="00F01680">
            <w:r>
              <w:rPr>
                <w:sz w:val="22"/>
                <w:szCs w:val="22"/>
              </w:rPr>
              <w:t>Asymmetric LP decomposition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53FA3" w14:textId="77777777" w:rsidR="006647CA" w:rsidRDefault="00F01680">
            <w:proofErr w:type="gramStart"/>
            <w:r>
              <w:rPr>
                <w:sz w:val="22"/>
                <w:szCs w:val="22"/>
              </w:rPr>
              <w:t>分离正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负冲击</w:t>
            </w:r>
            <w:proofErr w:type="gramEnd"/>
            <w:r>
              <w:rPr>
                <w:sz w:val="22"/>
                <w:szCs w:val="22"/>
              </w:rPr>
              <w:t>的不对称响应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2F25" w14:textId="77777777" w:rsidR="006647CA" w:rsidRDefault="00F01680">
            <w:r>
              <w:rPr>
                <w:sz w:val="22"/>
                <w:szCs w:val="22"/>
              </w:rPr>
              <w:t>Figure 2</w:t>
            </w:r>
          </w:p>
        </w:tc>
      </w:tr>
      <w:tr w:rsidR="006647CA" w14:paraId="67CC51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0894" w14:textId="77777777" w:rsidR="006647CA" w:rsidRDefault="00F01680">
            <w:r>
              <w:rPr>
                <w:sz w:val="22"/>
                <w:szCs w:val="22"/>
              </w:rPr>
              <w:t>Placebo test (lead returns)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10B67" w14:textId="77777777" w:rsidR="006647CA" w:rsidRDefault="00F01680">
            <w:r>
              <w:rPr>
                <w:sz w:val="22"/>
                <w:szCs w:val="22"/>
              </w:rPr>
              <w:t>排除反向因果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4F27" w14:textId="77777777" w:rsidR="006647CA" w:rsidRDefault="00F01680">
            <w:r>
              <w:rPr>
                <w:sz w:val="22"/>
                <w:szCs w:val="22"/>
              </w:rPr>
              <w:t>Table 5a</w:t>
            </w:r>
          </w:p>
        </w:tc>
      </w:tr>
      <w:tr w:rsidR="006647CA" w14:paraId="4B3F34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BF082" w14:textId="77777777" w:rsidR="006647CA" w:rsidRDefault="00F01680">
            <w:r>
              <w:rPr>
                <w:sz w:val="22"/>
                <w:szCs w:val="22"/>
              </w:rPr>
              <w:t>Leave-one-ETF-out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716F" w14:textId="77777777" w:rsidR="006647CA" w:rsidRDefault="00F01680">
            <w:r>
              <w:rPr>
                <w:sz w:val="22"/>
                <w:szCs w:val="22"/>
              </w:rPr>
              <w:t>排除单只</w:t>
            </w:r>
            <w:r>
              <w:rPr>
                <w:sz w:val="22"/>
                <w:szCs w:val="22"/>
              </w:rPr>
              <w:t xml:space="preserve"> ETF </w:t>
            </w:r>
            <w:r>
              <w:rPr>
                <w:sz w:val="22"/>
                <w:szCs w:val="22"/>
              </w:rPr>
              <w:t>主导的可能性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90BC" w14:textId="77777777" w:rsidR="006647CA" w:rsidRDefault="00F01680">
            <w:r>
              <w:rPr>
                <w:sz w:val="22"/>
                <w:szCs w:val="22"/>
              </w:rPr>
              <w:t>Table 5b</w:t>
            </w:r>
          </w:p>
        </w:tc>
      </w:tr>
      <w:tr w:rsidR="006647CA" w14:paraId="299C2E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07CE" w14:textId="77777777" w:rsidR="006647CA" w:rsidRDefault="00F01680">
            <w:r>
              <w:rPr>
                <w:sz w:val="22"/>
                <w:szCs w:val="22"/>
              </w:rPr>
              <w:t>Fama-MacBeth regression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5DE6" w14:textId="77777777" w:rsidR="006647CA" w:rsidRDefault="00F01680">
            <w:r>
              <w:rPr>
                <w:sz w:val="22"/>
                <w:szCs w:val="22"/>
              </w:rPr>
              <w:t>跨截面回归稳健性检验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2842" w14:textId="77777777" w:rsidR="006647CA" w:rsidRDefault="00F01680">
            <w:r>
              <w:rPr>
                <w:sz w:val="22"/>
                <w:szCs w:val="22"/>
              </w:rPr>
              <w:t>Table 5c</w:t>
            </w:r>
          </w:p>
        </w:tc>
      </w:tr>
      <w:tr w:rsidR="006647CA" w14:paraId="1F99EA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5CF2" w14:textId="77777777" w:rsidR="006647CA" w:rsidRDefault="00F01680">
            <w:r>
              <w:rPr>
                <w:sz w:val="22"/>
                <w:szCs w:val="22"/>
              </w:rPr>
              <w:t>Driscoll-Kraay 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09D16" w14:textId="77777777" w:rsidR="006647CA" w:rsidRDefault="00F01680">
            <w:r>
              <w:rPr>
                <w:sz w:val="22"/>
                <w:szCs w:val="22"/>
              </w:rPr>
              <w:t>最保守的标准误估计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216C" w14:textId="77777777" w:rsidR="006647CA" w:rsidRDefault="00F01680">
            <w:r>
              <w:rPr>
                <w:sz w:val="22"/>
                <w:szCs w:val="22"/>
              </w:rPr>
              <w:t>Table 5e</w:t>
            </w:r>
          </w:p>
        </w:tc>
      </w:tr>
      <w:tr w:rsidR="006647CA" w14:paraId="57AED3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A88AE" w14:textId="77777777" w:rsidR="006647CA" w:rsidRDefault="00F01680">
            <w:r>
              <w:rPr>
                <w:sz w:val="22"/>
                <w:szCs w:val="22"/>
              </w:rPr>
              <w:t>31 noise factor combos × 20 models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7978" w14:textId="77777777" w:rsidR="006647CA" w:rsidRDefault="00F01680">
            <w:r>
              <w:rPr>
                <w:sz w:val="22"/>
                <w:szCs w:val="22"/>
              </w:rPr>
              <w:t>系统性排除宏观事件、市场波动等干扰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2A69D" w14:textId="77777777" w:rsidR="006647CA" w:rsidRDefault="00F01680">
            <w:r>
              <w:rPr>
                <w:sz w:val="22"/>
                <w:szCs w:val="22"/>
              </w:rPr>
              <w:t>Grid search</w:t>
            </w:r>
          </w:p>
        </w:tc>
      </w:tr>
    </w:tbl>
    <w:p w14:paraId="6900B949" w14:textId="77777777" w:rsidR="006647CA" w:rsidRDefault="00F01680">
      <w:r>
        <w:br w:type="page"/>
      </w:r>
    </w:p>
    <w:p w14:paraId="5BD126D8" w14:textId="77777777" w:rsidR="006647CA" w:rsidRDefault="00F01680">
      <w:pPr>
        <w:pStyle w:val="Heading1"/>
      </w:pPr>
      <w:r>
        <w:lastRenderedPageBreak/>
        <w:t>八、结论与下一步</w:t>
      </w:r>
    </w:p>
    <w:p w14:paraId="01CC19F1" w14:textId="77777777" w:rsidR="006647CA" w:rsidRDefault="00F01680">
      <w:pPr>
        <w:pStyle w:val="Heading2"/>
      </w:pPr>
      <w:r>
        <w:t>核心结论</w:t>
      </w:r>
    </w:p>
    <w:p w14:paraId="0E0BF47E" w14:textId="77777777" w:rsidR="006647CA" w:rsidRDefault="00F01680">
      <w:pPr>
        <w:spacing w:after="160" w:line="360" w:lineRule="auto"/>
      </w:pPr>
      <w:r>
        <w:rPr>
          <w:b/>
          <w:bCs/>
        </w:rPr>
        <w:t xml:space="preserve">1. ETF </w:t>
      </w:r>
      <w:r>
        <w:rPr>
          <w:b/>
          <w:bCs/>
        </w:rPr>
        <w:t>投资者确实会追涨（</w:t>
      </w:r>
      <w:r>
        <w:rPr>
          <w:b/>
          <w:bCs/>
        </w:rPr>
        <w:t>performance chasing</w:t>
      </w:r>
      <w:r>
        <w:rPr>
          <w:b/>
          <w:bCs/>
        </w:rPr>
        <w:t>）。</w:t>
      </w:r>
      <w:r>
        <w:t>过去</w:t>
      </w:r>
      <w:r>
        <w:t xml:space="preserve"> 6–60 </w:t>
      </w:r>
      <w:r>
        <w:t>天的累计回报率能显著预测后续资金流入，</w:t>
      </w:r>
      <w:r>
        <w:t xml:space="preserve">1–5 </w:t>
      </w:r>
      <w:r>
        <w:t>天的短期波动不能。</w:t>
      </w:r>
    </w:p>
    <w:p w14:paraId="7BAF3341" w14:textId="77777777" w:rsidR="006647CA" w:rsidRDefault="00F01680">
      <w:pPr>
        <w:spacing w:after="160" w:line="360" w:lineRule="auto"/>
      </w:pPr>
      <w:r>
        <w:rPr>
          <w:b/>
          <w:bCs/>
        </w:rPr>
        <w:t xml:space="preserve">2. </w:t>
      </w:r>
      <w:r>
        <w:rPr>
          <w:b/>
          <w:bCs/>
        </w:rPr>
        <w:t>追涨效应是不对称的（</w:t>
      </w:r>
      <w:r>
        <w:rPr>
          <w:b/>
          <w:bCs/>
        </w:rPr>
        <w:t>asymmetric</w:t>
      </w:r>
      <w:r>
        <w:rPr>
          <w:b/>
          <w:bCs/>
        </w:rPr>
        <w:t>）。</w:t>
      </w:r>
      <w:r>
        <w:t>投资者对上涨的追逐远强于对下跌的逃离，复现了</w:t>
      </w:r>
      <w:r>
        <w:t xml:space="preserve"> S&amp;T 1998 </w:t>
      </w:r>
      <w:r>
        <w:t>的经典发现。</w:t>
      </w:r>
    </w:p>
    <w:p w14:paraId="0B4E3F46" w14:textId="77777777" w:rsidR="006647CA" w:rsidRDefault="00F01680">
      <w:pPr>
        <w:spacing w:after="160" w:line="360" w:lineRule="auto"/>
      </w:pPr>
      <w:r>
        <w:rPr>
          <w:b/>
          <w:bCs/>
        </w:rPr>
        <w:t xml:space="preserve">3. </w:t>
      </w:r>
      <w:r>
        <w:rPr>
          <w:b/>
          <w:bCs/>
        </w:rPr>
        <w:t>效应有明确的时间结构。</w:t>
      </w:r>
      <w:r>
        <w:t>追涨反应在第</w:t>
      </w:r>
      <w:r>
        <w:t xml:space="preserve"> 5 </w:t>
      </w:r>
      <w:r>
        <w:t>天左右开始显现，</w:t>
      </w:r>
      <w:r>
        <w:t xml:space="preserve">10–20 </w:t>
      </w:r>
      <w:r>
        <w:t>天达到峰值，</w:t>
      </w:r>
      <w:r>
        <w:t xml:space="preserve">40 </w:t>
      </w:r>
      <w:r>
        <w:t>天后基本消失。</w:t>
      </w:r>
    </w:p>
    <w:p w14:paraId="53DE213E" w14:textId="77777777" w:rsidR="006647CA" w:rsidRDefault="00F01680">
      <w:pPr>
        <w:spacing w:after="160" w:line="360" w:lineRule="auto"/>
      </w:pPr>
      <w:r>
        <w:rPr>
          <w:b/>
          <w:bCs/>
        </w:rPr>
        <w:t xml:space="preserve">4. </w:t>
      </w:r>
      <w:r>
        <w:rPr>
          <w:b/>
          <w:bCs/>
        </w:rPr>
        <w:t>结果经过了严格的稳健性检验。</w:t>
      </w:r>
      <w:r>
        <w:t>包括</w:t>
      </w:r>
      <w:r>
        <w:t xml:space="preserve"> placebo test</w:t>
      </w:r>
      <w:r>
        <w:t>、</w:t>
      </w:r>
      <w:r>
        <w:t>leave-one-out</w:t>
      </w:r>
      <w:r>
        <w:t>、多种</w:t>
      </w:r>
      <w:r>
        <w:t xml:space="preserve"> SE </w:t>
      </w:r>
      <w:r>
        <w:t>估计、替代因变量、子样本分析等。</w:t>
      </w:r>
    </w:p>
    <w:p w14:paraId="0BAE25F0" w14:textId="77777777" w:rsidR="006647CA" w:rsidRDefault="00F01680">
      <w:pPr>
        <w:spacing w:after="160" w:line="360" w:lineRule="auto"/>
      </w:pPr>
      <w:r>
        <w:rPr>
          <w:b/>
          <w:bCs/>
        </w:rPr>
        <w:t xml:space="preserve">5. </w:t>
      </w:r>
      <w:r>
        <w:rPr>
          <w:b/>
          <w:bCs/>
        </w:rPr>
        <w:t>牛市追涨更强，熊市反应更慢。</w:t>
      </w:r>
      <w:r>
        <w:t>市场情绪（</w:t>
      </w:r>
      <w:r>
        <w:rPr>
          <w:i/>
          <w:iCs/>
          <w:color w:val="2E75B6"/>
        </w:rPr>
        <w:t>market regime</w:t>
      </w:r>
      <w:r>
        <w:t>）显著影响投资者行为。</w:t>
      </w:r>
    </w:p>
    <w:p w14:paraId="32F21692" w14:textId="77777777" w:rsidR="006647CA" w:rsidRDefault="00F01680">
      <w:pPr>
        <w:pStyle w:val="Heading2"/>
      </w:pPr>
      <w:r>
        <w:t>下一步工作</w:t>
      </w:r>
    </w:p>
    <w:p w14:paraId="0C58A33A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t>完善</w:t>
      </w:r>
      <w:r>
        <w:t xml:space="preserve"> peer ETF </w:t>
      </w:r>
      <w:r>
        <w:t>分类数据源的选择（</w:t>
      </w:r>
      <w:r>
        <w:t xml:space="preserve">ETF.com / Bloomberg / </w:t>
      </w:r>
      <w:r>
        <w:t>手动）</w:t>
      </w:r>
    </w:p>
    <w:p w14:paraId="3F7AA6C9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t>将分析从</w:t>
      </w:r>
      <w:r>
        <w:t xml:space="preserve"> ARKK </w:t>
      </w:r>
      <w:r>
        <w:t>为主扩展到其他</w:t>
      </w:r>
      <w:r>
        <w:t xml:space="preserve"> 5 </w:t>
      </w:r>
      <w:r>
        <w:t>只</w:t>
      </w:r>
      <w:r>
        <w:t xml:space="preserve"> ARK ETF </w:t>
      </w:r>
      <w:r>
        <w:t>各自的</w:t>
      </w:r>
      <w:r>
        <w:t xml:space="preserve"> peer group</w:t>
      </w:r>
    </w:p>
    <w:p w14:paraId="5F5D4821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t>补充</w:t>
      </w:r>
      <w:r>
        <w:t xml:space="preserve"> GLS/WLS </w:t>
      </w:r>
      <w:r>
        <w:t>估计和</w:t>
      </w:r>
      <w:r>
        <w:t xml:space="preserve"> Chow </w:t>
      </w:r>
      <w:r>
        <w:t>结构断点检验</w:t>
      </w:r>
    </w:p>
    <w:p w14:paraId="18A51566" w14:textId="77777777" w:rsidR="006647CA" w:rsidRDefault="00F01680">
      <w:pPr>
        <w:pStyle w:val="ListParagraph"/>
        <w:numPr>
          <w:ilvl w:val="0"/>
          <w:numId w:val="2"/>
        </w:numPr>
        <w:spacing w:after="120" w:line="340" w:lineRule="auto"/>
      </w:pPr>
      <w:r>
        <w:t>整理论文初稿，准备向期刊投稿</w:t>
      </w:r>
    </w:p>
    <w:p w14:paraId="1032A3C1" w14:textId="77777777" w:rsidR="006647CA" w:rsidRDefault="006647CA">
      <w:pPr>
        <w:spacing w:after="80"/>
      </w:pPr>
    </w:p>
    <w:p w14:paraId="01C0D159" w14:textId="77777777" w:rsidR="006647CA" w:rsidRDefault="00F01680">
      <w:pPr>
        <w:spacing w:after="160" w:line="360" w:lineRule="auto"/>
      </w:pPr>
      <w:r>
        <w:rPr>
          <w:i/>
          <w:iCs/>
          <w:color w:val="666666"/>
        </w:rPr>
        <w:t>汇报完毕，谢谢各位领导！</w:t>
      </w:r>
    </w:p>
    <w:sectPr w:rsidR="006647C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25B77" w14:textId="77777777" w:rsidR="00F01680" w:rsidRDefault="00F01680">
      <w:r>
        <w:separator/>
      </w:r>
    </w:p>
  </w:endnote>
  <w:endnote w:type="continuationSeparator" w:id="0">
    <w:p w14:paraId="25DD60F5" w14:textId="77777777" w:rsidR="00F01680" w:rsidRDefault="00F01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58F6" w14:textId="77777777" w:rsidR="006647CA" w:rsidRDefault="00F0168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402AB0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52BAB" w14:textId="77777777" w:rsidR="00F01680" w:rsidRDefault="00F01680">
      <w:r>
        <w:separator/>
      </w:r>
    </w:p>
  </w:footnote>
  <w:footnote w:type="continuationSeparator" w:id="0">
    <w:p w14:paraId="581D9AE2" w14:textId="77777777" w:rsidR="00F01680" w:rsidRDefault="00F01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E4CC2" w14:textId="77777777" w:rsidR="006647CA" w:rsidRDefault="00F01680">
    <w:pPr>
      <w:jc w:val="right"/>
    </w:pPr>
    <w:r>
      <w:rPr>
        <w:color w:val="999999"/>
        <w:sz w:val="18"/>
        <w:szCs w:val="18"/>
      </w:rPr>
      <w:t xml:space="preserve">ETF Performance Chasing — </w:t>
    </w:r>
    <w:r>
      <w:rPr>
        <w:color w:val="999999"/>
        <w:sz w:val="18"/>
        <w:szCs w:val="18"/>
      </w:rPr>
      <w:t>项目汇报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C0E19"/>
    <w:multiLevelType w:val="hybridMultilevel"/>
    <w:tmpl w:val="27A07D78"/>
    <w:lvl w:ilvl="0" w:tplc="DC006D60">
      <w:start w:val="1"/>
      <w:numFmt w:val="bullet"/>
      <w:lvlText w:val="•"/>
      <w:lvlJc w:val="left"/>
      <w:pPr>
        <w:ind w:left="720" w:hanging="360"/>
      </w:pPr>
    </w:lvl>
    <w:lvl w:ilvl="1" w:tplc="97982416">
      <w:numFmt w:val="decimal"/>
      <w:lvlText w:val=""/>
      <w:lvlJc w:val="left"/>
    </w:lvl>
    <w:lvl w:ilvl="2" w:tplc="B3CE84CC">
      <w:numFmt w:val="decimal"/>
      <w:lvlText w:val=""/>
      <w:lvlJc w:val="left"/>
    </w:lvl>
    <w:lvl w:ilvl="3" w:tplc="E5EC23FE">
      <w:numFmt w:val="decimal"/>
      <w:lvlText w:val=""/>
      <w:lvlJc w:val="left"/>
    </w:lvl>
    <w:lvl w:ilvl="4" w:tplc="1AC69D38">
      <w:numFmt w:val="decimal"/>
      <w:lvlText w:val=""/>
      <w:lvlJc w:val="left"/>
    </w:lvl>
    <w:lvl w:ilvl="5" w:tplc="1A0CBD02">
      <w:numFmt w:val="decimal"/>
      <w:lvlText w:val=""/>
      <w:lvlJc w:val="left"/>
    </w:lvl>
    <w:lvl w:ilvl="6" w:tplc="708E9532">
      <w:numFmt w:val="decimal"/>
      <w:lvlText w:val=""/>
      <w:lvlJc w:val="left"/>
    </w:lvl>
    <w:lvl w:ilvl="7" w:tplc="0B3E9788">
      <w:numFmt w:val="decimal"/>
      <w:lvlText w:val=""/>
      <w:lvlJc w:val="left"/>
    </w:lvl>
    <w:lvl w:ilvl="8" w:tplc="B958DC2C">
      <w:numFmt w:val="decimal"/>
      <w:lvlText w:val=""/>
      <w:lvlJc w:val="left"/>
    </w:lvl>
  </w:abstractNum>
  <w:abstractNum w:abstractNumId="1" w15:restartNumberingAfterBreak="0">
    <w:nsid w:val="667C6199"/>
    <w:multiLevelType w:val="hybridMultilevel"/>
    <w:tmpl w:val="01403122"/>
    <w:lvl w:ilvl="0" w:tplc="62F01AF8">
      <w:start w:val="1"/>
      <w:numFmt w:val="bullet"/>
      <w:lvlText w:val="●"/>
      <w:lvlJc w:val="left"/>
      <w:pPr>
        <w:ind w:left="720" w:hanging="360"/>
      </w:pPr>
    </w:lvl>
    <w:lvl w:ilvl="1" w:tplc="0F0C95BA">
      <w:start w:val="1"/>
      <w:numFmt w:val="bullet"/>
      <w:lvlText w:val="○"/>
      <w:lvlJc w:val="left"/>
      <w:pPr>
        <w:ind w:left="1440" w:hanging="360"/>
      </w:pPr>
    </w:lvl>
    <w:lvl w:ilvl="2" w:tplc="73CE4A5C">
      <w:start w:val="1"/>
      <w:numFmt w:val="bullet"/>
      <w:lvlText w:val="■"/>
      <w:lvlJc w:val="left"/>
      <w:pPr>
        <w:ind w:left="2160" w:hanging="360"/>
      </w:pPr>
    </w:lvl>
    <w:lvl w:ilvl="3" w:tplc="39F6045A">
      <w:start w:val="1"/>
      <w:numFmt w:val="bullet"/>
      <w:lvlText w:val="●"/>
      <w:lvlJc w:val="left"/>
      <w:pPr>
        <w:ind w:left="2880" w:hanging="360"/>
      </w:pPr>
    </w:lvl>
    <w:lvl w:ilvl="4" w:tplc="4D0E9E58">
      <w:start w:val="1"/>
      <w:numFmt w:val="bullet"/>
      <w:lvlText w:val="○"/>
      <w:lvlJc w:val="left"/>
      <w:pPr>
        <w:ind w:left="3600" w:hanging="360"/>
      </w:pPr>
    </w:lvl>
    <w:lvl w:ilvl="5" w:tplc="03BEC9E0">
      <w:start w:val="1"/>
      <w:numFmt w:val="bullet"/>
      <w:lvlText w:val="■"/>
      <w:lvlJc w:val="left"/>
      <w:pPr>
        <w:ind w:left="4320" w:hanging="360"/>
      </w:pPr>
    </w:lvl>
    <w:lvl w:ilvl="6" w:tplc="4FB8C37E">
      <w:start w:val="1"/>
      <w:numFmt w:val="bullet"/>
      <w:lvlText w:val="●"/>
      <w:lvlJc w:val="left"/>
      <w:pPr>
        <w:ind w:left="5040" w:hanging="360"/>
      </w:pPr>
    </w:lvl>
    <w:lvl w:ilvl="7" w:tplc="5FDE267A">
      <w:start w:val="1"/>
      <w:numFmt w:val="bullet"/>
      <w:lvlText w:val="●"/>
      <w:lvlJc w:val="left"/>
      <w:pPr>
        <w:ind w:left="5760" w:hanging="360"/>
      </w:pPr>
    </w:lvl>
    <w:lvl w:ilvl="8" w:tplc="8FA671E2">
      <w:start w:val="1"/>
      <w:numFmt w:val="bullet"/>
      <w:lvlText w:val="●"/>
      <w:lvlJc w:val="left"/>
      <w:pPr>
        <w:ind w:left="6480" w:hanging="360"/>
      </w:pPr>
    </w:lvl>
  </w:abstractNum>
  <w:num w:numId="1" w16cid:durableId="471751174">
    <w:abstractNumId w:val="1"/>
    <w:lvlOverride w:ilvl="0">
      <w:startOverride w:val="1"/>
    </w:lvlOverride>
  </w:num>
  <w:num w:numId="2" w16cid:durableId="424231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7CA"/>
    <w:rsid w:val="00402AB0"/>
    <w:rsid w:val="006233A2"/>
    <w:rsid w:val="006647CA"/>
    <w:rsid w:val="00F0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BA168"/>
  <w15:docId w15:val="{64FF6F55-DB18-49C1-A81E-77DB4B6D3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930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a82630</cp:lastModifiedBy>
  <cp:revision>2</cp:revision>
  <dcterms:created xsi:type="dcterms:W3CDTF">2026-04-03T00:34:00Z</dcterms:created>
  <dcterms:modified xsi:type="dcterms:W3CDTF">2026-04-03T00:34:00Z</dcterms:modified>
</cp:coreProperties>
</file>