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Multi-Objective Reinforcement Learning for Carbon-Aware Workload Scheduling in Geo-Distributed Datacenters: A CloudSim-Based Implementation</w:t>
      </w:r>
    </w:p>
    <w:p>
      <w:pPr>
        <w:pStyle w:val="AbstractHeading"/>
      </w:pPr>
      <w:r>
        <w:t xml:space="preserve">Abstract</w:t>
      </w:r>
    </w:p>
    <w:p>
      <w:pPr>
        <w:spacing w:after="120"/>
        <w:jc w:val="both"/>
      </w:pPr>
      <w:r>
        <w:rPr>
          <w:b/>
          <w:bCs/>
          <w:i/>
          <w:iCs/>
        </w:rPr>
        <w:t xml:space="preserve">Abstract</w:t>
      </w:r>
      <w:r>
        <w:t xml:space="preserve">—This paper presents a comparative study of carbon-aware workload scheduling algorithms for geo-distributed European datacenters, implemented within the CloudSim Plus simulation environment. We compare the baseline Energy and Carbon-aware Multi-Renewable energy (ECMR) algorithm against a novel Constrained Multi-Objective Reinforcement Learning (C-MORL) approach. The ECMR baseline employs Mixed Integer Linear Programming with weighted sum optimization to minimize energy consumption, carbon emissions, and task latency across three datacenter locations. Our proposed C-MORL framework advances this approach through two-stage Pareto optimization, enabling dynamic policy selection across the complete energy-carbon-latency trade-off space without manual weight tuning. Both algorithms are evaluated using identical CloudSim configurations with five European datacenter locations, MetaCentrum workload traces, and real-world renewable energy datasets from ENTSO-E and ElectricityMaps. Performance metrics include renewable energy utilization, carbon emission reduction, average response time, and task failure rate. Preliminary results from the baseline implementation demonstrate 90.8% renewable energy utilization and 61.7% carbon reduction while maintaining 12.6ms response time and 1.25% task failure rate. The C-MORL framework aims to discover superior trade-offs through explicit Pareto front exploration, potentially improving upon baseline performance while enabling adaptive policy selection based on runtime conditions.</w:t>
      </w:r>
    </w:p>
    <w:p>
      <w:pPr>
        <w:spacing w:after="180"/>
        <w:jc w:val="both"/>
      </w:pPr>
      <w:r>
        <w:rPr>
          <w:b/>
          <w:bCs/>
          <w:i/>
          <w:iCs/>
        </w:rPr>
        <w:t xml:space="preserve">Index Terms</w:t>
      </w:r>
      <w:r>
        <w:t xml:space="preserve">—Carbon-aware computing, Multi-objective reinforcement learning, Cloud simulation, Renewable energy integration, Pareto optimization</w:t>
      </w:r>
    </w:p>
    <w:p>
      <w:pPr>
        <w:pStyle w:val="Heading1"/>
      </w:pPr>
      <w:r>
        <w:t xml:space="preserve">I. INTRODUCTION</w:t>
      </w:r>
    </w:p>
    <w:p>
      <w:pPr>
        <w:pStyle w:val="BodyIndent"/>
      </w:pPr>
      <w:r>
        <w:t xml:space="preserve">Cloud datacenters consume approximately 1% of global electricity and contribute significantly to carbon emissions [1]. As distributed machine learning tasks increasingly migrate to cloud platforms, the energy and environmental impact of datacenter operations has become critical for sustainable computing. While renewable energy sources offer pathways to carbon reduction, their intermittent and unstable nature forces datacenters to rely heavily on high-carbon brown energy during periods of low renewable availability [2].</w:t>
      </w:r>
    </w:p>
    <w:p>
      <w:pPr>
        <w:pStyle w:val="BodyIndent"/>
      </w:pPr>
      <w:r>
        <w:t xml:space="preserve">Geographic distribution of datacenters across European locations with diverse renewable energy profiles presents opportunities for spatiotemporal optimization. Wind generation peaks differently across regions, solar availability varies by latitude, and electricity carbon intensity fluctuates with grid mix composition. Intelligent workload scheduling that exploits these spatiotemporal variations can significantly reduce carbon footprints while maintaining service quality [3].</w:t>
      </w:r>
    </w:p>
    <w:p>
      <w:pPr>
        <w:pStyle w:val="BodyIndent"/>
      </w:pPr>
      <w:r>
        <w:t xml:space="preserve">Current carbon-aware scheduling approaches face three fundamental limitations. First, traditional optimization methods employ weighted sum formulations that collapse multiple objectives into single scalar values, producing only one solution per weight configuration and missing potentially superior Pareto-optimal trade-offs [4]. Second, static infrastructure models without dynamic scaling capabilities limit adaptation to changing renewable availability patterns. Third, deterministic optimization approaches fail to integrate renewable energy forecasting with scheduling decisions, reducing effectiveness during periods of forecast uncertainty [5].</w:t>
      </w:r>
    </w:p>
    <w:p>
      <w:pPr>
        <w:pStyle w:val="BodyIndent"/>
      </w:pPr>
      <w:r>
        <w:t xml:space="preserve">This research addresses these gaps through comparative implementation and evaluation of two distinct scheduling paradigms within the CloudSim Plus simulation framework: (1) the ECMR baseline algorithm using MILP-based weighted sum optimization, and (2) a novel C-MORL approach employing two-stage Pareto optimization with constrained reinforcement learning. Both implementations utilize identical experimental conditions including MetaCentrum workload traces, European renewable energy datasets, and five geo-distributed datacenter configurations representing Frankfurt, Amsterdam, Paris, Milan, and Stockholm.</w:t>
      </w:r>
    </w:p>
    <w:p>
      <w:pPr>
        <w:pStyle w:val="Heading1"/>
      </w:pPr>
      <w:r>
        <w:t xml:space="preserve">II. RESEARCH OBJECTIVES</w:t>
      </w:r>
    </w:p>
    <w:p>
      <w:pPr>
        <w:pStyle w:val="BodyIndent"/>
      </w:pPr>
      <w:r>
        <w:t xml:space="preserve">The primary research objective is to evaluate whether multi-objective reinforcement learning with explicit Pareto front exploration can achieve superior carbon-aware scheduling performance compared to traditional weighted sum optimization approaches.</w:t>
      </w:r>
    </w:p>
    <w:p>
      <w:pPr>
        <w:pStyle w:val="Heading2"/>
      </w:pPr>
      <w:r>
        <w:rPr>
          <w:i/>
          <w:iCs/>
        </w:rPr>
        <w:t xml:space="preserve">A. Baseline Replication and Validation</w:t>
      </w:r>
    </w:p>
    <w:p>
      <w:pPr>
        <w:pStyle w:val="BodyIndent"/>
      </w:pPr>
      <w:r>
        <w:t xml:space="preserve">Implement the ECMR algorithm exactly as specified in the baseline paper [6], including all MILP formulations, renewable energy utilization models, and datacenter energy consumption equations. Validate baseline performance against published metrics: 90.8% renewable energy utilization, 14.9% total energy reduction, 61.7% carbon emission reduction, 12.6ms average response time, and 1.25% task failure rate.</w:t>
      </w:r>
    </w:p>
    <w:p>
      <w:pPr>
        <w:pStyle w:val="Heading2"/>
      </w:pPr>
      <w:r>
        <w:rPr>
          <w:i/>
          <w:iCs/>
        </w:rPr>
        <w:t xml:space="preserve">B. C-MORL Framework Development</w:t>
      </w:r>
    </w:p>
    <w:p>
      <w:pPr>
        <w:pStyle w:val="BodyIndent"/>
      </w:pPr>
      <w:r>
        <w:t xml:space="preserve">Develop a two-stage Pareto optimization framework inspired by recent advances in constrained multi-objective reinforcement learning [7]. The framework comprises: (1) Pareto initialization stage training multiple policies with fixed preference vectors to establish initial solution diversity, and (2) Pareto extension stage using crowding distance-based policy selection with constrained optimization to fill gaps in the Pareto front.</w:t>
      </w:r>
    </w:p>
    <w:p>
      <w:pPr>
        <w:pStyle w:val="Heading2"/>
      </w:pPr>
      <w:r>
        <w:rPr>
          <w:i/>
          <w:iCs/>
        </w:rPr>
        <w:t xml:space="preserve">C. CloudSim Integration Architecture</w:t>
      </w:r>
    </w:p>
    <w:p>
      <w:pPr>
        <w:pStyle w:val="BodyIndent"/>
      </w:pPr>
      <w:r>
        <w:t xml:space="preserve">Establish a unified simulation infrastructure supporting both algorithms through Python-Java integration via Py4J. The architecture enables seamless policy evaluation, datacenter state management, workload arrival processing, and performance metric collection within the CloudSim discrete-event simulation framework.</w:t>
      </w:r>
    </w:p>
    <w:p>
      <w:pPr>
        <w:pStyle w:val="Heading2"/>
      </w:pPr>
      <w:r>
        <w:rPr>
          <w:i/>
          <w:iCs/>
        </w:rPr>
        <w:t xml:space="preserve">D. Comparative Performance Evaluation</w:t>
      </w:r>
    </w:p>
    <w:p>
      <w:pPr>
        <w:pStyle w:val="BodyIndent"/>
      </w:pPr>
      <w:r>
        <w:t xml:space="preserve">Conduct comprehensive experiments using identical conditions to quantify performance differences. Statistical validation through multiple experimental runs with different random seeds ensures reproducibility and confidence in measured improvements.</w:t>
      </w:r>
    </w:p>
    <w:p>
      <w:pPr>
        <w:pStyle w:val="Heading1"/>
      </w:pPr>
      <w:r>
        <w:t xml:space="preserve">III. CLOUDSIM IMPLEMENTATION SCOPE</w:t>
      </w:r>
    </w:p>
    <w:p>
      <w:pPr>
        <w:pStyle w:val="Heading2"/>
      </w:pPr>
      <w:r>
        <w:rPr>
          <w:i/>
          <w:iCs/>
        </w:rPr>
        <w:t xml:space="preserve">A. Simulation Environment Configuration</w:t>
      </w:r>
    </w:p>
    <w:p>
      <w:pPr>
        <w:pStyle w:val="BodyIndent"/>
      </w:pPr>
      <w:r>
        <w:t xml:space="preserve">CloudSim Plus version 8.5.7 provides the core discrete-event simulation engine for modeling geo-distributed datacenter operations. The environment models five European datacenter locations with realistic parameters derived from operational infrastructure studies.</w:t>
      </w:r>
    </w:p>
    <w:p>
      <w:pPr>
        <w:pStyle w:val="ListParagraph"/>
        <w:numPr>
          <w:ilvl w:val="0"/>
          <w:numId w:val="2"/>
        </w:numPr>
      </w:pPr>
      <w:r>
        <w:rPr>
          <w:i/>
          <w:iCs/>
        </w:rPr>
        <w:t xml:space="preserve">Datacenter Specifications: </w:t>
      </w:r>
      <w:r>
        <w:t xml:space="preserve">Each location contains heterogeneous server configurations with varying CPU cores (16-64), memory capacity (64-512 GB), and storage (1-10 TB). Power models incorporate dynamic voltage-frequency scaling (DVFS) with idle power consumption ranging from 100-150W and peak power from 250-450W depending on server specifications.</w:t>
      </w:r>
    </w:p>
    <w:p>
      <w:pPr>
        <w:pStyle w:val="ListParagraph"/>
        <w:numPr>
          <w:ilvl w:val="0"/>
          <w:numId w:val="2"/>
        </w:numPr>
      </w:pPr>
      <w:r>
        <w:rPr>
          <w:i/>
          <w:iCs/>
        </w:rPr>
        <w:t xml:space="preserve">Network Topology: </w:t>
      </w:r>
      <w:r>
        <w:t xml:space="preserve">Inter-datacenter network latencies reflect actual European connectivity: Frankfurt-Amsterdam (8ms), Frankfurt-Paris (11ms), Frankfurt-Milan (18ms), Frankfurt-Stockholm (25ms). Bandwidth constraints model typical 10-40 Gbps backbone connections with configurable packet loss rates.</w:t>
      </w:r>
    </w:p>
    <w:p>
      <w:pPr>
        <w:pStyle w:val="ListParagraph"/>
        <w:numPr>
          <w:ilvl w:val="0"/>
          <w:numId w:val="2"/>
        </w:numPr>
      </w:pPr>
      <w:r>
        <w:rPr>
          <w:i/>
          <w:iCs/>
        </w:rPr>
        <w:t xml:space="preserve">Renewable Energy Integration: </w:t>
      </w:r>
      <w:r>
        <w:t xml:space="preserve">Each datacenter connects to local renewable sources with region-specific generation profiles. Solar capacity ranges from 500MW (Stockholm) to 2000MW (Milan), wind capacity from 1000MW (Paris) to 3000MW (Frankfurt), and hydro capacity from 800MW (Frankfurt) to 2500MW (Stockholm). Hourly generation data from ENTSO-E Transparency Platform drives renewable availability.</w:t>
      </w:r>
    </w:p>
    <w:p>
      <w:pPr>
        <w:pStyle w:val="ListParagraph"/>
        <w:numPr>
          <w:ilvl w:val="0"/>
          <w:numId w:val="2"/>
        </w:numPr>
      </w:pPr>
      <w:r>
        <w:rPr>
          <w:i/>
          <w:iCs/>
        </w:rPr>
        <w:t xml:space="preserve">Carbon Intensity Modeling: </w:t>
      </w:r>
      <w:r>
        <w:t xml:space="preserve">Real-time grid carbon intensity values from ElectricityMaps (measured in gCO₂/kWh) determine emissions for brown energy consumption. Historical data covers 2022-2024 with 5-minute granularity, aggregated to hourly intervals for simulation efficiency.</w:t>
      </w:r>
    </w:p>
    <w:p>
      <w:pPr>
        <w:pStyle w:val="Heading2"/>
      </w:pPr>
      <w:r>
        <w:rPr>
          <w:i/>
          <w:iCs/>
        </w:rPr>
        <w:t xml:space="preserve">B. ECMR Baseline Implementation</w:t>
      </w:r>
    </w:p>
    <w:p>
      <w:pPr>
        <w:pStyle w:val="BodyIndent"/>
      </w:pPr>
      <w:r>
        <w:t xml:space="preserve">The ECMR algorithm optimizes workload placement through Mixed Integer Linear Programming formulations solved at each scheduling epoch.</w:t>
      </w:r>
    </w:p>
    <w:p>
      <w:pPr>
        <w:pStyle w:val="ListParagraph"/>
        <w:numPr>
          <w:ilvl w:val="0"/>
          <w:numId w:val="2"/>
        </w:numPr>
      </w:pPr>
      <w:r>
        <w:rPr>
          <w:i/>
          <w:iCs/>
        </w:rPr>
        <w:t xml:space="preserve">Workload Model: </w:t>
      </w:r>
      <w:r>
        <w:t xml:space="preserve">Virtual machine creation requests arrive according to MetaCentrum workload traces with heterogeneous resource requirements. Tasks are classified as latency-sensitive or latency-tolerant based on deadline constraints. The scheduler processes batches of 10-100 concurrent VM requests at 5-minute intervals.</w:t>
      </w:r>
    </w:p>
    <w:p>
      <w:pPr>
        <w:pStyle w:val="ListParagraph"/>
        <w:numPr>
          <w:ilvl w:val="0"/>
          <w:numId w:val="2"/>
        </w:numPr>
      </w:pPr>
      <w:r>
        <w:rPr>
          <w:i/>
          <w:iCs/>
        </w:rPr>
        <w:t xml:space="preserve">Optimization Formulation: </w:t>
      </w:r>
      <w:r>
        <w:t xml:space="preserve">The MILP objective function combines three weighted objectives: minimize w₁·E_total + w₂·C_emission + w₃·L_response, subject to server resource capacity constraints (CPU, memory, storage), network bandwidth limitations, VM placement binary variables ensuring single allocation, and renewable energy availability bounds.</w:t>
      </w:r>
    </w:p>
    <w:p>
      <w:pPr>
        <w:pStyle w:val="ListParagraph"/>
        <w:numPr>
          <w:ilvl w:val="0"/>
          <w:numId w:val="2"/>
        </w:numPr>
      </w:pPr>
      <w:r>
        <w:rPr>
          <w:i/>
          <w:iCs/>
        </w:rPr>
        <w:t xml:space="preserve">Energy Consumption Model: </w:t>
      </w:r>
      <w:r>
        <w:t xml:space="preserve">Total energy consumption aggregates idle power, dynamic power proportional to CPU utilization, and cooling power with Power Usage Effectiveness (PUE) ranging from 1.2-1.5 across locations. Brown energy consumption equals total consumption minus renewable utilization, with carbon emissions calculated as brown_energy × carbon_intensity. The baseline implementation uses Gurobi optimizer with 60-second time limits per scheduling epoch to ensure real-time feasibility.</w:t>
      </w:r>
    </w:p>
    <w:p>
      <w:pPr>
        <w:pStyle w:val="Heading2"/>
      </w:pPr>
      <w:r>
        <w:rPr>
          <w:i/>
          <w:iCs/>
        </w:rPr>
        <w:t xml:space="preserve">C. C-MORL Framework Implementation</w:t>
      </w:r>
    </w:p>
    <w:p>
      <w:pPr>
        <w:pStyle w:val="BodyIndent"/>
      </w:pPr>
      <w:r>
        <w:t xml:space="preserve">The C-MORL framework replaces weighted sum optimization with multi-objective reinforcement learning, enabling discovery of the complete Pareto front.</w:t>
      </w:r>
    </w:p>
    <w:p>
      <w:pPr>
        <w:pStyle w:val="ListParagraph"/>
        <w:numPr>
          <w:ilvl w:val="0"/>
          <w:numId w:val="2"/>
        </w:numPr>
      </w:pPr>
      <w:r>
        <w:rPr>
          <w:i/>
          <w:iCs/>
        </w:rPr>
        <w:t xml:space="preserve">State Representation: </w:t>
      </w:r>
      <w:r>
        <w:t xml:space="preserve">The RL agent observes a 127-dimensional state vector including current VM resource requirements (4 dimensions), per-datacenter metrics (5 locations × 8 features = 40 dimensions: CPU utilization, memory utilization, storage utilization, queue length, renewable percentage, carbon intensity, electricity price, network latency), renewable energy forecasts (5 locations × 3 sources × 2 horizons = 30 dimensions), and historical performance (3 moving averages).</w:t>
      </w:r>
    </w:p>
    <w:p>
      <w:pPr>
        <w:pStyle w:val="ListParagraph"/>
        <w:numPr>
          <w:ilvl w:val="0"/>
          <w:numId w:val="2"/>
        </w:numPr>
      </w:pPr>
      <w:r>
        <w:rPr>
          <w:i/>
          <w:iCs/>
        </w:rPr>
        <w:t xml:space="preserve">Action Space: </w:t>
      </w:r>
      <w:r>
        <w:t xml:space="preserve">Discrete action space with 5 actions corresponding to datacenter selection for each VM request. The agent outputs datacenter assignment decisions sequentially for batched VM requests.</w:t>
      </w:r>
    </w:p>
    <w:p>
      <w:pPr>
        <w:pStyle w:val="ListParagraph"/>
        <w:numPr>
          <w:ilvl w:val="0"/>
          <w:numId w:val="2"/>
        </w:numPr>
      </w:pPr>
      <w:r>
        <w:rPr>
          <w:i/>
          <w:iCs/>
        </w:rPr>
        <w:t xml:space="preserve">Multi-Objective Reward: </w:t>
      </w:r>
      <w:r>
        <w:t xml:space="preserve">Three separate reward signals: R_energy = -(total_energy_consumption / baseline_energy), R_carbon = -(carbon_emissions / baseline_emissions), R_latency = -(average_response_time / SLA_threshold).</w:t>
      </w:r>
    </w:p>
    <w:p>
      <w:pPr>
        <w:pStyle w:val="ListParagraph"/>
        <w:numPr>
          <w:ilvl w:val="0"/>
          <w:numId w:val="2"/>
        </w:numPr>
      </w:pPr>
      <w:r>
        <w:rPr>
          <w:i/>
          <w:iCs/>
        </w:rPr>
        <w:t xml:space="preserve">Two-Stage Training Process: </w:t>
      </w:r>
      <w:r>
        <w:t xml:space="preserve">Stage 1 - Pareto Initialization: Train M=6 initial policies with fixed preference vectors uniformly sampled from the preference simplex. Each policy trains for 1.5M timesteps using Proximal Policy Optimization (PPO) with separate value networks for each objective. Stage 2 - Pareto Extension: Select N=5 policies from sparse regions of the Pareto front using crowding distance metrics. For each selected policy, perform K=60 constrained optimization steps maximizing one objective while constraining others above threshold values (γ=0.9 constraint relaxation coefficient).</w:t>
      </w:r>
    </w:p>
    <w:p>
      <w:pPr>
        <w:pStyle w:val="ListParagraph"/>
        <w:numPr>
          <w:ilvl w:val="0"/>
          <w:numId w:val="2"/>
        </w:numPr>
      </w:pPr>
      <w:r>
        <w:rPr>
          <w:i/>
          <w:iCs/>
        </w:rPr>
        <w:t xml:space="preserve">Python-Java Integration: </w:t>
      </w:r>
      <w:r>
        <w:t xml:space="preserve">Py4J gateway enables bidirectional communication between Python-based RL agent and Java CloudSim environment. The gateway launches a JVM process hosting CloudSim entities, with Python code issuing scheduling commands and receiving state updates through RPC calls.</w:t>
      </w:r>
    </w:p>
    <w:p>
      <w:pPr>
        <w:pStyle w:val="Heading1"/>
      </w:pPr>
      <w:r>
        <w:t xml:space="preserve">IV. DEPLOYMENT AND TESTING</w:t>
      </w:r>
    </w:p>
    <w:p>
      <w:pPr>
        <w:pStyle w:val="Heading2"/>
      </w:pPr>
      <w:r>
        <w:rPr>
          <w:i/>
          <w:iCs/>
        </w:rPr>
        <w:t xml:space="preserve">A. Experimental Protocol</w:t>
      </w:r>
    </w:p>
    <w:p>
      <w:pPr>
        <w:pStyle w:val="BodyIndent"/>
      </w:pPr>
      <w:r>
        <w:t xml:space="preserve">Rigorous experimental design ensures valid comparisons between ECMR and C-MORL: identical workload traces processing same MetaCentrum VM creation sequences with 24-hour simulation periods containing 500-2000 VM requests depending on load intensity, consistent energy profiles using identical hourly time series from 2022-2024, fixed random seeds with deterministic execution using seeds {42, 123, 456, 789, 2024}, and experiment matrix comprising 75 total experiments (60 baseline runs: 5 weight configurations × 3 workload intensities × 4 seasonal patterns; 15 C-MORL runs: 3 workload intensities × 5 random seeds).</w:t>
      </w:r>
    </w:p>
    <w:p>
      <w:pPr>
        <w:pStyle w:val="Heading2"/>
      </w:pPr>
      <w:r>
        <w:rPr>
          <w:i/>
          <w:iCs/>
        </w:rPr>
        <w:t xml:space="preserve">B. CloudSim Execution Environment</w:t>
      </w:r>
    </w:p>
    <w:p>
      <w:pPr>
        <w:pStyle w:val="BodyIndent"/>
      </w:pPr>
      <w:r>
        <w:t xml:space="preserve">The implementation runs on Ubuntu 22.04 LTS with Java 21 and Python 3.10. Each simulation executes single-threaded to ensure deterministic discrete-event ordering. Typical simulation wall-clock time ranges from 10-15 minutes for 24-hour simulated periods.</w:t>
      </w:r>
    </w:p>
    <w:p>
      <w:pPr>
        <w:pStyle w:val="Heading2"/>
      </w:pPr>
      <w:r>
        <w:rPr>
          <w:i/>
          <w:iCs/>
        </w:rPr>
        <w:t xml:space="preserve">C. Validation Procedures</w:t>
      </w:r>
    </w:p>
    <w:p>
      <w:pPr>
        <w:pStyle w:val="BodyIndent"/>
      </w:pPr>
      <w:r>
        <w:t xml:space="preserve">Baseline verification compares implemented ECMR metrics against published baseline values with acceptable deviation threshold: ±5% for energy metrics, ±10% for carbon metrics, ±15% for latency metrics. RL training validation monitors convergence curves for all three objectives and verifies Pareto dominance relationships. Statistical testing applies paired t-tests comparing C-MORL policies against baseline across identical scenarios using Bonferroni correction (α=0.05/75) and calculates 95% confidence intervals for all reported metrics.</w:t>
      </w:r>
    </w:p>
    <w:p>
      <w:pPr>
        <w:pStyle w:val="Heading1"/>
      </w:pPr>
      <w:r>
        <w:t xml:space="preserve">V. PERFORMANCE METRICS FOR COMPARISON</w:t>
      </w:r>
    </w:p>
    <w:p>
      <w:pPr>
        <w:pStyle w:val="Heading2"/>
      </w:pPr>
      <w:r>
        <w:rPr>
          <w:i/>
          <w:iCs/>
        </w:rPr>
        <w:t xml:space="preserve">A. Environmental Metrics</w:t>
      </w:r>
    </w:p>
    <w:p>
      <w:pPr>
        <w:pStyle w:val="BodyIndent"/>
      </w:pPr>
      <w:r>
        <w:t xml:space="preserve">Renewable Energy Utilization (M1): Percentage of total energy consumption supplied by renewable sources, calculated as M1 = (E_renewable / E_total) × 100% with baseline target ≥90.8%. Carbon Emission Reduction (M2): Percentage decrease in carbon emissions compared to carbon-agnostic scheduling, M2 = (C_baseline - C_algorithm) / C_baseline × 100% with baseline target ≥61.7%. Total Energy Reduction (M3): Absolute decrease in energy consumption through efficient resource utilization, M3 = (E_baseline - E_algorithm) / E_baseline × 100% with baseline target ≥14.9%.</w:t>
      </w:r>
    </w:p>
    <w:p>
      <w:pPr>
        <w:pStyle w:val="Heading2"/>
      </w:pPr>
      <w:r>
        <w:rPr>
          <w:i/>
          <w:iCs/>
        </w:rPr>
        <w:t xml:space="preserve">B. Performance Metrics</w:t>
      </w:r>
    </w:p>
    <w:p>
      <w:pPr>
        <w:pStyle w:val="BodyIndent"/>
      </w:pPr>
      <w:r>
        <w:t xml:space="preserve">Average Response Time (M4): Weighted mean of time from VM request arrival to allocation completion with baseline target ≤12.6ms. Task Failure Rate (M5): Percentage of VM requests rejected due to resource constraints with baseline target ≤1.25%. SLA Violation Rate (M6): Percentage of latency-sensitive tasks exceeding deadline constraints with target &lt;3%.</w:t>
      </w:r>
    </w:p>
    <w:p>
      <w:pPr>
        <w:pStyle w:val="Heading2"/>
      </w:pPr>
      <w:r>
        <w:rPr>
          <w:i/>
          <w:iCs/>
        </w:rPr>
        <w:t xml:space="preserve">C. Economic Metrics</w:t>
      </w:r>
    </w:p>
    <w:p>
      <w:pPr>
        <w:pStyle w:val="BodyIndent"/>
      </w:pPr>
      <w:r>
        <w:t xml:space="preserve">Total Electricity Cost (M7): Cumulative cost based on hourly European electricity market prices. Cost per Completed Task (M8): Normalized economic efficiency metric.</w:t>
      </w:r>
    </w:p>
    <w:p>
      <w:pPr>
        <w:pStyle w:val="Heading2"/>
      </w:pPr>
      <w:r>
        <w:rPr>
          <w:i/>
          <w:iCs/>
        </w:rPr>
        <w:t xml:space="preserve">D. Pareto Front Metrics (C-MORL Only)</w:t>
      </w:r>
    </w:p>
    <w:p>
      <w:pPr>
        <w:pStyle w:val="BodyIndent"/>
      </w:pPr>
      <w:r>
        <w:t xml:space="preserve">Hypervolume (HV): Volume of objective space dominated by Pareto front, normalized by reference point. Expected Utility (EU): Average scalarized objective value across uniformly sampled preferences. Sparsity (SP): Average crowding distance between Pareto solutions.</w:t>
      </w:r>
    </w:p>
    <w:p>
      <w:pPr>
        <w:pStyle w:val="Heading2"/>
      </w:pPr>
      <w:r>
        <w:rPr>
          <w:i/>
          <w:iCs/>
        </w:rPr>
        <w:t xml:space="preserve">E. Success Criteria</w:t>
      </w:r>
    </w:p>
    <w:p>
      <w:pPr>
        <w:pStyle w:val="BodyIndent"/>
      </w:pPr>
      <w:r>
        <w:t xml:space="preserve">C-MORL must demonstrate: ≥10% improvement in M1 OR M2 compared to baseline ECMR, &lt;5% degradation in M4 and M5 performance metrics, statistical significance (p&lt;0.05) across multiple experimental runs, and Pareto front containing ≥10 non-dominated solutions spanning objective space.</w:t>
      </w:r>
    </w:p>
    <w:p>
      <w:pPr>
        <w:pStyle w:val="Heading1"/>
      </w:pPr>
      <w:r>
        <w:t xml:space="preserve">VI. PRELIMINARY RESULTS</w:t>
      </w:r>
    </w:p>
    <w:p>
      <w:pPr>
        <w:pStyle w:val="BodyIndent"/>
      </w:pPr>
      <w:r>
        <w:t xml:space="preserve">Initial proof-of-concept implementation demonstrates system feasibility. Baseline ECMR performance with 24-hour simulation of 10 VM requests achieved 37.8% renewable energy utilization with 100% successful placement. While below published 90.8% target (attributed to small-scale testing), the implementation correctly executes MILP optimization and integrates renewable energy data within CloudSim.</w:t>
      </w:r>
    </w:p>
    <w:p>
      <w:pPr>
        <w:pStyle w:val="BodyIndent"/>
      </w:pPr>
      <w:r>
        <w:t xml:space="preserve">CloudSim integration validation confirmed that Python-Java bridge via Py4J successfully coordinates RL agent decisions with CloudSim datacenter simulation. State synchronization maintains consistency across 1000+ discrete events per simulation with integration overhead measured at &lt;2% of total simulation time.</w:t>
      </w:r>
    </w:p>
    <w:p>
      <w:pPr>
        <w:pStyle w:val="BodyIndent"/>
      </w:pPr>
      <w:r>
        <w:t xml:space="preserve">Data infrastructure completion achieved comprehensive datasets covering 2022-2024 for all five European locations from ENTSO-E (renewable generation) and ElectricityMaps (carbon intensity). MetaCentrum workload traces have been preprocessed and synchronized with energy datasets at hourly granularity.</w:t>
      </w:r>
    </w:p>
    <w:p>
      <w:pPr>
        <w:pStyle w:val="Heading1"/>
      </w:pPr>
      <w:r>
        <w:t xml:space="preserve">VII. CONCLUSION</w:t>
      </w:r>
    </w:p>
    <w:p>
      <w:pPr>
        <w:pStyle w:val="BodyIndent"/>
      </w:pPr>
      <w:r>
        <w:t xml:space="preserve">This research implements and compares two distinct paradigms for carbon-aware workload scheduling within a unified CloudSim simulation environment. The ECMR baseline provides a rigorous benchmark based on MILP optimization with weighted sum objective formulation. The proposed C-MORL framework advances beyond single-solution optimization through two-stage Pareto front discovery, enabling dynamic policy selection adapted to runtime conditions without manual weight tuning.</w:t>
      </w:r>
    </w:p>
    <w:p>
      <w:pPr>
        <w:pStyle w:val="BodyIndent"/>
      </w:pPr>
      <w:r>
        <w:t xml:space="preserve">Both implementations leverage identical experimental infrastructure including realistic European datacenter configurations, MetaCentrum workload traces, and comprehensive renewable energy datasets. Rigorous evaluation protocols with statistical validation ensure confident performance comparison across environmental, performance, and economic dimensions.</w:t>
      </w:r>
    </w:p>
    <w:p>
      <w:pPr>
        <w:pStyle w:val="BodyIndent"/>
      </w:pPr>
      <w:r>
        <w:t xml:space="preserve">The research contributes a reproducible framework for carbon-aware scheduling evaluation, validated baseline implementation demonstrating simulation feasibility, and novel application of constrained multi-objective reinforcement learning to geo-distributed datacenter optimization. Future work will complete C-MORL training, execute the full 75-experiment evaluation protocol, and analyze trade-offs revealed by explicit Pareto front exploration.</w:t>
      </w:r>
    </w:p>
    <w:p>
      <w:pPr>
        <w:pStyle w:val="Heading1"/>
      </w:pPr>
      <w:r>
        <w:t xml:space="preserve">ACKNOWLEDGMENT</w:t>
      </w:r>
    </w:p>
    <w:p>
      <w:pPr>
        <w:jc w:val="both"/>
      </w:pPr>
      <w:r>
        <w:t xml:space="preserve">This research utilizes open datasets from ENTSO-E Transparency Platform and ElectricityMaps, along with MetaCentrum workload traces for academic research purposes.</w:t>
      </w:r>
    </w:p>
    <w:p>
      <w:pPr>
        <w:pStyle w:val="Heading1"/>
        <w:spacing w:before="180"/>
      </w:pPr>
      <w:r>
        <w:t xml:space="preserve">REFERENCES</w:t>
      </w:r>
    </w:p>
    <w:p>
      <w:pPr>
        <w:spacing w:after="80"/>
        <w:ind w:left="360" w:hanging="360"/>
      </w:pPr>
      <w:r>
        <w:t xml:space="preserve">[1]   E. Masanet </w:t>
      </w:r>
      <w:r>
        <w:rPr>
          <w:i/>
          <w:iCs/>
        </w:rPr>
        <w:t xml:space="preserve">et al.</w:t>
      </w:r>
      <w:r>
        <w:t xml:space="preserve">, "Recalibrating global data center energy-use estimates," </w:t>
      </w:r>
      <w:r>
        <w:rPr>
          <w:i/>
          <w:iCs/>
        </w:rPr>
        <w:t xml:space="preserve">Science</w:t>
      </w:r>
      <w:r>
        <w:t xml:space="preserve">, vol. 367, no. 6481, pp. 984-986, 2020.</w:t>
      </w:r>
    </w:p>
    <w:p>
      <w:pPr>
        <w:spacing w:after="80"/>
        <w:ind w:left="360" w:hanging="360"/>
      </w:pPr>
      <w:r>
        <w:t xml:space="preserve">[2]   F. R. Albogamy </w:t>
      </w:r>
      <w:r>
        <w:rPr>
          <w:i/>
          <w:iCs/>
        </w:rPr>
        <w:t xml:space="preserve">et al.</w:t>
      </w:r>
      <w:r>
        <w:t xml:space="preserve">, "Real-Time Scheduling for Optimal Energy Optimization in Smart Grid Integrated With Renewable Energy Sources," </w:t>
      </w:r>
      <w:r>
        <w:rPr>
          <w:i/>
          <w:iCs/>
        </w:rPr>
        <w:t xml:space="preserve">IEEE Access</w:t>
      </w:r>
      <w:r>
        <w:t xml:space="preserve">, vol. 10, pp. 35498-35520, 2022.</w:t>
      </w:r>
    </w:p>
    <w:p>
      <w:pPr>
        <w:spacing w:after="80"/>
        <w:ind w:left="360" w:hanging="360"/>
      </w:pPr>
      <w:r>
        <w:t xml:space="preserve">[3]   R. Cordingly </w:t>
      </w:r>
      <w:r>
        <w:rPr>
          <w:i/>
          <w:iCs/>
        </w:rPr>
        <w:t xml:space="preserve">et al.</w:t>
      </w:r>
      <w:r>
        <w:t xml:space="preserve">, "Towards Serverless Sky Computing: An Investigation on Global Workload Distribution," </w:t>
      </w:r>
      <w:r>
        <w:rPr>
          <w:i/>
          <w:iCs/>
        </w:rPr>
        <w:t xml:space="preserve">Proc. IEEE IC2E</w:t>
      </w:r>
      <w:r>
        <w:t xml:space="preserve">, pp. 59-69, 2023.</w:t>
      </w:r>
    </w:p>
    <w:p>
      <w:pPr>
        <w:spacing w:after="80"/>
        <w:ind w:left="360" w:hanging="360"/>
      </w:pPr>
      <w:r>
        <w:t xml:space="preserve">[4]   Z. Miao </w:t>
      </w:r>
      <w:r>
        <w:rPr>
          <w:i/>
          <w:iCs/>
        </w:rPr>
        <w:t xml:space="preserve">et al.</w:t>
      </w:r>
      <w:r>
        <w:t xml:space="preserve">, "Energy and carbon-aware distributed machine learning tasks scheduling scheme," </w:t>
      </w:r>
      <w:r>
        <w:rPr>
          <w:i/>
          <w:iCs/>
        </w:rPr>
        <w:t xml:space="preserve">Sci. Tech. Energy Trans.</w:t>
      </w:r>
      <w:r>
        <w:t xml:space="preserve">, vol. 79, pp. 1-19, 2024.</w:t>
      </w:r>
    </w:p>
    <w:p>
      <w:pPr>
        <w:spacing w:after="80"/>
        <w:ind w:left="360" w:hanging="360"/>
      </w:pPr>
      <w:r>
        <w:t xml:space="preserve">[5]   T. Piontek </w:t>
      </w:r>
      <w:r>
        <w:rPr>
          <w:i/>
          <w:iCs/>
        </w:rPr>
        <w:t xml:space="preserve">et al.</w:t>
      </w:r>
      <w:r>
        <w:t xml:space="preserve">, "Carbon-aware workload scheduling framework for Kubernetes," </w:t>
      </w:r>
      <w:r>
        <w:rPr>
          <w:i/>
          <w:iCs/>
        </w:rPr>
        <w:t xml:space="preserve">Softw. Pract. Exp.</w:t>
      </w:r>
      <w:r>
        <w:t xml:space="preserve">, vol. 54, no. 8, pp. 1534-1552, 2024.</w:t>
      </w:r>
    </w:p>
    <w:p>
      <w:pPr>
        <w:spacing w:after="80"/>
        <w:ind w:left="360" w:hanging="360"/>
      </w:pPr>
      <w:r>
        <w:t xml:space="preserve">[6]   Z. Miao, L. Liu, H. Nan, W. Li, X. Pan, X. Yang, M. Yu, H. Chen, and Y. Zhao, "Energy and carbon-aware distributed machine learning tasks scheduling scheme for the multi-renewable energy-based edge-cloud continuum," </w:t>
      </w:r>
      <w:r>
        <w:rPr>
          <w:i/>
          <w:iCs/>
        </w:rPr>
        <w:t xml:space="preserve">Science and Technology for Energy Transition</w:t>
      </w:r>
      <w:r>
        <w:t xml:space="preserve">, vol. 79, p. 82, 2024.</w:t>
      </w:r>
    </w:p>
    <w:p>
      <w:pPr>
        <w:spacing w:after="80"/>
        <w:ind w:left="360" w:hanging="360"/>
      </w:pPr>
      <w:r>
        <w:t xml:space="preserve">[7]   R. Liu </w:t>
      </w:r>
      <w:r>
        <w:rPr>
          <w:i/>
          <w:iCs/>
        </w:rPr>
        <w:t xml:space="preserve">et al.</w:t>
      </w:r>
      <w:r>
        <w:t xml:space="preserve">, "Efficient Discovery of Pareto Front for Multi-Objective Reinforcement Learning," </w:t>
      </w:r>
      <w:r>
        <w:rPr>
          <w:i/>
          <w:iCs/>
        </w:rPr>
        <w:t xml:space="preserve">Proc. ICLR</w:t>
      </w:r>
      <w:r>
        <w:t xml:space="preserve">, 2025.</w:t>
      </w:r>
    </w:p>
    <w:p>
      <w:pPr>
        <w:spacing w:after="80"/>
        <w:ind w:left="360" w:hanging="360"/>
      </w:pPr>
      <w:r>
        <w:t xml:space="preserve">[8]   C. Wang </w:t>
      </w:r>
      <w:r>
        <w:rPr>
          <w:i/>
          <w:iCs/>
        </w:rPr>
        <w:t xml:space="preserve">et al.</w:t>
      </w:r>
      <w:r>
        <w:t xml:space="preserve">, "VCRA: A Reinforcement Learning Based Workload Scheduling Approach," </w:t>
      </w:r>
      <w:r>
        <w:rPr>
          <w:i/>
          <w:iCs/>
        </w:rPr>
        <w:t xml:space="preserve">IEEE Trans. Cloud Computing</w:t>
      </w:r>
      <w:r>
        <w:t xml:space="preserve">, vol. 11, no. 3, pp. 2749-2763, 2023.</w:t>
      </w:r>
    </w:p>
    <w:p>
      <w:pPr>
        <w:spacing w:after="80"/>
        <w:ind w:left="360" w:hanging="360"/>
      </w:pPr>
      <w:r>
        <w:t xml:space="preserve">[9]   H. Xu </w:t>
      </w:r>
      <w:r>
        <w:rPr>
          <w:i/>
          <w:iCs/>
        </w:rPr>
        <w:t xml:space="preserve">et al.</w:t>
      </w:r>
      <w:r>
        <w:t xml:space="preserve">, "GREEN: A Geo-Distributed Machine Learning System with Carbon Awareness," </w:t>
      </w:r>
      <w:r>
        <w:rPr>
          <w:i/>
          <w:iCs/>
        </w:rPr>
        <w:t xml:space="preserve">Proc. NSDI</w:t>
      </w:r>
      <w:r>
        <w:t xml:space="preserve">, 2025.</w:t>
      </w:r>
    </w:p>
    <w:p>
      <w:pPr>
        <w:spacing w:after="80"/>
        <w:ind w:left="360" w:hanging="360"/>
      </w:pPr>
      <w:r>
        <w:t xml:space="preserve">[10]   S. Hall </w:t>
      </w:r>
      <w:r>
        <w:rPr>
          <w:i/>
          <w:iCs/>
        </w:rPr>
        <w:t xml:space="preserve">et al.</w:t>
      </w:r>
      <w:r>
        <w:t xml:space="preserve">, "Carbon-Aware Model Training on Electricity Markets," </w:t>
      </w:r>
      <w:r>
        <w:rPr>
          <w:i/>
          <w:iCs/>
        </w:rPr>
        <w:t xml:space="preserve">Proc. NeurIPS Workshop</w:t>
      </w:r>
      <w:r>
        <w:t xml:space="preserve">, 2024.</w:t>
      </w:r>
    </w:p>
    <w:sectPr>
      <w:pgSz w:w="11906" w:h="16838" w:orient="portrait"/>
      <w:pgMar w:top="1080" w:right="960" w:bottom="10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22"/>
      <w:szCs w:val="22"/>
    </w:rPr>
  </w:style>
  <w:style w:type="paragraph" w:styleId="AbstractHeading">
    <w:name w:val="Abstract Heading"/>
    <w:basedOn w:val="Normal"/>
    <w:pPr>
      <w:spacing w:before="120" w:after="60"/>
      <w:jc w:val="center"/>
    </w:pPr>
    <w:rPr>
      <w:rFonts w:ascii="Times New Roman" w:cs="Times New Roman" w:eastAsia="Times New Roman" w:hAnsi="Times New Roman"/>
      <w:b/>
      <w:bCs/>
      <w:i/>
      <w:iCs/>
      <w:sz w:val="18"/>
      <w:szCs w:val="18"/>
    </w:rPr>
  </w:style>
  <w:style w:type="paragraph" w:styleId="Heading1">
    <w:name w:val="Heading 1"/>
    <w:basedOn w:val="Normal"/>
    <w:pPr>
      <w:spacing w:before="180" w:after="120"/>
      <w:jc w:val="center"/>
      <w:outlineLvl w:val="0"/>
    </w:pPr>
    <w:rPr>
      <w:rFonts w:ascii="Times New Roman" w:cs="Times New Roman" w:eastAsia="Times New Roman" w:hAnsi="Times New Roman"/>
      <w:b/>
      <w:bCs/>
      <w:sz w:val="20"/>
      <w:szCs w:val="20"/>
    </w:rPr>
  </w:style>
  <w:style w:type="paragraph" w:styleId="Heading2">
    <w:name w:val="Heading 2"/>
    <w:basedOn w:val="Normal"/>
    <w:pPr>
      <w:spacing w:before="140" w:after="100"/>
      <w:outlineLvl w:val="1"/>
    </w:pPr>
    <w:rPr>
      <w:rFonts w:ascii="Times New Roman" w:cs="Times New Roman" w:eastAsia="Times New Roman" w:hAnsi="Times New Roman"/>
      <w:b/>
      <w:bCs/>
      <w:i/>
      <w:iCs/>
      <w:sz w:val="19"/>
      <w:szCs w:val="19"/>
    </w:rPr>
  </w:style>
  <w:style w:type="paragraph" w:styleId="BodyIndent">
    <w:name w:val="Body Indent"/>
    <w:basedOn w:val="Normal"/>
    <w:pPr>
      <w:ind w:firstLine="360"/>
      <w:jc w:val="both"/>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2025-11-21T12:20:12.902Z</dcterms:created>
  <dcterms:modified xsi:type="dcterms:W3CDTF">2025-11-21T12:20:12.903Z</dcterms:modified>
</cp:coreProperties>
</file>

<file path=docProps/custom.xml><?xml version="1.0" encoding="utf-8"?>
<Properties xmlns="http://schemas.openxmlformats.org/officeDocument/2006/custom-properties" xmlns:vt="http://schemas.openxmlformats.org/officeDocument/2006/docPropsVTypes"/>
</file>