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5A" w:rsidRPr="00CA70B7" w:rsidRDefault="0027475A" w:rsidP="00CD0063">
      <w:pPr>
        <w:pStyle w:val="Heading1"/>
        <w:numPr>
          <w:ilvl w:val="0"/>
          <w:numId w:val="2"/>
        </w:numPr>
        <w:ind w:left="284" w:hanging="284"/>
        <w:jc w:val="both"/>
        <w:rPr>
          <w:color w:val="17365D" w:themeColor="text2" w:themeShade="BF"/>
        </w:rPr>
      </w:pPr>
      <w:r w:rsidRPr="00CA70B7">
        <w:rPr>
          <w:color w:val="17365D" w:themeColor="text2" w:themeShade="BF"/>
        </w:rPr>
        <w:t>Introducción</w:t>
      </w:r>
    </w:p>
    <w:p w:rsidR="00E877E7" w:rsidRPr="000F34D5" w:rsidRDefault="000F34D5" w:rsidP="00CD0063">
      <w:pPr>
        <w:spacing w:after="0"/>
        <w:jc w:val="both"/>
        <w:rPr>
          <w:u w:val="single"/>
        </w:rPr>
      </w:pPr>
      <w:r w:rsidRPr="000F34D5">
        <w:rPr>
          <w:u w:val="single"/>
        </w:rPr>
        <w:t>Objetivo</w:t>
      </w:r>
    </w:p>
    <w:p w:rsidR="000F34D5" w:rsidRDefault="000F34D5" w:rsidP="00CD0063">
      <w:pPr>
        <w:spacing w:after="0"/>
        <w:jc w:val="both"/>
      </w:pPr>
      <w:r>
        <w:t>El presente trabajo pretende comprender las tendencias del valor de las acciones de las compañías de tecnología Yahoo y Google.  Se seleccionaron ambas compañías ya que su objetivo principal es poder proveerle a los usuarios acceder a la información de la Web de forma fácil, además de proveer cualquier otra fuente de información</w:t>
      </w:r>
      <w:r w:rsidR="00CD0063">
        <w:t>.</w:t>
      </w:r>
    </w:p>
    <w:p w:rsidR="00CD0063" w:rsidRDefault="00CD0063" w:rsidP="00CD0063">
      <w:pPr>
        <w:spacing w:after="0"/>
        <w:jc w:val="both"/>
      </w:pPr>
    </w:p>
    <w:p w:rsidR="00741388" w:rsidRDefault="00741388" w:rsidP="00CD0063">
      <w:pPr>
        <w:spacing w:after="0"/>
        <w:jc w:val="both"/>
        <w:rPr>
          <w:u w:val="single"/>
        </w:rPr>
      </w:pPr>
      <w:r w:rsidRPr="00741388">
        <w:rPr>
          <w:u w:val="single"/>
        </w:rPr>
        <w:t>Historia</w:t>
      </w:r>
    </w:p>
    <w:p w:rsidR="00741388" w:rsidRDefault="00741388" w:rsidP="00CD0063">
      <w:pPr>
        <w:spacing w:after="0"/>
        <w:jc w:val="both"/>
      </w:pPr>
      <w:r>
        <w:t>A continuación detallaremos un poco de la historia de cada compañía.</w:t>
      </w:r>
    </w:p>
    <w:p w:rsidR="00741388" w:rsidRDefault="00741388" w:rsidP="00CD0063">
      <w:pPr>
        <w:spacing w:after="0"/>
        <w:jc w:val="both"/>
      </w:pPr>
      <w:r>
        <w:t>Yahoo comenzó en 1994.</w:t>
      </w:r>
    </w:p>
    <w:p w:rsidR="00286241" w:rsidRDefault="00286241" w:rsidP="00CD0063">
      <w:pPr>
        <w:spacing w:after="0"/>
        <w:jc w:val="both"/>
      </w:pPr>
      <w:r>
        <w:t>Yahoo se define como el start-up más grande globa</w:t>
      </w:r>
      <w:r w:rsidR="00B04560">
        <w:t>l</w:t>
      </w:r>
      <w:r>
        <w:t xml:space="preserve">mente. Fue fundado con 1994 por dos candidatos de Standford PhD. Se identifica como una compañía que ayuda al usuario a encontrar lo que buscas en Internet a través de cualquier dispositivo. Sus empleados son reconocidos por su curiosidad y la compañía se identifica como aquella que celebra a las personas exploradoras, confiando en la pasión y la transformación para realizar lo correcto </w:t>
      </w:r>
      <w:r w:rsidR="005F1F1E">
        <w:t>para el usuario.</w:t>
      </w:r>
    </w:p>
    <w:p w:rsidR="00741388" w:rsidRPr="00741388" w:rsidRDefault="00741388" w:rsidP="00CD0063">
      <w:pPr>
        <w:spacing w:after="0"/>
        <w:jc w:val="both"/>
      </w:pPr>
      <w:r>
        <w:t xml:space="preserve">Google </w:t>
      </w:r>
      <w:r w:rsidR="00286241">
        <w:t>comenzó con en.</w:t>
      </w:r>
    </w:p>
    <w:p w:rsidR="0027475A" w:rsidRDefault="0027475A" w:rsidP="00CD0063">
      <w:pPr>
        <w:pStyle w:val="Heading1"/>
        <w:numPr>
          <w:ilvl w:val="0"/>
          <w:numId w:val="2"/>
        </w:numPr>
        <w:ind w:left="284" w:hanging="284"/>
        <w:jc w:val="both"/>
        <w:rPr>
          <w:color w:val="17365D" w:themeColor="text2" w:themeShade="BF"/>
        </w:rPr>
      </w:pPr>
      <w:r w:rsidRPr="00CA70B7">
        <w:rPr>
          <w:color w:val="17365D" w:themeColor="text2" w:themeShade="BF"/>
        </w:rPr>
        <w:t>Metodología</w:t>
      </w:r>
    </w:p>
    <w:p w:rsidR="00286241" w:rsidRDefault="00286241" w:rsidP="00CD0063">
      <w:pPr>
        <w:spacing w:after="0" w:line="360" w:lineRule="auto"/>
        <w:jc w:val="both"/>
        <w:rPr>
          <w:u w:val="single"/>
        </w:rPr>
      </w:pPr>
      <w:r>
        <w:rPr>
          <w:u w:val="single"/>
        </w:rPr>
        <w:t>Fuentes utilizadas</w:t>
      </w:r>
    </w:p>
    <w:p w:rsidR="00286241" w:rsidRDefault="00D21A4B" w:rsidP="00CD0063">
      <w:pPr>
        <w:spacing w:after="0"/>
        <w:jc w:val="both"/>
      </w:pPr>
      <w:r>
        <w:t>Se eligió como base, el listado de</w:t>
      </w:r>
      <w:r w:rsidR="004B05A6">
        <w:t xml:space="preserve"> los valores de las acciones de Google y Yahoo. </w:t>
      </w:r>
      <w:r>
        <w:t>Ambas bases se obtuvieron</w:t>
      </w:r>
      <w:r w:rsidR="004B05A6">
        <w:t xml:space="preserve"> de Yahoo Finance en la sección de “Historical algo”.</w:t>
      </w:r>
      <w:r>
        <w:t xml:space="preserve">  Para el caso de Yahoo se obtuvieron todos los valores de la compañía desde su salida a la bolsa en 12 de Abril de 1996, hasta el día de hoy. En cambio, para Google se tomó un período de 12 meses que incluye del 1 de Mayo de 2014 al 30 de Abril de 2015.</w:t>
      </w:r>
    </w:p>
    <w:p w:rsidR="00CD0063" w:rsidRDefault="00CD0063" w:rsidP="00CD0063">
      <w:pPr>
        <w:spacing w:after="0"/>
        <w:jc w:val="both"/>
      </w:pPr>
    </w:p>
    <w:p w:rsidR="003F6171" w:rsidRPr="003F6171" w:rsidRDefault="003F6171" w:rsidP="00CD0063">
      <w:pPr>
        <w:spacing w:after="0"/>
        <w:jc w:val="both"/>
        <w:rPr>
          <w:u w:val="single"/>
        </w:rPr>
      </w:pPr>
      <w:r w:rsidRPr="003F6171">
        <w:rPr>
          <w:u w:val="single"/>
        </w:rPr>
        <w:t>Tecnología utilizada</w:t>
      </w:r>
    </w:p>
    <w:p w:rsidR="003F6171" w:rsidRDefault="003F6171" w:rsidP="00CD0063">
      <w:pPr>
        <w:spacing w:after="0"/>
        <w:jc w:val="both"/>
      </w:pPr>
      <w:r>
        <w:t>Para poder realizar las visualizaciones, se utilizó HTML, y en conjunto la librería D3 y SVG. La mayoría de las visualizaciones su código fuente se basa en scripts encontrados en la Web. Todos los scripts fueron posteriormente cambiados de acuerdo a las necesidades e información que se poseía.</w:t>
      </w:r>
    </w:p>
    <w:p w:rsidR="0027475A" w:rsidRDefault="0027475A" w:rsidP="00CD0063">
      <w:pPr>
        <w:pStyle w:val="Heading1"/>
        <w:numPr>
          <w:ilvl w:val="0"/>
          <w:numId w:val="2"/>
        </w:numPr>
        <w:ind w:left="284" w:hanging="284"/>
        <w:jc w:val="both"/>
        <w:rPr>
          <w:color w:val="17365D" w:themeColor="text2" w:themeShade="BF"/>
        </w:rPr>
      </w:pPr>
      <w:r w:rsidRPr="00CA70B7">
        <w:rPr>
          <w:color w:val="17365D" w:themeColor="text2" w:themeShade="BF"/>
        </w:rPr>
        <w:t>Análisis comparativo</w:t>
      </w:r>
    </w:p>
    <w:p w:rsidR="003E4C1F" w:rsidRDefault="003E4C1F" w:rsidP="00CD0063">
      <w:pPr>
        <w:spacing w:after="0"/>
        <w:jc w:val="both"/>
        <w:rPr>
          <w:u w:val="single"/>
        </w:rPr>
      </w:pPr>
      <w:r w:rsidRPr="003E4C1F">
        <w:rPr>
          <w:u w:val="single"/>
        </w:rPr>
        <w:t>Gráfico TrendStock</w:t>
      </w:r>
    </w:p>
    <w:p w:rsidR="00C26E42" w:rsidRPr="00C26E42" w:rsidRDefault="00C26E42" w:rsidP="00CD0063">
      <w:pPr>
        <w:spacing w:after="0"/>
        <w:jc w:val="both"/>
      </w:pPr>
      <w:r w:rsidRPr="00C26E42">
        <w:rPr>
          <w:b/>
        </w:rPr>
        <w:t>Nombre gráfico:</w:t>
      </w:r>
      <w:r>
        <w:t xml:space="preserve"> </w:t>
      </w:r>
      <w:r w:rsidRPr="00C26E42">
        <w:t>LineChart_TrendStock.html</w:t>
      </w:r>
    </w:p>
    <w:p w:rsidR="003E4C1F" w:rsidRDefault="00C26E42" w:rsidP="00CD0063">
      <w:pPr>
        <w:spacing w:after="0"/>
        <w:jc w:val="both"/>
      </w:pPr>
      <w:r w:rsidRPr="00C26E42">
        <w:rPr>
          <w:b/>
        </w:rPr>
        <w:t>Descripción:</w:t>
      </w:r>
      <w:r>
        <w:t xml:space="preserve"> </w:t>
      </w:r>
      <w:r w:rsidR="003E4C1F">
        <w:t>El primer gráfico muestra la diferencia de precio de la acción de Yahoo y Google para el período de 12 meses, que comprende del 1 de Mayo de 2014 al 30 de Abril de 2015.</w:t>
      </w:r>
    </w:p>
    <w:p w:rsidR="00C26E42" w:rsidRDefault="00C26E42" w:rsidP="00CD0063">
      <w:pPr>
        <w:spacing w:after="0"/>
        <w:jc w:val="both"/>
      </w:pPr>
    </w:p>
    <w:p w:rsidR="00C26E42" w:rsidRDefault="00C26E42" w:rsidP="00CD0063">
      <w:pPr>
        <w:spacing w:after="0"/>
        <w:jc w:val="both"/>
        <w:rPr>
          <w:u w:val="single"/>
        </w:rPr>
      </w:pPr>
      <w:r w:rsidRPr="003E4C1F">
        <w:rPr>
          <w:u w:val="single"/>
        </w:rPr>
        <w:t xml:space="preserve">Gráfico </w:t>
      </w:r>
      <w:r>
        <w:rPr>
          <w:u w:val="single"/>
        </w:rPr>
        <w:t>Timeline</w:t>
      </w:r>
    </w:p>
    <w:p w:rsidR="00C26E42" w:rsidRPr="00C26E42" w:rsidRDefault="00C26E42" w:rsidP="00CD0063">
      <w:pPr>
        <w:spacing w:after="0"/>
        <w:jc w:val="both"/>
      </w:pPr>
      <w:r w:rsidRPr="00C26E42">
        <w:rPr>
          <w:b/>
        </w:rPr>
        <w:lastRenderedPageBreak/>
        <w:t>Nombre gráfico:</w:t>
      </w:r>
      <w:r>
        <w:t xml:space="preserve"> </w:t>
      </w:r>
      <w:r w:rsidRPr="00C26E42">
        <w:t>TimeLine_Yahoo.html</w:t>
      </w:r>
    </w:p>
    <w:p w:rsidR="00C26E42" w:rsidRDefault="00C26E42" w:rsidP="00CD0063">
      <w:pPr>
        <w:spacing w:after="0"/>
        <w:jc w:val="both"/>
      </w:pPr>
      <w:r>
        <w:rPr>
          <w:b/>
        </w:rPr>
        <w:t xml:space="preserve">Descripción: </w:t>
      </w:r>
      <w:r>
        <w:t xml:space="preserve">El </w:t>
      </w:r>
      <w:r>
        <w:t>gráfico muestra un poco de la historia de Yahoo desde su inicio hasta el día de hoy</w:t>
      </w:r>
      <w:r>
        <w:t>.</w:t>
      </w:r>
      <w:r>
        <w:t xml:space="preserve"> En paralelo se analizó el valor de la acción de Yahoo de acuerdo al evento histórico.</w:t>
      </w:r>
    </w:p>
    <w:p w:rsidR="00C26E42" w:rsidRPr="00C26E42" w:rsidRDefault="00C26E42" w:rsidP="00CD0063">
      <w:pPr>
        <w:spacing w:after="0"/>
        <w:jc w:val="both"/>
      </w:pPr>
    </w:p>
    <w:p w:rsidR="00C26E42" w:rsidRDefault="00C26E42" w:rsidP="00CD0063">
      <w:pPr>
        <w:spacing w:after="0"/>
        <w:jc w:val="both"/>
        <w:rPr>
          <w:u w:val="single"/>
        </w:rPr>
      </w:pPr>
      <w:r w:rsidRPr="003E4C1F">
        <w:rPr>
          <w:u w:val="single"/>
        </w:rPr>
        <w:t xml:space="preserve">Gráfico </w:t>
      </w:r>
      <w:r>
        <w:rPr>
          <w:u w:val="single"/>
        </w:rPr>
        <w:t>precio alto y bajo de Yahoo</w:t>
      </w:r>
    </w:p>
    <w:p w:rsidR="00C26E42" w:rsidRDefault="00C26E42" w:rsidP="00CD0063">
      <w:pPr>
        <w:spacing w:after="0"/>
        <w:jc w:val="both"/>
      </w:pPr>
      <w:r w:rsidRPr="00C26E42">
        <w:rPr>
          <w:b/>
        </w:rPr>
        <w:t>Nombre gráfico:</w:t>
      </w:r>
      <w:r>
        <w:t xml:space="preserve"> </w:t>
      </w:r>
      <w:r w:rsidRPr="00C26E42">
        <w:t>LineChart_LowHighPrice_Yahoo.html</w:t>
      </w:r>
    </w:p>
    <w:p w:rsidR="00C26E42" w:rsidRPr="00C26E42" w:rsidRDefault="00C26E42" w:rsidP="00CD0063">
      <w:pPr>
        <w:spacing w:after="0"/>
        <w:jc w:val="both"/>
      </w:pPr>
      <w:r w:rsidRPr="00C26E42">
        <w:rPr>
          <w:b/>
        </w:rPr>
        <w:t>Fuente:</w:t>
      </w:r>
      <w:r>
        <w:t xml:space="preserve"> </w:t>
      </w:r>
      <w:r w:rsidRPr="00C26E42">
        <w:t>yahoo_lowhigh.csv</w:t>
      </w:r>
    </w:p>
    <w:p w:rsidR="00C26E42" w:rsidRDefault="00C26E42" w:rsidP="00CD0063">
      <w:pPr>
        <w:spacing w:after="0"/>
        <w:jc w:val="both"/>
      </w:pPr>
      <w:r w:rsidRPr="00C26E42">
        <w:rPr>
          <w:b/>
        </w:rPr>
        <w:t>Descripción:</w:t>
      </w:r>
      <w:r>
        <w:t xml:space="preserve"> </w:t>
      </w:r>
      <w:r>
        <w:t>El gráfico muestra</w:t>
      </w:r>
      <w:r w:rsidR="00394535">
        <w:t xml:space="preserve"> </w:t>
      </w:r>
      <w:r w:rsidR="00394535">
        <w:t>del 1 de Mayo de 2014 al 30 de Abril de 2015</w:t>
      </w:r>
      <w:r w:rsidR="00394535">
        <w:t xml:space="preserve"> por mes el valor mínimo y máximo en cada día</w:t>
      </w:r>
      <w:r>
        <w:t>.</w:t>
      </w:r>
    </w:p>
    <w:p w:rsidR="00394535" w:rsidRDefault="00394535" w:rsidP="00CD0063">
      <w:pPr>
        <w:spacing w:after="0"/>
        <w:jc w:val="both"/>
      </w:pPr>
    </w:p>
    <w:p w:rsidR="00394535" w:rsidRDefault="00394535" w:rsidP="00CD0063">
      <w:pPr>
        <w:spacing w:after="0"/>
        <w:jc w:val="both"/>
        <w:rPr>
          <w:u w:val="single"/>
        </w:rPr>
      </w:pPr>
      <w:r w:rsidRPr="003E4C1F">
        <w:rPr>
          <w:u w:val="single"/>
        </w:rPr>
        <w:t xml:space="preserve">Gráfico </w:t>
      </w:r>
      <w:r>
        <w:rPr>
          <w:u w:val="single"/>
        </w:rPr>
        <w:t>precio alto y bajo de Google</w:t>
      </w:r>
    </w:p>
    <w:p w:rsidR="00394535" w:rsidRDefault="00394535" w:rsidP="00CD0063">
      <w:pPr>
        <w:spacing w:after="0"/>
        <w:jc w:val="both"/>
      </w:pPr>
      <w:r w:rsidRPr="00C26E42">
        <w:rPr>
          <w:b/>
        </w:rPr>
        <w:t>Nombre gráfico:</w:t>
      </w:r>
      <w:r>
        <w:t xml:space="preserve"> </w:t>
      </w:r>
      <w:r w:rsidRPr="00C26E42">
        <w:t>LineChart_LowHighPrice_</w:t>
      </w:r>
      <w:r>
        <w:t>Google</w:t>
      </w:r>
      <w:r w:rsidRPr="00C26E42">
        <w:t>.html</w:t>
      </w:r>
    </w:p>
    <w:p w:rsidR="00394535" w:rsidRPr="00C26E42" w:rsidRDefault="00394535" w:rsidP="00CD0063">
      <w:pPr>
        <w:spacing w:after="0"/>
        <w:jc w:val="both"/>
      </w:pPr>
      <w:r w:rsidRPr="00C26E42">
        <w:rPr>
          <w:b/>
        </w:rPr>
        <w:t>Fuente:</w:t>
      </w:r>
      <w:r>
        <w:t xml:space="preserve"> </w:t>
      </w:r>
      <w:r>
        <w:t>google</w:t>
      </w:r>
      <w:r w:rsidRPr="00C26E42">
        <w:t>_lowhigh.csv</w:t>
      </w:r>
    </w:p>
    <w:p w:rsidR="00394535" w:rsidRDefault="00394535" w:rsidP="00CD0063">
      <w:pPr>
        <w:spacing w:after="0"/>
        <w:jc w:val="both"/>
      </w:pPr>
      <w:r w:rsidRPr="00C26E42">
        <w:rPr>
          <w:b/>
        </w:rPr>
        <w:t>Descripción:</w:t>
      </w:r>
      <w:r>
        <w:t xml:space="preserve"> El gráfico muestra del 1 de Mayo de 2014 al 30 de Abril de 2015 por mes el valor mínimo y máximo en cada día.</w:t>
      </w:r>
    </w:p>
    <w:p w:rsidR="00394535" w:rsidRDefault="00394535" w:rsidP="00CD0063">
      <w:pPr>
        <w:spacing w:after="0"/>
        <w:jc w:val="both"/>
      </w:pPr>
    </w:p>
    <w:p w:rsidR="00394535" w:rsidRDefault="00394535" w:rsidP="00CD0063">
      <w:pPr>
        <w:spacing w:after="0"/>
        <w:jc w:val="both"/>
        <w:rPr>
          <w:u w:val="single"/>
        </w:rPr>
      </w:pPr>
      <w:r w:rsidRPr="003E4C1F">
        <w:rPr>
          <w:u w:val="single"/>
        </w:rPr>
        <w:t xml:space="preserve">Gráfico </w:t>
      </w:r>
      <w:r>
        <w:rPr>
          <w:u w:val="single"/>
        </w:rPr>
        <w:t>de número de volumen (operaciones venta-compra) de Yahoo</w:t>
      </w:r>
    </w:p>
    <w:p w:rsidR="00417A2E" w:rsidRDefault="00394535" w:rsidP="00CD0063">
      <w:pPr>
        <w:spacing w:after="0"/>
        <w:jc w:val="both"/>
      </w:pPr>
      <w:r w:rsidRPr="00C26E42">
        <w:rPr>
          <w:b/>
        </w:rPr>
        <w:t>Nombre gráfico:</w:t>
      </w:r>
      <w:r>
        <w:t xml:space="preserve"> </w:t>
      </w:r>
      <w:r w:rsidR="00417A2E" w:rsidRPr="00417A2E">
        <w:t>BarColumn_StockVolume_Yahoo.html</w:t>
      </w:r>
    </w:p>
    <w:p w:rsidR="00394535" w:rsidRPr="00C26E42" w:rsidRDefault="00394535" w:rsidP="00CD0063">
      <w:pPr>
        <w:spacing w:after="0"/>
        <w:jc w:val="both"/>
      </w:pPr>
      <w:r w:rsidRPr="00C26E42">
        <w:rPr>
          <w:b/>
        </w:rPr>
        <w:t>Fuente:</w:t>
      </w:r>
      <w:r>
        <w:t xml:space="preserve"> </w:t>
      </w:r>
      <w:r w:rsidRPr="00394535">
        <w:t>yahoo_volume.csv</w:t>
      </w:r>
    </w:p>
    <w:p w:rsidR="00394535" w:rsidRDefault="00394535" w:rsidP="00CD0063">
      <w:pPr>
        <w:spacing w:after="0"/>
        <w:jc w:val="both"/>
      </w:pPr>
      <w:r w:rsidRPr="00C26E42">
        <w:rPr>
          <w:b/>
        </w:rPr>
        <w:t>Descripción:</w:t>
      </w:r>
      <w:r>
        <w:t xml:space="preserve"> El gráfico muestra del 1 de Mayo de 2014 al 30 de Abril de 2015 </w:t>
      </w:r>
      <w:r w:rsidR="00417A2E">
        <w:t>el número de acciones vendidas-compradas durante cada mes</w:t>
      </w:r>
      <w:r>
        <w:t>.</w:t>
      </w:r>
    </w:p>
    <w:p w:rsidR="00417A2E" w:rsidRDefault="00417A2E" w:rsidP="00CD0063">
      <w:pPr>
        <w:spacing w:after="0"/>
        <w:jc w:val="both"/>
      </w:pPr>
    </w:p>
    <w:p w:rsidR="00417A2E" w:rsidRDefault="00417A2E" w:rsidP="00CD0063">
      <w:pPr>
        <w:spacing w:after="0"/>
        <w:jc w:val="both"/>
        <w:rPr>
          <w:u w:val="single"/>
        </w:rPr>
      </w:pPr>
      <w:r w:rsidRPr="003E4C1F">
        <w:rPr>
          <w:u w:val="single"/>
        </w:rPr>
        <w:t xml:space="preserve">Gráfico </w:t>
      </w:r>
      <w:r>
        <w:rPr>
          <w:u w:val="single"/>
        </w:rPr>
        <w:t xml:space="preserve">de número de volumen (operaciones venta-compra) de </w:t>
      </w:r>
      <w:r>
        <w:rPr>
          <w:u w:val="single"/>
        </w:rPr>
        <w:t>Google</w:t>
      </w:r>
    </w:p>
    <w:p w:rsidR="00417A2E" w:rsidRDefault="00417A2E" w:rsidP="00CD0063">
      <w:pPr>
        <w:spacing w:after="0"/>
        <w:jc w:val="both"/>
      </w:pPr>
      <w:r w:rsidRPr="00C26E42">
        <w:rPr>
          <w:b/>
        </w:rPr>
        <w:t>Nombre gráfico:</w:t>
      </w:r>
      <w:r>
        <w:t xml:space="preserve"> </w:t>
      </w:r>
      <w:r w:rsidRPr="00417A2E">
        <w:t>BarColumn_StockVolume_</w:t>
      </w:r>
      <w:r>
        <w:t>Google</w:t>
      </w:r>
      <w:r w:rsidRPr="00417A2E">
        <w:t>.html</w:t>
      </w:r>
    </w:p>
    <w:p w:rsidR="00417A2E" w:rsidRPr="00C26E42" w:rsidRDefault="00417A2E" w:rsidP="00CD0063">
      <w:pPr>
        <w:spacing w:after="0"/>
        <w:jc w:val="both"/>
      </w:pPr>
      <w:r w:rsidRPr="00C26E42">
        <w:rPr>
          <w:b/>
        </w:rPr>
        <w:t>Fuente:</w:t>
      </w:r>
      <w:r>
        <w:t xml:space="preserve"> </w:t>
      </w:r>
      <w:r>
        <w:t>google</w:t>
      </w:r>
      <w:r w:rsidRPr="00394535">
        <w:t>_volume.csv</w:t>
      </w:r>
    </w:p>
    <w:p w:rsidR="00417A2E" w:rsidRDefault="00417A2E" w:rsidP="00CD0063">
      <w:pPr>
        <w:spacing w:after="0"/>
        <w:jc w:val="both"/>
      </w:pPr>
      <w:r w:rsidRPr="00C26E42">
        <w:rPr>
          <w:b/>
        </w:rPr>
        <w:t>Descripción:</w:t>
      </w:r>
      <w:r>
        <w:t xml:space="preserve"> El gráfico muestra del 1 de Mayo de 2014 al 30 de Abril de 2015 el número de acciones vendidas-compradas durante cada mes.</w:t>
      </w:r>
    </w:p>
    <w:p w:rsidR="006F0D96" w:rsidRDefault="006F0D96" w:rsidP="00CD0063">
      <w:pPr>
        <w:spacing w:after="0"/>
        <w:jc w:val="both"/>
      </w:pPr>
    </w:p>
    <w:p w:rsidR="006F0D96" w:rsidRDefault="006F0D96" w:rsidP="00CD0063">
      <w:pPr>
        <w:spacing w:after="0"/>
        <w:jc w:val="both"/>
        <w:rPr>
          <w:u w:val="single"/>
        </w:rPr>
      </w:pPr>
      <w:r w:rsidRPr="003E4C1F">
        <w:rPr>
          <w:u w:val="single"/>
        </w:rPr>
        <w:t xml:space="preserve">Gráfico </w:t>
      </w:r>
      <w:r>
        <w:rPr>
          <w:u w:val="single"/>
        </w:rPr>
        <w:t>de Ley de Benford aplicado</w:t>
      </w:r>
    </w:p>
    <w:p w:rsidR="007B7E67" w:rsidRDefault="006F0D96" w:rsidP="00CD0063">
      <w:pPr>
        <w:spacing w:after="0"/>
        <w:jc w:val="both"/>
      </w:pPr>
      <w:r w:rsidRPr="00C26E42">
        <w:rPr>
          <w:b/>
        </w:rPr>
        <w:t>Nombre gráfico:</w:t>
      </w:r>
      <w:r>
        <w:t xml:space="preserve"> </w:t>
      </w:r>
      <w:r w:rsidR="007B7E67" w:rsidRPr="007B7E67">
        <w:t>GroupedBars_Benford_Yahoo.html</w:t>
      </w:r>
    </w:p>
    <w:p w:rsidR="006F0D96" w:rsidRPr="006F0D96" w:rsidRDefault="006F0D96" w:rsidP="00CD0063">
      <w:pPr>
        <w:spacing w:after="0"/>
        <w:jc w:val="both"/>
      </w:pPr>
      <w:r w:rsidRPr="00C26E42">
        <w:rPr>
          <w:b/>
        </w:rPr>
        <w:t>Fuente:</w:t>
      </w:r>
      <w:r>
        <w:t xml:space="preserve"> </w:t>
      </w:r>
      <w:r w:rsidR="007B7E67" w:rsidRPr="007B7E67">
        <w:t>yahoo_benfordlaw.csv</w:t>
      </w:r>
    </w:p>
    <w:p w:rsidR="006F0D96" w:rsidRDefault="006F0D96" w:rsidP="00CD0063">
      <w:pPr>
        <w:spacing w:after="0"/>
        <w:jc w:val="both"/>
      </w:pPr>
      <w:r w:rsidRPr="00C26E42">
        <w:rPr>
          <w:b/>
        </w:rPr>
        <w:t>Descripción:</w:t>
      </w:r>
      <w:r>
        <w:t xml:space="preserve"> </w:t>
      </w:r>
      <w:r w:rsidR="00EB307E">
        <w:t>explicar la ley de B</w:t>
      </w:r>
      <w:bookmarkStart w:id="0" w:name="_GoBack"/>
      <w:bookmarkEnd w:id="0"/>
      <w:r>
        <w:t>enford</w:t>
      </w:r>
      <w:r w:rsidR="00333BA2">
        <w:t>, se aplicó para todos los valores de las acciones de 1996 al 2015</w:t>
      </w:r>
      <w:r>
        <w:t>.</w:t>
      </w:r>
    </w:p>
    <w:p w:rsidR="00636FE3" w:rsidRDefault="00636FE3" w:rsidP="00CD0063">
      <w:pPr>
        <w:spacing w:after="0"/>
        <w:jc w:val="both"/>
      </w:pPr>
    </w:p>
    <w:p w:rsidR="0027475A" w:rsidRPr="00CA70B7" w:rsidRDefault="0027475A" w:rsidP="00CD0063">
      <w:pPr>
        <w:pStyle w:val="Heading1"/>
        <w:numPr>
          <w:ilvl w:val="0"/>
          <w:numId w:val="2"/>
        </w:numPr>
        <w:ind w:left="284" w:hanging="284"/>
        <w:jc w:val="both"/>
        <w:rPr>
          <w:color w:val="17365D" w:themeColor="text2" w:themeShade="BF"/>
        </w:rPr>
      </w:pPr>
      <w:r w:rsidRPr="00CA70B7">
        <w:rPr>
          <w:color w:val="17365D" w:themeColor="text2" w:themeShade="BF"/>
        </w:rPr>
        <w:lastRenderedPageBreak/>
        <w:t>Predicción del valor de la acción</w:t>
      </w:r>
    </w:p>
    <w:p w:rsidR="0027475A" w:rsidRPr="00CA70B7" w:rsidRDefault="0027475A" w:rsidP="00CD0063">
      <w:pPr>
        <w:pStyle w:val="Heading1"/>
        <w:numPr>
          <w:ilvl w:val="0"/>
          <w:numId w:val="2"/>
        </w:numPr>
        <w:ind w:left="284" w:hanging="284"/>
        <w:jc w:val="both"/>
        <w:rPr>
          <w:color w:val="17365D" w:themeColor="text2" w:themeShade="BF"/>
        </w:rPr>
      </w:pPr>
      <w:r w:rsidRPr="00CA70B7">
        <w:rPr>
          <w:color w:val="17365D" w:themeColor="text2" w:themeShade="BF"/>
        </w:rPr>
        <w:t>Conclusión</w:t>
      </w:r>
    </w:p>
    <w:p w:rsidR="0027475A" w:rsidRPr="00CA70B7" w:rsidRDefault="0027475A" w:rsidP="00CD0063">
      <w:pPr>
        <w:pStyle w:val="Heading1"/>
        <w:jc w:val="both"/>
        <w:rPr>
          <w:color w:val="17365D" w:themeColor="text2" w:themeShade="BF"/>
        </w:rPr>
      </w:pPr>
    </w:p>
    <w:sectPr w:rsidR="0027475A" w:rsidRPr="00CA70B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89C" w:rsidRDefault="001C489C" w:rsidP="00CA70B7">
      <w:pPr>
        <w:spacing w:after="0" w:line="240" w:lineRule="auto"/>
      </w:pPr>
      <w:r>
        <w:separator/>
      </w:r>
    </w:p>
  </w:endnote>
  <w:endnote w:type="continuationSeparator" w:id="0">
    <w:p w:rsidR="001C489C" w:rsidRDefault="001C489C" w:rsidP="00CA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89C" w:rsidRDefault="001C489C" w:rsidP="00CA70B7">
      <w:pPr>
        <w:spacing w:after="0" w:line="240" w:lineRule="auto"/>
      </w:pPr>
      <w:r>
        <w:separator/>
      </w:r>
    </w:p>
  </w:footnote>
  <w:footnote w:type="continuationSeparator" w:id="0">
    <w:p w:rsidR="001C489C" w:rsidRDefault="001C489C" w:rsidP="00CA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EEE" w:rsidRDefault="003D3EEE">
    <w:pPr>
      <w:pStyle w:val="Head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1249597</wp:posOffset>
              </wp:positionH>
              <wp:positionV relativeFrom="paragraph">
                <wp:posOffset>43401</wp:posOffset>
              </wp:positionV>
              <wp:extent cx="4055165" cy="278296"/>
              <wp:effectExtent l="0" t="0" r="21590" b="266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5165" cy="27829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3EEE" w:rsidRPr="003D3EEE" w:rsidRDefault="003D3EEE">
                          <w:pPr>
                            <w:rPr>
                              <w:rFonts w:asciiTheme="majorHAnsi" w:hAnsiTheme="majorHAnsi"/>
                            </w:rPr>
                          </w:pPr>
                          <w:r w:rsidRPr="003D3EEE">
                            <w:rPr>
                              <w:rFonts w:asciiTheme="majorHAnsi" w:hAnsiTheme="majorHAnsi"/>
                            </w:rPr>
                            <w:t>Diplomatura en Big Data</w:t>
                          </w:r>
                          <w:r>
                            <w:rPr>
                              <w:rFonts w:asciiTheme="majorHAnsi" w:hAnsiTheme="majorHAnsi"/>
                            </w:rPr>
                            <w:t xml:space="preserve"> – Camada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8.4pt;margin-top:3.4pt;width:319.3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0bUkgIAALQFAAAOAAAAZHJzL2Uyb0RvYy54bWysVE1vGyEQvVfqf0Dcm7W3tpNYWUduolSV&#10;oiRqUuWMWbBRgaGAvev++g7s+iNpLql62QXm8Zh583Fx2RpNNsIHBbaiw5MBJcJyqJVdVvTH082n&#10;M0pCZLZmGqyo6FYEejn7+OGicVNRwgp0LTxBEhumjavoKkY3LYrAV8KwcAJOWDRK8IZF3PplUXvW&#10;ILvRRTkYTIoGfO08cBECnl53RjrL/FIKHu+lDCISXVH0Leavz99F+hazCzZdeuZWivdusH/wwjBl&#10;8dE91TWLjKy9+ovKKO4hgIwnHEwBUioucgwYzXDwKprHFXMix4LiBLeXKfw/Wn63efBE1RUtKbHM&#10;YIqeRBvJF2hJmdRpXJgi6NEhLLZ4jFnenQc8TEG30pv0x3AI2lHn7V7bRMbxcDQYj4eTMSUcbeXp&#10;WXk+STTF4bbzIX4VYEhaVNRj7rKkbHMbYgfdQdJjAbSqb5TWeZPqRVxpTzYMM61j9hHJX6C0JU1F&#10;J5/Hg0z8wpYr7sCwWL7BgHzapudErqzeraRQp0Rexa0WCaPtdyFR2SzIGz4yzoXd+5nRCSUxovdc&#10;7PEHr95zuYsDb+SXwcb9ZaMs+E6ll9LWP3fCyA6POTyKOy1ju2j7yllAvcXC8dA1XnD8RmF2b1mI&#10;D8xjp2Gt4PSI9/iRGjA70K8oWYH//dZ5wmMDoJWSBju3ouHXmnlBif5msTXOh6NRavW8GY1PS9z4&#10;Y8vi2GLX5gqwZIY4pxzPy4SPereUHswzDpl5ehVNzHJ8u6I8+t3mKnYTBccUF/N5hmF7OxZv7aPj&#10;iTwJnKr3qX1m3vUlHrE57mDX5Wz6qtI7bLppYb6OIFVugyRxp2svPY6G3Ej9GEuz53ifUYdhO/sD&#10;AAD//wMAUEsDBBQABgAIAAAAIQBHn7R52wAAAAgBAAAPAAAAZHJzL2Rvd25yZXYueG1sTI9BS8NA&#10;EIXvgv9hGcGb3VTbUGM2RQSPRWwV9DbNjklwdzZkt0n8905Peno83vDeN+V29k6NNMQusIHlIgNF&#10;XAfbcWPg7fB8swEVE7JFF5gM/FCEbXV5UWJhw8SvNO5To6SEY4EG2pT6QutYt+QxLkJPLNlXGDwm&#10;sUOj7YCTlHunb7Ms1x47loUWe3pqqf7en7yBl9UOQxrDh46NXh52wU2fw7sx11fz4wOoRHP6O4Yz&#10;vqBDJUzHcGIblRN/nwt6MnAWyTd36xWoo4F1loOuSv3/geoXAAD//wMAUEsBAi0AFAAGAAgAAAAh&#10;ALaDOJL+AAAA4QEAABMAAAAAAAAAAAAAAAAAAAAAAFtDb250ZW50X1R5cGVzXS54bWxQSwECLQAU&#10;AAYACAAAACEAOP0h/9YAAACUAQAACwAAAAAAAAAAAAAAAAAvAQAAX3JlbHMvLnJlbHNQSwECLQAU&#10;AAYACAAAACEABfdG1JICAAC0BQAADgAAAAAAAAAAAAAAAAAuAgAAZHJzL2Uyb0RvYy54bWxQSwEC&#10;LQAUAAYACAAAACEAR5+0edsAAAAIAQAADwAAAAAAAAAAAAAAAADsBAAAZHJzL2Rvd25yZXYueG1s&#10;UEsFBgAAAAAEAAQA8wAAAPQFAAAAAA==&#10;" fillcolor="white [3201]" strokecolor="white [3212]" strokeweight=".5pt">
              <v:textbox>
                <w:txbxContent>
                  <w:p w:rsidR="003D3EEE" w:rsidRPr="003D3EEE" w:rsidRDefault="003D3EEE">
                    <w:pPr>
                      <w:rPr>
                        <w:rFonts w:asciiTheme="majorHAnsi" w:hAnsiTheme="majorHAnsi"/>
                      </w:rPr>
                    </w:pPr>
                    <w:r w:rsidRPr="003D3EEE">
                      <w:rPr>
                        <w:rFonts w:asciiTheme="majorHAnsi" w:hAnsiTheme="majorHAnsi"/>
                      </w:rPr>
                      <w:t>Diplomatura en Big Data</w:t>
                    </w:r>
                    <w:r>
                      <w:rPr>
                        <w:rFonts w:asciiTheme="majorHAnsi" w:hAnsiTheme="majorHAnsi"/>
                      </w:rPr>
                      <w:t xml:space="preserve"> – Camada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AR"/>
      </w:rPr>
      <w:drawing>
        <wp:inline distT="0" distB="0" distL="0" distR="0">
          <wp:extent cx="1160891" cy="359281"/>
          <wp:effectExtent l="0" t="0" r="1270" b="3175"/>
          <wp:docPr id="1" name="Picture 1" descr="http://gsea.org.ar/wp-content/uploads/2013/04/ITBA_GSE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gsea.org.ar/wp-content/uploads/2013/04/ITBA_GSE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375" cy="362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34B94"/>
    <w:multiLevelType w:val="hybridMultilevel"/>
    <w:tmpl w:val="CF14B2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F0932"/>
    <w:multiLevelType w:val="hybridMultilevel"/>
    <w:tmpl w:val="2D06BA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59"/>
    <w:rsid w:val="00000F0E"/>
    <w:rsid w:val="000F34D5"/>
    <w:rsid w:val="001C489C"/>
    <w:rsid w:val="0027475A"/>
    <w:rsid w:val="00286241"/>
    <w:rsid w:val="00333BA2"/>
    <w:rsid w:val="00394535"/>
    <w:rsid w:val="003D3EEE"/>
    <w:rsid w:val="003E4C1F"/>
    <w:rsid w:val="003F6171"/>
    <w:rsid w:val="00417A2E"/>
    <w:rsid w:val="00490259"/>
    <w:rsid w:val="0049076E"/>
    <w:rsid w:val="004B05A6"/>
    <w:rsid w:val="005F1F1E"/>
    <w:rsid w:val="00636FE3"/>
    <w:rsid w:val="006F0D96"/>
    <w:rsid w:val="00741388"/>
    <w:rsid w:val="007B7E67"/>
    <w:rsid w:val="008102A5"/>
    <w:rsid w:val="00B04560"/>
    <w:rsid w:val="00C26E42"/>
    <w:rsid w:val="00CA70B7"/>
    <w:rsid w:val="00CD0063"/>
    <w:rsid w:val="00D106F9"/>
    <w:rsid w:val="00D21A4B"/>
    <w:rsid w:val="00E877E7"/>
    <w:rsid w:val="00E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7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0B7"/>
  </w:style>
  <w:style w:type="paragraph" w:styleId="Footer">
    <w:name w:val="footer"/>
    <w:basedOn w:val="Normal"/>
    <w:link w:val="FooterChar"/>
    <w:uiPriority w:val="99"/>
    <w:unhideWhenUsed/>
    <w:rsid w:val="00CA7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0B7"/>
  </w:style>
  <w:style w:type="paragraph" w:styleId="BalloonText">
    <w:name w:val="Balloon Text"/>
    <w:basedOn w:val="Normal"/>
    <w:link w:val="BalloonTextChar"/>
    <w:uiPriority w:val="99"/>
    <w:semiHidden/>
    <w:unhideWhenUsed/>
    <w:rsid w:val="003D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7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0B7"/>
  </w:style>
  <w:style w:type="paragraph" w:styleId="Footer">
    <w:name w:val="footer"/>
    <w:basedOn w:val="Normal"/>
    <w:link w:val="FooterChar"/>
    <w:uiPriority w:val="99"/>
    <w:unhideWhenUsed/>
    <w:rsid w:val="00CA70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0B7"/>
  </w:style>
  <w:style w:type="paragraph" w:styleId="BalloonText">
    <w:name w:val="Balloon Text"/>
    <w:basedOn w:val="Normal"/>
    <w:link w:val="BalloonTextChar"/>
    <w:uiPriority w:val="99"/>
    <w:semiHidden/>
    <w:unhideWhenUsed/>
    <w:rsid w:val="003D3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A Cairo Presepi</dc:creator>
  <cp:keywords/>
  <dc:description/>
  <cp:lastModifiedBy>Rocio A Cairo Presepi</cp:lastModifiedBy>
  <cp:revision>27</cp:revision>
  <dcterms:created xsi:type="dcterms:W3CDTF">2015-06-16T01:54:00Z</dcterms:created>
  <dcterms:modified xsi:type="dcterms:W3CDTF">2015-06-16T03:01:00Z</dcterms:modified>
</cp:coreProperties>
</file>