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58" w:rsidRDefault="00287958">
      <w:pPr>
        <w:rPr>
          <w:color w:val="17365D" w:themeColor="text2" w:themeShade="BF"/>
        </w:rPr>
      </w:pPr>
    </w:p>
    <w:p w:rsidR="00592286" w:rsidRDefault="0077513F">
      <w:pPr>
        <w:rPr>
          <w:color w:val="17365D" w:themeColor="text2" w:themeShade="BF"/>
        </w:rPr>
      </w:pPr>
      <w:r>
        <w:rPr>
          <w:color w:val="17365D" w:themeColor="text2" w:themeShade="BF"/>
        </w:rPr>
        <w:t>Caratula!!</w:t>
      </w:r>
    </w:p>
    <w:p w:rsidR="00592286" w:rsidRPr="00592286" w:rsidRDefault="00592286">
      <w:pPr>
        <w:rPr>
          <w:b/>
          <w:color w:val="0F243E" w:themeColor="text2" w:themeShade="80"/>
          <w:sz w:val="28"/>
        </w:rPr>
      </w:pPr>
      <w:r w:rsidRPr="00592286">
        <w:rPr>
          <w:b/>
          <w:color w:val="0F243E" w:themeColor="text2" w:themeShade="80"/>
          <w:sz w:val="28"/>
        </w:rPr>
        <w:t>Análisis de los valores de las acciones de Yahoo y Google</w:t>
      </w:r>
    </w:p>
    <w:p w:rsidR="00592286" w:rsidRPr="00592286" w:rsidRDefault="00592286">
      <w:pPr>
        <w:rPr>
          <w:color w:val="0F243E" w:themeColor="text2" w:themeShade="80"/>
          <w:sz w:val="24"/>
        </w:rPr>
      </w:pPr>
      <w:r w:rsidRPr="00592286">
        <w:rPr>
          <w:color w:val="0F243E" w:themeColor="text2" w:themeShade="80"/>
          <w:sz w:val="24"/>
        </w:rPr>
        <w:t>Autor: Rocío Cairo Presepi</w:t>
      </w:r>
    </w:p>
    <w:p w:rsidR="00592286" w:rsidRPr="00592286" w:rsidRDefault="00592286">
      <w:pPr>
        <w:rPr>
          <w:color w:val="0F243E" w:themeColor="text2" w:themeShade="80"/>
          <w:sz w:val="24"/>
        </w:rPr>
      </w:pPr>
      <w:r w:rsidRPr="00592286">
        <w:rPr>
          <w:color w:val="0F243E" w:themeColor="text2" w:themeShade="80"/>
          <w:sz w:val="24"/>
        </w:rPr>
        <w:t>Entregado:</w:t>
      </w:r>
    </w:p>
    <w:p w:rsidR="004A7148" w:rsidRDefault="004A7148">
      <w:pPr>
        <w:rPr>
          <w:rFonts w:asciiTheme="majorHAnsi" w:eastAsiaTheme="majorEastAsia" w:hAnsiTheme="majorHAnsi" w:cstheme="majorBidi"/>
          <w:b/>
          <w:bCs/>
          <w:color w:val="17365D" w:themeColor="text2" w:themeShade="BF"/>
          <w:sz w:val="28"/>
          <w:szCs w:val="28"/>
        </w:rPr>
      </w:pPr>
      <w:r>
        <w:rPr>
          <w:color w:val="17365D" w:themeColor="text2" w:themeShade="BF"/>
        </w:rPr>
        <w:br w:type="page"/>
      </w:r>
    </w:p>
    <w:p w:rsidR="0027475A" w:rsidRPr="00CA70B7"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Introducción</w:t>
      </w:r>
    </w:p>
    <w:p w:rsidR="00E877E7" w:rsidRPr="000F34D5" w:rsidRDefault="000F34D5" w:rsidP="00CD0063">
      <w:pPr>
        <w:spacing w:after="0"/>
        <w:jc w:val="both"/>
        <w:rPr>
          <w:u w:val="single"/>
        </w:rPr>
      </w:pPr>
      <w:r w:rsidRPr="000F34D5">
        <w:rPr>
          <w:u w:val="single"/>
        </w:rPr>
        <w:t>Objetivo</w:t>
      </w:r>
    </w:p>
    <w:p w:rsidR="000F34D5" w:rsidRDefault="000F34D5" w:rsidP="00CD0063">
      <w:pPr>
        <w:spacing w:after="0"/>
        <w:jc w:val="both"/>
      </w:pPr>
      <w:r>
        <w:t xml:space="preserve">El presente trabajo pretende comprender las tendencias del valor de las acciones de las compañías de tecnología Yahoo y Google.  Se seleccionaron ambas compañías ya que su objetivo principal es poder proveerle a los usuarios </w:t>
      </w:r>
      <w:r w:rsidR="007176BB">
        <w:t>el acceso</w:t>
      </w:r>
      <w:r>
        <w:t xml:space="preserve"> a la información de la Web de forma fácil</w:t>
      </w:r>
      <w:r w:rsidR="007176BB">
        <w:t xml:space="preserve"> y rápida</w:t>
      </w:r>
      <w:r w:rsidR="00CD0063">
        <w:t>.</w:t>
      </w:r>
    </w:p>
    <w:p w:rsidR="00CD0063" w:rsidRDefault="00CD0063" w:rsidP="00CD0063">
      <w:pPr>
        <w:spacing w:after="0"/>
        <w:jc w:val="both"/>
      </w:pPr>
    </w:p>
    <w:p w:rsidR="00741388" w:rsidRDefault="00741388" w:rsidP="00CD0063">
      <w:pPr>
        <w:spacing w:after="0"/>
        <w:jc w:val="both"/>
        <w:rPr>
          <w:u w:val="single"/>
        </w:rPr>
      </w:pPr>
      <w:r w:rsidRPr="00741388">
        <w:rPr>
          <w:u w:val="single"/>
        </w:rPr>
        <w:t>Historia</w:t>
      </w:r>
    </w:p>
    <w:p w:rsidR="00741388" w:rsidRDefault="00741388" w:rsidP="00CD0063">
      <w:pPr>
        <w:spacing w:after="0"/>
        <w:jc w:val="both"/>
      </w:pPr>
      <w:r>
        <w:t>A continuación detallaremos un poco de la historia de cada compañía.</w:t>
      </w:r>
    </w:p>
    <w:p w:rsidR="00286241" w:rsidRDefault="00286241" w:rsidP="00CD0063">
      <w:pPr>
        <w:spacing w:after="0"/>
        <w:jc w:val="both"/>
      </w:pPr>
      <w:r>
        <w:t>Yahoo se define como el start-up más grande globa</w:t>
      </w:r>
      <w:r w:rsidR="00B04560">
        <w:t>l</w:t>
      </w:r>
      <w:r>
        <w:t>mente. Fue fundado con 1994 por dos candidatos de Standford PhD</w:t>
      </w:r>
      <w:r w:rsidR="00B72D06">
        <w:t>, Jerry Yang y David Filo</w:t>
      </w:r>
      <w:r>
        <w:t>. Se identifica como una compañía que ayuda al u</w:t>
      </w:r>
      <w:r w:rsidR="00F517A3">
        <w:t>suario a encontrar lo que busca</w:t>
      </w:r>
      <w:r>
        <w:t xml:space="preserve"> en Internet a través de cualquier dispositivo. </w:t>
      </w:r>
      <w:r w:rsidR="00174DD4" w:rsidRPr="00174DD4">
        <w:t>Yahoo! hizo su aparición pública en el mercado de valores de Nueva York en el índice NASDAQ el 12 de abril de 1996, vendiendo 2,6 millones de acciones a 13 dólares cada una.</w:t>
      </w:r>
      <w:r w:rsidR="00174DD4">
        <w:t xml:space="preserve"> </w:t>
      </w:r>
      <w:r w:rsidR="00174DD4" w:rsidRPr="00174DD4">
        <w:t>En 2009, Yahoo anunció que en el primer trimestre sus utilidades cayeron 78 % con respecto a igual periodo de 2008, a 117,6 millones de US$, debido al profundo declive en su negocio de publicidad.</w:t>
      </w:r>
    </w:p>
    <w:p w:rsidR="00741388" w:rsidRPr="00741388" w:rsidRDefault="00741388" w:rsidP="00CD0063">
      <w:pPr>
        <w:spacing w:after="0"/>
        <w:jc w:val="both"/>
      </w:pPr>
      <w:r>
        <w:t xml:space="preserve">Google </w:t>
      </w:r>
      <w:r w:rsidR="00286241">
        <w:t>comenzó con en</w:t>
      </w:r>
      <w:r w:rsidR="00AF0520">
        <w:t xml:space="preserve"> 1998 y fue fundada por Larry Page y Sergey Brin</w:t>
      </w:r>
      <w:r w:rsidR="00286241">
        <w:t>.</w:t>
      </w:r>
      <w:r w:rsidR="00AF0520">
        <w:t xml:space="preserve"> </w:t>
      </w:r>
      <w:r w:rsidR="00F517A3">
        <w:t xml:space="preserve">La compañía está especializada en productos y servicios relacionados con internet, software, dispositivos electrónicos y otras tecnologías. </w:t>
      </w:r>
      <w:r w:rsidR="00AF0520">
        <w:t xml:space="preserve"> </w:t>
      </w:r>
      <w:r w:rsidR="00B72D06">
        <w:t>Su principal producto es el motor de búsqueda. Se reconoce como una empresa innovadora que ha creado productos como Google Earth, Gmail, Google Adword, Android, entre otros.</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Metodología</w:t>
      </w:r>
    </w:p>
    <w:p w:rsidR="00286241" w:rsidRDefault="00286241" w:rsidP="00CD0063">
      <w:pPr>
        <w:spacing w:after="0" w:line="360" w:lineRule="auto"/>
        <w:jc w:val="both"/>
        <w:rPr>
          <w:u w:val="single"/>
        </w:rPr>
      </w:pPr>
      <w:r>
        <w:rPr>
          <w:u w:val="single"/>
        </w:rPr>
        <w:t>Fuentes utilizadas</w:t>
      </w:r>
    </w:p>
    <w:p w:rsidR="00286241" w:rsidRDefault="00D21A4B" w:rsidP="00CD0063">
      <w:pPr>
        <w:spacing w:after="0"/>
        <w:jc w:val="both"/>
      </w:pPr>
      <w:r>
        <w:t>Se eligió como base, el listado de</w:t>
      </w:r>
      <w:r w:rsidR="004B05A6">
        <w:t xml:space="preserve"> los valores de las acciones de Google y Yahoo. </w:t>
      </w:r>
      <w:r>
        <w:t>Ambas bases se obtuvieron</w:t>
      </w:r>
      <w:r w:rsidR="004B05A6">
        <w:t xml:space="preserve"> de</w:t>
      </w:r>
      <w:r w:rsidR="005F37E2">
        <w:t>l sitio web</w:t>
      </w:r>
      <w:r w:rsidR="004B05A6">
        <w:t xml:space="preserve"> </w:t>
      </w:r>
      <w:r w:rsidR="005F37E2">
        <w:t>“</w:t>
      </w:r>
      <w:r w:rsidR="004B05A6">
        <w:t>Yahoo Finance</w:t>
      </w:r>
      <w:r w:rsidR="005F37E2">
        <w:t>”</w:t>
      </w:r>
      <w:r w:rsidR="00E90238">
        <w:t>. Dicho listado se encuentra</w:t>
      </w:r>
      <w:r w:rsidR="004B05A6">
        <w:t xml:space="preserve"> e</w:t>
      </w:r>
      <w:r w:rsidR="004673CF">
        <w:t>n la sección de “Historical Prices</w:t>
      </w:r>
      <w:r w:rsidR="004B05A6">
        <w:t>”</w:t>
      </w:r>
      <w:r w:rsidR="00E90238">
        <w:t xml:space="preserve"> de cada compañía</w:t>
      </w:r>
      <w:r w:rsidR="004B05A6">
        <w:t>.</w:t>
      </w:r>
      <w:r>
        <w:t xml:space="preserve">  Para el caso de Yahoo se obtuvieron todos los valores de la compañ</w:t>
      </w:r>
      <w:r w:rsidR="004673CF">
        <w:t>ía desde su salida a la bolsa el día</w:t>
      </w:r>
      <w:r>
        <w:t xml:space="preserve"> 12 de Abril de 1996, hasta el día </w:t>
      </w:r>
      <w:r w:rsidR="004673CF">
        <w:t>30 de Abril de 2015</w:t>
      </w:r>
      <w:r>
        <w:t>. En cambio, para Google se tomó un período de 12 meses que incluye del 1 de Mayo de 2014 al 30 de Abril de 2015.</w:t>
      </w:r>
    </w:p>
    <w:p w:rsidR="00CD0063" w:rsidRDefault="00CD0063" w:rsidP="00CD0063">
      <w:pPr>
        <w:spacing w:after="0"/>
        <w:jc w:val="both"/>
      </w:pPr>
    </w:p>
    <w:p w:rsidR="003F6171" w:rsidRPr="003F6171" w:rsidRDefault="003F6171" w:rsidP="00CD0063">
      <w:pPr>
        <w:spacing w:after="0"/>
        <w:jc w:val="both"/>
        <w:rPr>
          <w:u w:val="single"/>
        </w:rPr>
      </w:pPr>
      <w:r w:rsidRPr="003F6171">
        <w:rPr>
          <w:u w:val="single"/>
        </w:rPr>
        <w:t>Tecnología utilizada</w:t>
      </w:r>
    </w:p>
    <w:p w:rsidR="003F6171" w:rsidRDefault="003F6171" w:rsidP="00CD0063">
      <w:pPr>
        <w:spacing w:after="0"/>
        <w:jc w:val="both"/>
      </w:pPr>
      <w:r>
        <w:t>Para poder realizar las visualizaciones, se utilizó HTML</w:t>
      </w:r>
      <w:r w:rsidR="006468BA">
        <w:t>, SVG y D3 que es una librería Javascript que permite manipular documentos utilizando HTML, CSS y SVG.</w:t>
      </w:r>
      <w:r w:rsidR="00FF383F">
        <w:t xml:space="preserve"> </w:t>
      </w:r>
      <w:r>
        <w:t xml:space="preserve">La mayoría de las visualizaciones su código fuente se basa en scripts encontrados en la Web. Todos los scripts fueron posteriormente </w:t>
      </w:r>
      <w:r w:rsidR="007154E7">
        <w:t>modificados</w:t>
      </w:r>
      <w:r>
        <w:t xml:space="preserve"> de acuerdo a las necesidades e información que se poseía.</w:t>
      </w:r>
    </w:p>
    <w:p w:rsidR="007154E7" w:rsidRDefault="007154E7" w:rsidP="00CD0063">
      <w:pPr>
        <w:spacing w:after="0"/>
        <w:jc w:val="both"/>
      </w:pPr>
      <w:r>
        <w:t>Para obtener los colores en las visualizaciones</w:t>
      </w:r>
      <w:r w:rsidR="00D10344">
        <w:t xml:space="preserve"> se utilizó el siguiente sitio w</w:t>
      </w:r>
      <w:r>
        <w:t>eb:</w:t>
      </w:r>
    </w:p>
    <w:p w:rsidR="007154E7" w:rsidRPr="005E2B82" w:rsidRDefault="006B6F04" w:rsidP="007154E7">
      <w:pPr>
        <w:pStyle w:val="ListParagraph"/>
        <w:numPr>
          <w:ilvl w:val="0"/>
          <w:numId w:val="3"/>
        </w:numPr>
        <w:spacing w:after="0"/>
        <w:jc w:val="both"/>
        <w:rPr>
          <w:rStyle w:val="Hyperlink"/>
          <w:color w:val="auto"/>
          <w:u w:val="none"/>
        </w:rPr>
      </w:pPr>
      <w:hyperlink r:id="rId8" w:history="1">
        <w:r w:rsidR="007154E7" w:rsidRPr="005673FB">
          <w:rPr>
            <w:rStyle w:val="Hyperlink"/>
          </w:rPr>
          <w:t>http://www.color-hex.com/</w:t>
        </w:r>
      </w:hyperlink>
    </w:p>
    <w:p w:rsidR="005E2B82" w:rsidRDefault="005E2B82" w:rsidP="005E2B82">
      <w:pPr>
        <w:spacing w:after="0"/>
        <w:jc w:val="both"/>
      </w:pPr>
      <w:r>
        <w:t xml:space="preserve">Para poder buscar información y noticias se utilizó </w:t>
      </w:r>
      <w:r w:rsidR="001964E4">
        <w:t xml:space="preserve">el buscador </w:t>
      </w:r>
      <w:r>
        <w:t xml:space="preserve">Google </w:t>
      </w:r>
      <w:r w:rsidR="001964E4">
        <w:t xml:space="preserve">que permite </w:t>
      </w:r>
      <w:r>
        <w:t>filtrar por fecha y así comp</w:t>
      </w:r>
      <w:r w:rsidR="001964E4">
        <w:t>render los patrones encontrados en las diferentes visualizaciones.</w:t>
      </w:r>
    </w:p>
    <w:p w:rsidR="00D10344" w:rsidRDefault="00D10344" w:rsidP="007154E7">
      <w:pPr>
        <w:spacing w:after="0"/>
        <w:jc w:val="both"/>
      </w:pPr>
    </w:p>
    <w:p w:rsidR="007154E7" w:rsidRPr="00EA72AD" w:rsidRDefault="00EA72AD" w:rsidP="007154E7">
      <w:pPr>
        <w:spacing w:after="0"/>
        <w:jc w:val="both"/>
        <w:rPr>
          <w:u w:val="single"/>
        </w:rPr>
      </w:pPr>
      <w:r w:rsidRPr="00EA72AD">
        <w:rPr>
          <w:u w:val="single"/>
        </w:rPr>
        <w:lastRenderedPageBreak/>
        <w:t>Procesamiento de información</w:t>
      </w:r>
    </w:p>
    <w:p w:rsidR="00EA72AD" w:rsidRDefault="00EA72AD" w:rsidP="007154E7">
      <w:pPr>
        <w:spacing w:after="0"/>
        <w:jc w:val="both"/>
      </w:pPr>
      <w:r>
        <w:t>Para poder procesar la</w:t>
      </w:r>
      <w:r w:rsidR="00C7300E">
        <w:t xml:space="preserve"> información se utilizó Microsoft Excel. </w:t>
      </w:r>
      <w:r w:rsidR="007266A7">
        <w:t>Se</w:t>
      </w:r>
      <w:r w:rsidR="00C7300E">
        <w:t xml:space="preserve"> utilizó para poder filtrar la información y obtener en los archivos csv los dato</w:t>
      </w:r>
      <w:r w:rsidR="007266A7">
        <w:t>s de las fechas que se deseaba. Por ejemplo, para analizar los valores mínimos y máximos de las acciones se utilizaron estas dos columnas y se filtró la información por las siguiente</w:t>
      </w:r>
      <w:r w:rsidR="00CA4DEB">
        <w:t>s</w:t>
      </w:r>
      <w:r w:rsidR="007266A7">
        <w:t xml:space="preserve"> fechas: del 1 de Mayo de 2014 al 30 de Abril de 2015.</w:t>
      </w:r>
    </w:p>
    <w:p w:rsidR="00884E2E" w:rsidRDefault="00CA4DEB" w:rsidP="007154E7">
      <w:pPr>
        <w:spacing w:after="0"/>
        <w:jc w:val="both"/>
      </w:pPr>
      <w:r>
        <w:t>Por otro lado, para generar los archivos se utilizó Notepad++ ya sea para poder manipular el código de html y poder generar los csv.</w:t>
      </w:r>
    </w:p>
    <w:p w:rsidR="002F7A54" w:rsidRDefault="002F7A54" w:rsidP="00CD0063">
      <w:pPr>
        <w:pStyle w:val="Heading1"/>
        <w:numPr>
          <w:ilvl w:val="0"/>
          <w:numId w:val="2"/>
        </w:numPr>
        <w:ind w:left="284" w:hanging="284"/>
        <w:jc w:val="both"/>
        <w:rPr>
          <w:color w:val="17365D" w:themeColor="text2" w:themeShade="BF"/>
        </w:rPr>
      </w:pPr>
      <w:r>
        <w:rPr>
          <w:color w:val="17365D" w:themeColor="text2" w:themeShade="BF"/>
        </w:rPr>
        <w:t>Conocimiento</w:t>
      </w:r>
      <w:r w:rsidR="00165D05">
        <w:rPr>
          <w:color w:val="17365D" w:themeColor="text2" w:themeShade="BF"/>
        </w:rPr>
        <w:t>s</w:t>
      </w:r>
      <w:r>
        <w:rPr>
          <w:color w:val="17365D" w:themeColor="text2" w:themeShade="BF"/>
        </w:rPr>
        <w:t xml:space="preserve"> introductorios de Finanzas</w:t>
      </w:r>
    </w:p>
    <w:p w:rsidR="002F1D4D" w:rsidRPr="002F1D4D" w:rsidRDefault="002F1D4D" w:rsidP="002F1D4D">
      <w:pPr>
        <w:spacing w:after="0"/>
        <w:jc w:val="both"/>
        <w:rPr>
          <w:highlight w:val="yellow"/>
        </w:rPr>
      </w:pPr>
      <w:r w:rsidRPr="002F1D4D">
        <w:rPr>
          <w:highlight w:val="yellow"/>
        </w:rPr>
        <w:t>A continuación se detallarán todos los gráficos creados, con su respectivo nombre, la descripción del mismo y el análisis obtenido a partir de la visualización obtenida.</w:t>
      </w:r>
    </w:p>
    <w:p w:rsidR="00165D05" w:rsidRPr="00165D05" w:rsidRDefault="002F1D4D" w:rsidP="002F1D4D">
      <w:pPr>
        <w:spacing w:after="0"/>
        <w:jc w:val="both"/>
      </w:pPr>
      <w:r w:rsidRPr="002F1D4D">
        <w:rPr>
          <w:highlight w:val="yellow"/>
        </w:rPr>
        <w:t>A continuación se detalla las visualizaciones que se presentan:</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Análisis comparativo</w:t>
      </w:r>
    </w:p>
    <w:p w:rsidR="00946DB0" w:rsidRDefault="00946DB0" w:rsidP="00946DB0">
      <w:pPr>
        <w:spacing w:after="0"/>
        <w:jc w:val="both"/>
      </w:pPr>
      <w:r>
        <w:t>A continuación se detallarán todos los gráficos creados, con su respectivo nombre, la descripción del mismo y el análisis obtenido a partir de la visualización obtenida.</w:t>
      </w:r>
    </w:p>
    <w:p w:rsidR="00946DB0" w:rsidRDefault="00946DB0" w:rsidP="00946DB0">
      <w:pPr>
        <w:spacing w:after="0"/>
        <w:jc w:val="both"/>
      </w:pPr>
      <w:r>
        <w:t>A continuación se detalla las visualizaciones que se presentan:</w:t>
      </w:r>
    </w:p>
    <w:p w:rsidR="00946DB0" w:rsidRDefault="00946DB0" w:rsidP="00946DB0">
      <w:pPr>
        <w:pStyle w:val="ListParagraph"/>
        <w:numPr>
          <w:ilvl w:val="0"/>
          <w:numId w:val="3"/>
        </w:numPr>
        <w:spacing w:after="0"/>
        <w:jc w:val="both"/>
      </w:pPr>
      <w:r>
        <w:t>Análisis comparativo del valor de cierre de la acción de Yahoo y Google desde el 1 de Mayo de 2014 al 30 de Abril de 2015.</w:t>
      </w:r>
    </w:p>
    <w:p w:rsidR="00946DB0" w:rsidRDefault="00946DB0" w:rsidP="00946DB0">
      <w:pPr>
        <w:pStyle w:val="ListParagraph"/>
        <w:numPr>
          <w:ilvl w:val="0"/>
          <w:numId w:val="3"/>
        </w:numPr>
        <w:spacing w:after="0"/>
        <w:jc w:val="both"/>
      </w:pPr>
      <w:r>
        <w:t>Se decidió enfocarse en un análisis de los valores de las acciones de Yahoo desde su comienzo hasta el día de hoy, debido a su diferencia con el valor de Google. El objetivo es comprender más a fondo cuál fue la razón por la cual Google posee un valor de acción mucho más alto que Yahoo.</w:t>
      </w:r>
    </w:p>
    <w:p w:rsidR="00946DB0" w:rsidRDefault="00946DB0" w:rsidP="00946DB0">
      <w:pPr>
        <w:pStyle w:val="ListParagraph"/>
        <w:numPr>
          <w:ilvl w:val="0"/>
          <w:numId w:val="3"/>
        </w:numPr>
        <w:spacing w:after="0"/>
        <w:jc w:val="both"/>
      </w:pPr>
      <w:r>
        <w:t>Por otro lado, se analizó la diferencia de valores mínimo y máximo por día durante 1 de Mayo 2014 al 30 de Abril 2015, para cada una de las compañías.</w:t>
      </w:r>
    </w:p>
    <w:p w:rsidR="00946DB0" w:rsidRDefault="00946DB0" w:rsidP="00946DB0">
      <w:pPr>
        <w:pStyle w:val="ListParagraph"/>
        <w:numPr>
          <w:ilvl w:val="0"/>
          <w:numId w:val="3"/>
        </w:numPr>
        <w:spacing w:after="0"/>
        <w:jc w:val="both"/>
      </w:pPr>
      <w:r>
        <w:t>A partir de dicho análisis se observó una caída en el valor de la acción tanto en el caso de Yahoo como de Google. Para comprender cuál fue la causa, se analizó para dicho período de decrecimiento del valor de la acción, cuántas acciones se vendieron.</w:t>
      </w:r>
    </w:p>
    <w:p w:rsidR="003E4C1F" w:rsidRDefault="00946DB0" w:rsidP="00CD0063">
      <w:pPr>
        <w:pStyle w:val="ListParagraph"/>
        <w:numPr>
          <w:ilvl w:val="0"/>
          <w:numId w:val="3"/>
        </w:numPr>
        <w:spacing w:after="0"/>
        <w:jc w:val="both"/>
      </w:pPr>
      <w:r>
        <w:t>Por último, se decidió adicionar un análisis exhaustivo del valor de la acción de Yahoo aplicando una prueba de fraude llamada Ley de Benford, que permite determinar si hubo o no manipulación en el valor de la acción.</w:t>
      </w:r>
    </w:p>
    <w:p w:rsidR="00C4025D" w:rsidRDefault="00C4025D" w:rsidP="00C4025D">
      <w:pPr>
        <w:spacing w:after="0"/>
        <w:jc w:val="both"/>
      </w:pPr>
    </w:p>
    <w:p w:rsidR="00C4025D" w:rsidRPr="00C4025D" w:rsidRDefault="00C4025D" w:rsidP="00C4025D">
      <w:pPr>
        <w:pStyle w:val="ListParagraph"/>
        <w:numPr>
          <w:ilvl w:val="0"/>
          <w:numId w:val="4"/>
        </w:numPr>
        <w:spacing w:after="0"/>
        <w:ind w:left="0"/>
        <w:jc w:val="both"/>
        <w:rPr>
          <w:b/>
          <w:color w:val="17365D" w:themeColor="text2" w:themeShade="BF"/>
          <w:sz w:val="24"/>
        </w:rPr>
      </w:pPr>
      <w:r>
        <w:rPr>
          <w:b/>
          <w:color w:val="17365D" w:themeColor="text2" w:themeShade="BF"/>
          <w:sz w:val="24"/>
        </w:rPr>
        <w:t>Comparación de los valores de acción de cierre de Yahoo y Google</w:t>
      </w:r>
    </w:p>
    <w:p w:rsidR="00C26E42" w:rsidRPr="00C26E42" w:rsidRDefault="00C26E42" w:rsidP="00CD0063">
      <w:pPr>
        <w:spacing w:after="0"/>
        <w:jc w:val="both"/>
      </w:pPr>
      <w:r w:rsidRPr="00C26E42">
        <w:rPr>
          <w:b/>
        </w:rPr>
        <w:t>Nombre gráfico:</w:t>
      </w:r>
      <w:r>
        <w:t xml:space="preserve"> </w:t>
      </w:r>
      <w:r w:rsidRPr="00C26E42">
        <w:t>LineChart_TrendStock.html</w:t>
      </w:r>
    </w:p>
    <w:p w:rsidR="003E4C1F" w:rsidRDefault="00C26E42" w:rsidP="00CD0063">
      <w:pPr>
        <w:spacing w:after="0"/>
        <w:jc w:val="both"/>
      </w:pPr>
      <w:r w:rsidRPr="00C26E42">
        <w:rPr>
          <w:b/>
        </w:rPr>
        <w:t>Descripción:</w:t>
      </w:r>
      <w:r>
        <w:t xml:space="preserve"> </w:t>
      </w:r>
      <w:r w:rsidR="003E4C1F">
        <w:t>El primer gráfico muestra la diferencia de precio de la</w:t>
      </w:r>
      <w:r w:rsidR="00F14E02">
        <w:t>s acciones</w:t>
      </w:r>
      <w:r w:rsidR="003E4C1F">
        <w:t xml:space="preserve"> de Yahoo y Google para el período de 12 meses, que comprende del 1 de Mayo de 2014 al 30 de Abril de 2015.</w:t>
      </w:r>
      <w:r w:rsidR="00D23DDB">
        <w:t xml:space="preserve"> Se decidió comparar el valor de la acción de cada compañía a través de </w:t>
      </w:r>
      <w:r w:rsidR="00261C41">
        <w:t xml:space="preserve">los </w:t>
      </w:r>
      <w:r w:rsidR="00D23DDB">
        <w:t>12 meses. Se tomó para poder comparar el precio de cierre de cada día</w:t>
      </w:r>
      <w:r w:rsidR="00261C41">
        <w:t>,</w:t>
      </w:r>
      <w:r w:rsidR="00D23DDB">
        <w:t xml:space="preserve"> y se realizó un promedio por mes por cada compañía. La fórmula aplicada fue la siguiente:</w:t>
      </w:r>
    </w:p>
    <w:p w:rsidR="00D23DDB" w:rsidRDefault="00D23DDB" w:rsidP="00CD0063">
      <w:pPr>
        <w:spacing w:after="0"/>
        <w:jc w:val="both"/>
      </w:pPr>
      <w:r>
        <w:t>f(x)= Sumatoria de precio de cierre por día / Cantidad de días que se cotizó la acción</w:t>
      </w:r>
    </w:p>
    <w:p w:rsidR="00BE0198" w:rsidRPr="00BE0198" w:rsidRDefault="00BE0198" w:rsidP="00CD0063">
      <w:pPr>
        <w:spacing w:after="0"/>
        <w:jc w:val="both"/>
      </w:pPr>
      <w:r>
        <w:rPr>
          <w:b/>
        </w:rPr>
        <w:lastRenderedPageBreak/>
        <w:t>Análisis:</w:t>
      </w:r>
      <w:r>
        <w:t xml:space="preserve"> Se puede observar una clara diferencia entre el valor de Yahoo y Google. La tendencia de aumento o </w:t>
      </w:r>
      <w:r w:rsidR="00261C41">
        <w:t>disminución para cada uno no se puede observar con claridad debido a que el rango de valores es muy amplio</w:t>
      </w:r>
      <w:r>
        <w:t xml:space="preserve">. Sin embargo, para Google se pueden observar dos puntos de crecimiento y un punto de decrecimiento del valor de la acción. En cuanto a Yahoo, se puede observar que el previo de la acción se mantuvo </w:t>
      </w:r>
      <w:r w:rsidR="00613A11">
        <w:t xml:space="preserve">entre los mismos valores </w:t>
      </w:r>
      <w:r>
        <w:t>a través de los 12 meses.</w:t>
      </w:r>
    </w:p>
    <w:p w:rsidR="001465D0" w:rsidRDefault="0099717B" w:rsidP="00CD0063">
      <w:pPr>
        <w:spacing w:after="0"/>
        <w:jc w:val="both"/>
      </w:pPr>
      <w:r>
        <w:rPr>
          <w:noProof/>
          <w:lang w:eastAsia="es-AR"/>
        </w:rPr>
        <w:drawing>
          <wp:inline distT="0" distB="0" distL="0" distR="0">
            <wp:extent cx="5612130" cy="5451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28_22-59-06.png"/>
                    <pic:cNvPicPr/>
                  </pic:nvPicPr>
                  <pic:blipFill>
                    <a:blip r:embed="rId9">
                      <a:extLst>
                        <a:ext uri="{28A0092B-C50C-407E-A947-70E740481C1C}">
                          <a14:useLocalDpi xmlns:a14="http://schemas.microsoft.com/office/drawing/2010/main" val="0"/>
                        </a:ext>
                      </a:extLst>
                    </a:blip>
                    <a:stretch>
                      <a:fillRect/>
                    </a:stretch>
                  </pic:blipFill>
                  <pic:spPr>
                    <a:xfrm>
                      <a:off x="0" y="0"/>
                      <a:ext cx="5612130" cy="5451475"/>
                    </a:xfrm>
                    <a:prstGeom prst="rect">
                      <a:avLst/>
                    </a:prstGeom>
                  </pic:spPr>
                </pic:pic>
              </a:graphicData>
            </a:graphic>
          </wp:inline>
        </w:drawing>
      </w:r>
    </w:p>
    <w:p w:rsidR="00BA1390" w:rsidRDefault="00BA1390" w:rsidP="00CD0063">
      <w:pPr>
        <w:spacing w:after="0"/>
        <w:jc w:val="both"/>
      </w:pPr>
      <w:r>
        <w:t>En el siguiente cuadro se detalla el mes y año al que pertenece cada número en el gráfico:</w:t>
      </w:r>
    </w:p>
    <w:p w:rsidR="00BA1390" w:rsidRPr="005178AB" w:rsidRDefault="00BA1390" w:rsidP="00CD0063">
      <w:pPr>
        <w:spacing w:after="0"/>
        <w:jc w:val="both"/>
        <w:rPr>
          <w:sz w:val="20"/>
        </w:rPr>
      </w:pPr>
    </w:p>
    <w:p w:rsidR="001B6A9A" w:rsidRPr="005178AB" w:rsidRDefault="001B6A9A" w:rsidP="00CD0063">
      <w:pPr>
        <w:jc w:val="both"/>
        <w:rPr>
          <w:sz w:val="20"/>
        </w:rPr>
        <w:sectPr w:rsidR="001B6A9A" w:rsidRPr="005178AB" w:rsidSect="004A7148">
          <w:headerReference w:type="default" r:id="rId10"/>
          <w:footerReference w:type="default" r:id="rId11"/>
          <w:pgSz w:w="12240" w:h="15840"/>
          <w:pgMar w:top="1417" w:right="1701" w:bottom="1417" w:left="1701" w:header="708" w:footer="708" w:gutter="0"/>
          <w:pgNumType w:start="2"/>
          <w:cols w:space="708"/>
          <w:docGrid w:linePitch="360"/>
        </w:sectPr>
      </w:pPr>
    </w:p>
    <w:tbl>
      <w:tblPr>
        <w:tblStyle w:val="TableGrid"/>
        <w:tblW w:w="0" w:type="auto"/>
        <w:tblLook w:val="04A0" w:firstRow="1" w:lastRow="0" w:firstColumn="1" w:lastColumn="0" w:noHBand="0" w:noVBand="1"/>
      </w:tblPr>
      <w:tblGrid>
        <w:gridCol w:w="1384"/>
        <w:gridCol w:w="2268"/>
      </w:tblGrid>
      <w:tr w:rsidR="001B6A9A" w:rsidRPr="005178AB" w:rsidTr="001B6A9A">
        <w:trPr>
          <w:tblHeader/>
        </w:trPr>
        <w:tc>
          <w:tcPr>
            <w:tcW w:w="1384" w:type="dxa"/>
            <w:shd w:val="clear" w:color="auto" w:fill="F2F2F2" w:themeFill="background1" w:themeFillShade="F2"/>
          </w:tcPr>
          <w:p w:rsidR="001B6A9A" w:rsidRPr="005178AB" w:rsidRDefault="001B6A9A" w:rsidP="001B6A9A">
            <w:pPr>
              <w:jc w:val="center"/>
              <w:rPr>
                <w:sz w:val="20"/>
              </w:rPr>
            </w:pPr>
            <w:r w:rsidRPr="005178AB">
              <w:rPr>
                <w:sz w:val="20"/>
              </w:rPr>
              <w:lastRenderedPageBreak/>
              <w:t>Número</w:t>
            </w:r>
          </w:p>
        </w:tc>
        <w:tc>
          <w:tcPr>
            <w:tcW w:w="2268" w:type="dxa"/>
            <w:shd w:val="clear" w:color="auto" w:fill="F2F2F2" w:themeFill="background1" w:themeFillShade="F2"/>
          </w:tcPr>
          <w:p w:rsidR="001B6A9A" w:rsidRPr="005178AB" w:rsidRDefault="001B6A9A" w:rsidP="001B6A9A">
            <w:pPr>
              <w:jc w:val="center"/>
              <w:rPr>
                <w:sz w:val="20"/>
              </w:rPr>
            </w:pPr>
            <w:r w:rsidRPr="005178AB">
              <w:rPr>
                <w:sz w:val="20"/>
              </w:rPr>
              <w:t>Mes</w:t>
            </w:r>
            <w:r w:rsidR="00BA1390" w:rsidRPr="005178AB">
              <w:rPr>
                <w:sz w:val="20"/>
              </w:rPr>
              <w:t>-Año</w:t>
            </w:r>
          </w:p>
        </w:tc>
      </w:tr>
      <w:tr w:rsidR="001B6A9A" w:rsidRPr="005178AB" w:rsidTr="001B6A9A">
        <w:tc>
          <w:tcPr>
            <w:tcW w:w="1384" w:type="dxa"/>
          </w:tcPr>
          <w:p w:rsidR="001B6A9A" w:rsidRPr="005178AB" w:rsidRDefault="001B6A9A" w:rsidP="001B6A9A">
            <w:pPr>
              <w:jc w:val="center"/>
              <w:rPr>
                <w:sz w:val="20"/>
              </w:rPr>
            </w:pPr>
            <w:r w:rsidRPr="005178AB">
              <w:rPr>
                <w:sz w:val="20"/>
              </w:rPr>
              <w:t>1</w:t>
            </w:r>
          </w:p>
        </w:tc>
        <w:tc>
          <w:tcPr>
            <w:tcW w:w="2268" w:type="dxa"/>
          </w:tcPr>
          <w:p w:rsidR="001B6A9A" w:rsidRPr="005178AB" w:rsidRDefault="001B6A9A" w:rsidP="001B6A9A">
            <w:pPr>
              <w:jc w:val="center"/>
              <w:rPr>
                <w:sz w:val="20"/>
              </w:rPr>
            </w:pPr>
            <w:r w:rsidRPr="005178AB">
              <w:rPr>
                <w:sz w:val="20"/>
              </w:rPr>
              <w:t>Mayo 2014</w:t>
            </w:r>
          </w:p>
        </w:tc>
      </w:tr>
      <w:tr w:rsidR="001B6A9A" w:rsidRPr="005178AB" w:rsidTr="001B6A9A">
        <w:tc>
          <w:tcPr>
            <w:tcW w:w="1384" w:type="dxa"/>
          </w:tcPr>
          <w:p w:rsidR="001B6A9A" w:rsidRPr="005178AB" w:rsidRDefault="001B6A9A" w:rsidP="001B6A9A">
            <w:pPr>
              <w:jc w:val="center"/>
              <w:rPr>
                <w:sz w:val="20"/>
              </w:rPr>
            </w:pPr>
            <w:r w:rsidRPr="005178AB">
              <w:rPr>
                <w:sz w:val="20"/>
              </w:rPr>
              <w:t>2</w:t>
            </w:r>
          </w:p>
        </w:tc>
        <w:tc>
          <w:tcPr>
            <w:tcW w:w="2268" w:type="dxa"/>
          </w:tcPr>
          <w:p w:rsidR="001B6A9A" w:rsidRPr="005178AB" w:rsidRDefault="001B6A9A" w:rsidP="001B6A9A">
            <w:pPr>
              <w:jc w:val="center"/>
              <w:rPr>
                <w:sz w:val="20"/>
              </w:rPr>
            </w:pPr>
            <w:r w:rsidRPr="005178AB">
              <w:rPr>
                <w:sz w:val="20"/>
              </w:rPr>
              <w:t>Junio 2014</w:t>
            </w:r>
          </w:p>
        </w:tc>
      </w:tr>
      <w:tr w:rsidR="001B6A9A" w:rsidRPr="005178AB" w:rsidTr="001B6A9A">
        <w:tc>
          <w:tcPr>
            <w:tcW w:w="1384" w:type="dxa"/>
          </w:tcPr>
          <w:p w:rsidR="001B6A9A" w:rsidRPr="005178AB" w:rsidRDefault="001B6A9A" w:rsidP="001B6A9A">
            <w:pPr>
              <w:jc w:val="center"/>
              <w:rPr>
                <w:sz w:val="20"/>
              </w:rPr>
            </w:pPr>
            <w:r w:rsidRPr="005178AB">
              <w:rPr>
                <w:sz w:val="20"/>
              </w:rPr>
              <w:t>3</w:t>
            </w:r>
          </w:p>
        </w:tc>
        <w:tc>
          <w:tcPr>
            <w:tcW w:w="2268" w:type="dxa"/>
          </w:tcPr>
          <w:p w:rsidR="001B6A9A" w:rsidRPr="005178AB" w:rsidRDefault="001B6A9A" w:rsidP="001B6A9A">
            <w:pPr>
              <w:jc w:val="center"/>
              <w:rPr>
                <w:sz w:val="20"/>
              </w:rPr>
            </w:pPr>
            <w:r w:rsidRPr="005178AB">
              <w:rPr>
                <w:sz w:val="20"/>
              </w:rPr>
              <w:t>Julio 2014</w:t>
            </w:r>
          </w:p>
        </w:tc>
      </w:tr>
      <w:tr w:rsidR="001B6A9A" w:rsidRPr="005178AB" w:rsidTr="001B6A9A">
        <w:tc>
          <w:tcPr>
            <w:tcW w:w="1384" w:type="dxa"/>
          </w:tcPr>
          <w:p w:rsidR="001B6A9A" w:rsidRPr="005178AB" w:rsidRDefault="001B6A9A" w:rsidP="001B6A9A">
            <w:pPr>
              <w:jc w:val="center"/>
              <w:rPr>
                <w:sz w:val="20"/>
              </w:rPr>
            </w:pPr>
            <w:r w:rsidRPr="005178AB">
              <w:rPr>
                <w:sz w:val="20"/>
              </w:rPr>
              <w:t>4</w:t>
            </w:r>
          </w:p>
        </w:tc>
        <w:tc>
          <w:tcPr>
            <w:tcW w:w="2268" w:type="dxa"/>
          </w:tcPr>
          <w:p w:rsidR="001B6A9A" w:rsidRPr="005178AB" w:rsidRDefault="001B6A9A" w:rsidP="001B6A9A">
            <w:pPr>
              <w:jc w:val="center"/>
              <w:rPr>
                <w:sz w:val="20"/>
              </w:rPr>
            </w:pPr>
            <w:r w:rsidRPr="005178AB">
              <w:rPr>
                <w:sz w:val="20"/>
              </w:rPr>
              <w:t>Agosto 2014</w:t>
            </w:r>
          </w:p>
        </w:tc>
      </w:tr>
      <w:tr w:rsidR="001B6A9A" w:rsidRPr="005178AB" w:rsidTr="001B6A9A">
        <w:tc>
          <w:tcPr>
            <w:tcW w:w="1384" w:type="dxa"/>
          </w:tcPr>
          <w:p w:rsidR="001B6A9A" w:rsidRPr="005178AB" w:rsidRDefault="001B6A9A" w:rsidP="001B6A9A">
            <w:pPr>
              <w:jc w:val="center"/>
              <w:rPr>
                <w:sz w:val="20"/>
              </w:rPr>
            </w:pPr>
            <w:r w:rsidRPr="005178AB">
              <w:rPr>
                <w:sz w:val="20"/>
              </w:rPr>
              <w:t>5</w:t>
            </w:r>
          </w:p>
        </w:tc>
        <w:tc>
          <w:tcPr>
            <w:tcW w:w="2268" w:type="dxa"/>
          </w:tcPr>
          <w:p w:rsidR="001B6A9A" w:rsidRPr="005178AB" w:rsidRDefault="001B6A9A" w:rsidP="001B6A9A">
            <w:pPr>
              <w:jc w:val="center"/>
              <w:rPr>
                <w:sz w:val="20"/>
              </w:rPr>
            </w:pPr>
            <w:r w:rsidRPr="005178AB">
              <w:rPr>
                <w:sz w:val="20"/>
              </w:rPr>
              <w:t>Septiembre 2014</w:t>
            </w:r>
          </w:p>
        </w:tc>
      </w:tr>
      <w:tr w:rsidR="001B6A9A" w:rsidRPr="005178AB" w:rsidTr="001B6A9A">
        <w:tc>
          <w:tcPr>
            <w:tcW w:w="1384" w:type="dxa"/>
          </w:tcPr>
          <w:p w:rsidR="001B6A9A" w:rsidRPr="005178AB" w:rsidRDefault="001B6A9A" w:rsidP="001B6A9A">
            <w:pPr>
              <w:jc w:val="center"/>
              <w:rPr>
                <w:sz w:val="20"/>
              </w:rPr>
            </w:pPr>
            <w:r w:rsidRPr="005178AB">
              <w:rPr>
                <w:sz w:val="20"/>
              </w:rPr>
              <w:t>6</w:t>
            </w:r>
          </w:p>
        </w:tc>
        <w:tc>
          <w:tcPr>
            <w:tcW w:w="2268" w:type="dxa"/>
          </w:tcPr>
          <w:p w:rsidR="001B6A9A" w:rsidRPr="005178AB" w:rsidRDefault="001B6A9A" w:rsidP="001B6A9A">
            <w:pPr>
              <w:jc w:val="center"/>
              <w:rPr>
                <w:sz w:val="20"/>
              </w:rPr>
            </w:pPr>
            <w:r w:rsidRPr="005178AB">
              <w:rPr>
                <w:sz w:val="20"/>
              </w:rPr>
              <w:t>Octubre 2014</w:t>
            </w:r>
          </w:p>
        </w:tc>
      </w:tr>
      <w:tr w:rsidR="001B6A9A" w:rsidRPr="005178AB" w:rsidTr="001B6A9A">
        <w:tc>
          <w:tcPr>
            <w:tcW w:w="1384" w:type="dxa"/>
          </w:tcPr>
          <w:p w:rsidR="001B6A9A" w:rsidRPr="005178AB" w:rsidRDefault="001B6A9A" w:rsidP="001B6A9A">
            <w:pPr>
              <w:jc w:val="center"/>
              <w:rPr>
                <w:sz w:val="20"/>
              </w:rPr>
            </w:pPr>
            <w:r w:rsidRPr="005178AB">
              <w:rPr>
                <w:sz w:val="20"/>
              </w:rPr>
              <w:t>7</w:t>
            </w:r>
          </w:p>
        </w:tc>
        <w:tc>
          <w:tcPr>
            <w:tcW w:w="2268" w:type="dxa"/>
          </w:tcPr>
          <w:p w:rsidR="001B6A9A" w:rsidRPr="005178AB" w:rsidRDefault="001B6A9A" w:rsidP="001B6A9A">
            <w:pPr>
              <w:jc w:val="center"/>
              <w:rPr>
                <w:sz w:val="20"/>
              </w:rPr>
            </w:pPr>
            <w:r w:rsidRPr="005178AB">
              <w:rPr>
                <w:sz w:val="20"/>
              </w:rPr>
              <w:t>Noviembre 2014</w:t>
            </w:r>
          </w:p>
        </w:tc>
      </w:tr>
      <w:tr w:rsidR="001B6A9A" w:rsidRPr="005178AB" w:rsidTr="001B6A9A">
        <w:tc>
          <w:tcPr>
            <w:tcW w:w="1384" w:type="dxa"/>
          </w:tcPr>
          <w:p w:rsidR="001B6A9A" w:rsidRPr="005178AB" w:rsidRDefault="001B6A9A" w:rsidP="001B6A9A">
            <w:pPr>
              <w:jc w:val="center"/>
              <w:rPr>
                <w:sz w:val="20"/>
              </w:rPr>
            </w:pPr>
            <w:r w:rsidRPr="005178AB">
              <w:rPr>
                <w:sz w:val="20"/>
              </w:rPr>
              <w:lastRenderedPageBreak/>
              <w:t>8</w:t>
            </w:r>
          </w:p>
        </w:tc>
        <w:tc>
          <w:tcPr>
            <w:tcW w:w="2268" w:type="dxa"/>
          </w:tcPr>
          <w:p w:rsidR="001B6A9A" w:rsidRPr="005178AB" w:rsidRDefault="001B6A9A" w:rsidP="001B6A9A">
            <w:pPr>
              <w:jc w:val="center"/>
              <w:rPr>
                <w:sz w:val="20"/>
              </w:rPr>
            </w:pPr>
            <w:r w:rsidRPr="005178AB">
              <w:rPr>
                <w:sz w:val="20"/>
              </w:rPr>
              <w:t>Diciembre 2014</w:t>
            </w:r>
          </w:p>
        </w:tc>
      </w:tr>
      <w:tr w:rsidR="001B6A9A" w:rsidRPr="005178AB" w:rsidTr="001B6A9A">
        <w:tc>
          <w:tcPr>
            <w:tcW w:w="1384" w:type="dxa"/>
          </w:tcPr>
          <w:p w:rsidR="001B6A9A" w:rsidRPr="005178AB" w:rsidRDefault="001B6A9A" w:rsidP="001B6A9A">
            <w:pPr>
              <w:jc w:val="center"/>
              <w:rPr>
                <w:sz w:val="20"/>
              </w:rPr>
            </w:pPr>
            <w:r w:rsidRPr="005178AB">
              <w:rPr>
                <w:sz w:val="20"/>
              </w:rPr>
              <w:t>9</w:t>
            </w:r>
          </w:p>
        </w:tc>
        <w:tc>
          <w:tcPr>
            <w:tcW w:w="2268" w:type="dxa"/>
          </w:tcPr>
          <w:p w:rsidR="001B6A9A" w:rsidRPr="005178AB" w:rsidRDefault="001B6A9A" w:rsidP="001B6A9A">
            <w:pPr>
              <w:jc w:val="center"/>
              <w:rPr>
                <w:sz w:val="20"/>
              </w:rPr>
            </w:pPr>
            <w:r w:rsidRPr="005178AB">
              <w:rPr>
                <w:sz w:val="20"/>
              </w:rPr>
              <w:t>Enero 2015</w:t>
            </w:r>
          </w:p>
        </w:tc>
      </w:tr>
      <w:tr w:rsidR="001B6A9A" w:rsidRPr="005178AB" w:rsidTr="001B6A9A">
        <w:tc>
          <w:tcPr>
            <w:tcW w:w="1384" w:type="dxa"/>
          </w:tcPr>
          <w:p w:rsidR="001B6A9A" w:rsidRPr="005178AB" w:rsidRDefault="001B6A9A" w:rsidP="001B6A9A">
            <w:pPr>
              <w:jc w:val="center"/>
              <w:rPr>
                <w:sz w:val="20"/>
              </w:rPr>
            </w:pPr>
            <w:r w:rsidRPr="005178AB">
              <w:rPr>
                <w:sz w:val="20"/>
              </w:rPr>
              <w:t>10</w:t>
            </w:r>
          </w:p>
        </w:tc>
        <w:tc>
          <w:tcPr>
            <w:tcW w:w="2268" w:type="dxa"/>
          </w:tcPr>
          <w:p w:rsidR="001B6A9A" w:rsidRPr="005178AB" w:rsidRDefault="001B6A9A" w:rsidP="001B6A9A">
            <w:pPr>
              <w:jc w:val="center"/>
              <w:rPr>
                <w:sz w:val="20"/>
              </w:rPr>
            </w:pPr>
            <w:r w:rsidRPr="005178AB">
              <w:rPr>
                <w:sz w:val="20"/>
              </w:rPr>
              <w:t>Febrero 2015</w:t>
            </w:r>
          </w:p>
        </w:tc>
      </w:tr>
      <w:tr w:rsidR="001B6A9A" w:rsidRPr="005178AB" w:rsidTr="001B6A9A">
        <w:tc>
          <w:tcPr>
            <w:tcW w:w="1384" w:type="dxa"/>
          </w:tcPr>
          <w:p w:rsidR="001B6A9A" w:rsidRPr="005178AB" w:rsidRDefault="001B6A9A" w:rsidP="001B6A9A">
            <w:pPr>
              <w:jc w:val="center"/>
              <w:rPr>
                <w:sz w:val="20"/>
              </w:rPr>
            </w:pPr>
            <w:r w:rsidRPr="005178AB">
              <w:rPr>
                <w:sz w:val="20"/>
              </w:rPr>
              <w:t>11</w:t>
            </w:r>
          </w:p>
        </w:tc>
        <w:tc>
          <w:tcPr>
            <w:tcW w:w="2268" w:type="dxa"/>
          </w:tcPr>
          <w:p w:rsidR="001B6A9A" w:rsidRPr="005178AB" w:rsidRDefault="001B6A9A" w:rsidP="001B6A9A">
            <w:pPr>
              <w:jc w:val="center"/>
              <w:rPr>
                <w:sz w:val="20"/>
              </w:rPr>
            </w:pPr>
            <w:r w:rsidRPr="005178AB">
              <w:rPr>
                <w:sz w:val="20"/>
              </w:rPr>
              <w:t>Marzo 2015</w:t>
            </w:r>
          </w:p>
        </w:tc>
      </w:tr>
      <w:tr w:rsidR="001B6A9A" w:rsidRPr="005178AB" w:rsidTr="001B6A9A">
        <w:tc>
          <w:tcPr>
            <w:tcW w:w="1384" w:type="dxa"/>
          </w:tcPr>
          <w:p w:rsidR="001B6A9A" w:rsidRPr="005178AB" w:rsidRDefault="001B6A9A" w:rsidP="001B6A9A">
            <w:pPr>
              <w:jc w:val="center"/>
              <w:rPr>
                <w:sz w:val="20"/>
              </w:rPr>
            </w:pPr>
            <w:r w:rsidRPr="005178AB">
              <w:rPr>
                <w:sz w:val="20"/>
              </w:rPr>
              <w:t>12</w:t>
            </w:r>
          </w:p>
        </w:tc>
        <w:tc>
          <w:tcPr>
            <w:tcW w:w="2268" w:type="dxa"/>
          </w:tcPr>
          <w:p w:rsidR="001B6A9A" w:rsidRPr="005178AB" w:rsidRDefault="001B6A9A" w:rsidP="001B6A9A">
            <w:pPr>
              <w:jc w:val="center"/>
              <w:rPr>
                <w:sz w:val="20"/>
              </w:rPr>
            </w:pPr>
            <w:r w:rsidRPr="005178AB">
              <w:rPr>
                <w:sz w:val="20"/>
              </w:rPr>
              <w:t>Abril 2015</w:t>
            </w:r>
          </w:p>
        </w:tc>
      </w:tr>
    </w:tbl>
    <w:p w:rsidR="00C26E42" w:rsidRDefault="00C26E42" w:rsidP="001B6A9A">
      <w:pPr>
        <w:spacing w:after="0"/>
        <w:jc w:val="center"/>
      </w:pPr>
    </w:p>
    <w:p w:rsidR="001B6A9A" w:rsidRDefault="001B6A9A" w:rsidP="001B6A9A">
      <w:pPr>
        <w:spacing w:after="0"/>
        <w:jc w:val="center"/>
        <w:sectPr w:rsidR="001B6A9A" w:rsidSect="001B6A9A">
          <w:type w:val="continuous"/>
          <w:pgSz w:w="12240" w:h="15840"/>
          <w:pgMar w:top="1417" w:right="1701" w:bottom="1417" w:left="1701" w:header="708" w:footer="708" w:gutter="0"/>
          <w:cols w:num="2" w:space="708"/>
          <w:docGrid w:linePitch="360"/>
        </w:sectPr>
      </w:pPr>
    </w:p>
    <w:p w:rsidR="00C4025D" w:rsidRDefault="00C4025D" w:rsidP="00CD0063">
      <w:pPr>
        <w:spacing w:after="0"/>
        <w:jc w:val="both"/>
      </w:pPr>
    </w:p>
    <w:p w:rsidR="00C4025D" w:rsidRPr="00C4025D" w:rsidRDefault="00C87BC3" w:rsidP="00C4025D">
      <w:pPr>
        <w:pStyle w:val="ListParagraph"/>
        <w:numPr>
          <w:ilvl w:val="0"/>
          <w:numId w:val="4"/>
        </w:numPr>
        <w:spacing w:after="0"/>
        <w:ind w:left="0"/>
        <w:jc w:val="both"/>
      </w:pPr>
      <w:r>
        <w:rPr>
          <w:b/>
          <w:color w:val="17365D" w:themeColor="text2" w:themeShade="BF"/>
          <w:sz w:val="24"/>
        </w:rPr>
        <w:t>Línea de tiempo de Yahoo</w:t>
      </w:r>
    </w:p>
    <w:p w:rsidR="00C26E42" w:rsidRPr="00C26E42" w:rsidRDefault="00C26E42" w:rsidP="00CD0063">
      <w:pPr>
        <w:spacing w:after="0"/>
        <w:jc w:val="both"/>
      </w:pPr>
      <w:r w:rsidRPr="00C26E42">
        <w:rPr>
          <w:b/>
        </w:rPr>
        <w:t>Nombre gráfico:</w:t>
      </w:r>
      <w:r>
        <w:t xml:space="preserve"> </w:t>
      </w:r>
      <w:r w:rsidRPr="00C26E42">
        <w:t>TimeLine_Yahoo.html</w:t>
      </w:r>
    </w:p>
    <w:p w:rsidR="00BE0198" w:rsidRDefault="00C26E42" w:rsidP="00CD0063">
      <w:pPr>
        <w:spacing w:after="0"/>
        <w:jc w:val="both"/>
      </w:pPr>
      <w:r>
        <w:rPr>
          <w:b/>
        </w:rPr>
        <w:t xml:space="preserve">Descripción: </w:t>
      </w:r>
      <w:r>
        <w:t xml:space="preserve">El gráfico </w:t>
      </w:r>
      <w:r w:rsidR="00EC2B8E">
        <w:t>detalla</w:t>
      </w:r>
      <w:r>
        <w:t xml:space="preserve"> un poco de la historia de Yahoo desde su inicio hasta el día de hoy. En paralelo se analizó el valor de la acción de Yahoo de acuerdo al evento histórico.</w:t>
      </w:r>
    </w:p>
    <w:p w:rsidR="000B55AF" w:rsidRDefault="00BE0198" w:rsidP="00CD0063">
      <w:pPr>
        <w:spacing w:after="0"/>
        <w:jc w:val="both"/>
      </w:pPr>
      <w:r>
        <w:rPr>
          <w:b/>
        </w:rPr>
        <w:t>Análisis:</w:t>
      </w:r>
      <w:r>
        <w:t xml:space="preserve"> </w:t>
      </w:r>
    </w:p>
    <w:p w:rsidR="0074356F" w:rsidRPr="0074356F" w:rsidRDefault="0074356F" w:rsidP="0074356F">
      <w:pPr>
        <w:pStyle w:val="ListParagraph"/>
        <w:numPr>
          <w:ilvl w:val="0"/>
          <w:numId w:val="5"/>
        </w:numPr>
        <w:spacing w:after="0"/>
        <w:ind w:left="426" w:hanging="426"/>
        <w:jc w:val="both"/>
      </w:pPr>
      <w:r>
        <w:t>El día de la salida a la bolsa de Yahoo, l</w:t>
      </w:r>
      <w:r w:rsidRPr="0074356F">
        <w:t xml:space="preserve">a acción había sido lanzada a </w:t>
      </w:r>
      <w:r>
        <w:t xml:space="preserve">USD </w:t>
      </w:r>
      <w:r w:rsidR="000A471F">
        <w:t>24,50 por unidad, y durante la jornada llegó a los USD 43, para cerrar finalmente a USD 33</w:t>
      </w:r>
      <w:r w:rsidR="004C23AB">
        <w:t>.</w:t>
      </w:r>
      <w:r w:rsidR="000A471F">
        <w:t xml:space="preserve"> Mismo día se realizaron más de 408millones de operaciones de venta.</w:t>
      </w:r>
    </w:p>
    <w:p w:rsidR="000B55AF" w:rsidRDefault="00BE0198" w:rsidP="000B55AF">
      <w:pPr>
        <w:pStyle w:val="ListParagraph"/>
        <w:numPr>
          <w:ilvl w:val="0"/>
          <w:numId w:val="5"/>
        </w:numPr>
        <w:spacing w:after="0"/>
        <w:ind w:left="426" w:hanging="426"/>
        <w:jc w:val="both"/>
      </w:pPr>
      <w:r>
        <w:t xml:space="preserve">Uno de los valores más llamativos es del </w:t>
      </w:r>
      <w:r w:rsidR="00EC2B8E">
        <w:t>1999 donde el valor de la</w:t>
      </w:r>
      <w:r>
        <w:t xml:space="preserve"> acción pasa de USD 110 a USD 448. Estos valores marcan un momento histórico sobre Internet. En 1999 se dio un gran incremento de los valores de las empresas de tecnología a lo que se llamó el “dot-com boom”. Como toda burbuja, dicho evento explotó y muchas empresas tecnológicas tuvieron que cerrar. Yahoo logró mantenerse luego del “dot-com burst” y su acción </w:t>
      </w:r>
      <w:r w:rsidR="008A6773">
        <w:t xml:space="preserve">paso de USD 364 a USD 173 de una semana a otra. En el 2000, el valor de la acción llegó a USD 30. </w:t>
      </w:r>
    </w:p>
    <w:p w:rsidR="00BE0198" w:rsidRDefault="008A6773" w:rsidP="000B55AF">
      <w:pPr>
        <w:pStyle w:val="ListParagraph"/>
        <w:numPr>
          <w:ilvl w:val="0"/>
          <w:numId w:val="5"/>
        </w:numPr>
        <w:spacing w:after="0"/>
        <w:ind w:left="426" w:hanging="426"/>
        <w:jc w:val="both"/>
      </w:pPr>
      <w:r>
        <w:t xml:space="preserve">Por otro lado, otra forma de medir el efecto de un hecho histórico o un hito dentro de la compañía </w:t>
      </w:r>
      <w:r w:rsidR="000B55AF">
        <w:t xml:space="preserve">es </w:t>
      </w:r>
      <w:r>
        <w:t xml:space="preserve">a través del volumen de acciones </w:t>
      </w:r>
      <w:r w:rsidR="000B55AF">
        <w:t>vendidas por</w:t>
      </w:r>
      <w:r>
        <w:t xml:space="preserve"> día. Por ejemplo, un día después </w:t>
      </w:r>
      <w:r w:rsidR="000B55AF">
        <w:t>del</w:t>
      </w:r>
      <w:r>
        <w:t xml:space="preserve"> anunció </w:t>
      </w:r>
      <w:r w:rsidR="000B55AF">
        <w:t>de</w:t>
      </w:r>
      <w:r>
        <w:t xml:space="preserve"> Marissa Mayer </w:t>
      </w:r>
      <w:r w:rsidR="000B55AF">
        <w:t>como nueva</w:t>
      </w:r>
      <w:r>
        <w:t xml:space="preserve"> CEO</w:t>
      </w:r>
      <w:r w:rsidR="000B55AF">
        <w:t xml:space="preserve"> (hecho que sucedió </w:t>
      </w:r>
      <w:r>
        <w:t>el día 17-07-2012</w:t>
      </w:r>
      <w:r w:rsidR="000B55AF">
        <w:t>)</w:t>
      </w:r>
      <w:r>
        <w:t xml:space="preserve">, el volumen de las acciones </w:t>
      </w:r>
      <w:r w:rsidR="007A6446">
        <w:t>pasó</w:t>
      </w:r>
      <w:r>
        <w:t xml:space="preserve"> de 15 millones a 30 millones, casi duplicándose </w:t>
      </w:r>
      <w:r w:rsidR="000B55AF">
        <w:t>el</w:t>
      </w:r>
      <w:r>
        <w:t xml:space="preserve"> volumen de venta-compra de acciones. </w:t>
      </w:r>
    </w:p>
    <w:p w:rsidR="000B55AF" w:rsidRDefault="002F7A54" w:rsidP="000B55AF">
      <w:pPr>
        <w:pStyle w:val="ListParagraph"/>
        <w:numPr>
          <w:ilvl w:val="0"/>
          <w:numId w:val="5"/>
        </w:numPr>
        <w:spacing w:after="0"/>
        <w:ind w:left="426" w:hanging="426"/>
        <w:jc w:val="both"/>
      </w:pPr>
      <w:r>
        <w:t xml:space="preserve">También podemos observar como la compra </w:t>
      </w:r>
      <w:r w:rsidR="007779A1">
        <w:t>de una compañía puede influenciar en la confianza de las personas y así subir el valor de la acción de Yahoo o no. Dos claros ejemp</w:t>
      </w:r>
      <w:r w:rsidR="00A1556A">
        <w:t>l</w:t>
      </w:r>
      <w:r w:rsidR="007779A1">
        <w:t>os son la compra de Flickr, que sucedió el d</w:t>
      </w:r>
      <w:r w:rsidR="007E656C">
        <w:t>ía 20 de Marzo de 2005</w:t>
      </w:r>
      <w:r w:rsidR="007779A1">
        <w:t>, y la compra de Tumblr, que fue el d</w:t>
      </w:r>
      <w:r w:rsidR="00DF70F6">
        <w:t>ía 20 de Mayo de 2013</w:t>
      </w:r>
      <w:r w:rsidR="007779A1">
        <w:t>.</w:t>
      </w:r>
    </w:p>
    <w:p w:rsidR="00694046" w:rsidRDefault="00694046" w:rsidP="007E656C">
      <w:pPr>
        <w:spacing w:after="0"/>
        <w:jc w:val="both"/>
        <w:rPr>
          <w:b/>
        </w:rPr>
      </w:pPr>
    </w:p>
    <w:p w:rsidR="007E656C" w:rsidRPr="007E656C" w:rsidRDefault="007E656C" w:rsidP="007E656C">
      <w:pPr>
        <w:spacing w:after="0"/>
        <w:jc w:val="both"/>
        <w:rPr>
          <w:b/>
        </w:rPr>
      </w:pPr>
      <w:r w:rsidRPr="007E656C">
        <w:rPr>
          <w:b/>
        </w:rPr>
        <w:t>Cuadro análisis compra Flickr</w:t>
      </w:r>
    </w:p>
    <w:tbl>
      <w:tblPr>
        <w:tblStyle w:val="TableGrid"/>
        <w:tblW w:w="0" w:type="auto"/>
        <w:tblLook w:val="04A0" w:firstRow="1" w:lastRow="0" w:firstColumn="1" w:lastColumn="0" w:noHBand="0" w:noVBand="1"/>
      </w:tblPr>
      <w:tblGrid>
        <w:gridCol w:w="1384"/>
        <w:gridCol w:w="1418"/>
        <w:gridCol w:w="1418"/>
      </w:tblGrid>
      <w:tr w:rsidR="007E656C" w:rsidTr="00D90A35">
        <w:tc>
          <w:tcPr>
            <w:tcW w:w="1384" w:type="dxa"/>
          </w:tcPr>
          <w:p w:rsidR="007E656C" w:rsidRPr="007E656C" w:rsidRDefault="007E656C" w:rsidP="007E656C">
            <w:pPr>
              <w:jc w:val="center"/>
              <w:rPr>
                <w:sz w:val="20"/>
              </w:rPr>
            </w:pPr>
            <w:r w:rsidRPr="007E656C">
              <w:rPr>
                <w:sz w:val="20"/>
              </w:rPr>
              <w:t>Día</w:t>
            </w:r>
          </w:p>
        </w:tc>
        <w:tc>
          <w:tcPr>
            <w:tcW w:w="1418" w:type="dxa"/>
          </w:tcPr>
          <w:p w:rsidR="007E656C" w:rsidRPr="007E656C" w:rsidRDefault="007E656C" w:rsidP="007E656C">
            <w:pPr>
              <w:jc w:val="center"/>
              <w:rPr>
                <w:sz w:val="20"/>
              </w:rPr>
            </w:pPr>
            <w:r w:rsidRPr="007E656C">
              <w:rPr>
                <w:sz w:val="20"/>
              </w:rPr>
              <w:t>Valor máximo</w:t>
            </w:r>
          </w:p>
        </w:tc>
        <w:tc>
          <w:tcPr>
            <w:tcW w:w="1418" w:type="dxa"/>
          </w:tcPr>
          <w:p w:rsidR="007E656C" w:rsidRPr="007E656C" w:rsidRDefault="007E656C" w:rsidP="007E656C">
            <w:pPr>
              <w:jc w:val="center"/>
              <w:rPr>
                <w:sz w:val="20"/>
              </w:rPr>
            </w:pPr>
            <w:r>
              <w:rPr>
                <w:sz w:val="20"/>
              </w:rPr>
              <w:t>Valor cierre</w:t>
            </w:r>
          </w:p>
        </w:tc>
      </w:tr>
      <w:tr w:rsidR="007E656C" w:rsidTr="00D90A35">
        <w:tc>
          <w:tcPr>
            <w:tcW w:w="1384" w:type="dxa"/>
          </w:tcPr>
          <w:p w:rsidR="007E656C" w:rsidRDefault="00157EA3" w:rsidP="007E656C">
            <w:pPr>
              <w:jc w:val="center"/>
              <w:rPr>
                <w:sz w:val="20"/>
              </w:rPr>
            </w:pPr>
            <w:r>
              <w:rPr>
                <w:sz w:val="20"/>
              </w:rPr>
              <w:t>18/03/2015</w:t>
            </w:r>
          </w:p>
        </w:tc>
        <w:tc>
          <w:tcPr>
            <w:tcW w:w="1418" w:type="dxa"/>
          </w:tcPr>
          <w:p w:rsidR="007E656C" w:rsidRDefault="00157EA3" w:rsidP="007E656C">
            <w:pPr>
              <w:jc w:val="center"/>
              <w:rPr>
                <w:sz w:val="20"/>
              </w:rPr>
            </w:pPr>
            <w:r>
              <w:rPr>
                <w:sz w:val="20"/>
              </w:rPr>
              <w:t>31,73</w:t>
            </w:r>
          </w:p>
        </w:tc>
        <w:tc>
          <w:tcPr>
            <w:tcW w:w="1418" w:type="dxa"/>
          </w:tcPr>
          <w:p w:rsidR="007E656C" w:rsidRDefault="00157EA3" w:rsidP="007E656C">
            <w:pPr>
              <w:jc w:val="center"/>
              <w:rPr>
                <w:sz w:val="20"/>
              </w:rPr>
            </w:pPr>
            <w:r>
              <w:rPr>
                <w:sz w:val="20"/>
              </w:rPr>
              <w:t>31,11</w:t>
            </w:r>
          </w:p>
        </w:tc>
      </w:tr>
      <w:tr w:rsidR="007E656C" w:rsidTr="00D90A35">
        <w:tc>
          <w:tcPr>
            <w:tcW w:w="1384" w:type="dxa"/>
          </w:tcPr>
          <w:p w:rsidR="007E656C" w:rsidRPr="007E656C" w:rsidRDefault="007E656C" w:rsidP="007E656C">
            <w:pPr>
              <w:jc w:val="center"/>
              <w:rPr>
                <w:sz w:val="20"/>
              </w:rPr>
            </w:pPr>
            <w:r>
              <w:rPr>
                <w:sz w:val="20"/>
              </w:rPr>
              <w:t>21/03/2005</w:t>
            </w:r>
          </w:p>
        </w:tc>
        <w:tc>
          <w:tcPr>
            <w:tcW w:w="1418" w:type="dxa"/>
          </w:tcPr>
          <w:p w:rsidR="007E656C" w:rsidRPr="007E656C" w:rsidRDefault="007E656C" w:rsidP="007E656C">
            <w:pPr>
              <w:jc w:val="center"/>
              <w:rPr>
                <w:sz w:val="20"/>
              </w:rPr>
            </w:pPr>
            <w:r>
              <w:rPr>
                <w:sz w:val="20"/>
              </w:rPr>
              <w:t>31,77</w:t>
            </w:r>
          </w:p>
        </w:tc>
        <w:tc>
          <w:tcPr>
            <w:tcW w:w="1418" w:type="dxa"/>
          </w:tcPr>
          <w:p w:rsidR="007E656C" w:rsidRDefault="007E656C" w:rsidP="007E656C">
            <w:pPr>
              <w:jc w:val="center"/>
              <w:rPr>
                <w:sz w:val="20"/>
              </w:rPr>
            </w:pPr>
            <w:r>
              <w:rPr>
                <w:sz w:val="20"/>
              </w:rPr>
              <w:t>31,62</w:t>
            </w:r>
          </w:p>
        </w:tc>
      </w:tr>
      <w:tr w:rsidR="007E656C" w:rsidTr="00D90A35">
        <w:tc>
          <w:tcPr>
            <w:tcW w:w="1384" w:type="dxa"/>
          </w:tcPr>
          <w:p w:rsidR="007E656C" w:rsidRPr="007E656C" w:rsidRDefault="007E656C" w:rsidP="007E656C">
            <w:pPr>
              <w:jc w:val="center"/>
              <w:rPr>
                <w:sz w:val="20"/>
              </w:rPr>
            </w:pPr>
            <w:r>
              <w:rPr>
                <w:sz w:val="20"/>
              </w:rPr>
              <w:t>22/03/2005</w:t>
            </w:r>
          </w:p>
        </w:tc>
        <w:tc>
          <w:tcPr>
            <w:tcW w:w="1418" w:type="dxa"/>
          </w:tcPr>
          <w:p w:rsidR="007E656C" w:rsidRPr="007E656C" w:rsidRDefault="007E656C" w:rsidP="007E656C">
            <w:pPr>
              <w:jc w:val="center"/>
              <w:rPr>
                <w:sz w:val="20"/>
              </w:rPr>
            </w:pPr>
            <w:r>
              <w:rPr>
                <w:sz w:val="20"/>
              </w:rPr>
              <w:t>31,98</w:t>
            </w:r>
          </w:p>
        </w:tc>
        <w:tc>
          <w:tcPr>
            <w:tcW w:w="1418" w:type="dxa"/>
          </w:tcPr>
          <w:p w:rsidR="007E656C" w:rsidRDefault="007E656C" w:rsidP="007E656C">
            <w:pPr>
              <w:jc w:val="center"/>
              <w:rPr>
                <w:sz w:val="20"/>
              </w:rPr>
            </w:pPr>
            <w:r>
              <w:rPr>
                <w:sz w:val="20"/>
              </w:rPr>
              <w:t>30,99</w:t>
            </w:r>
          </w:p>
        </w:tc>
      </w:tr>
      <w:tr w:rsidR="007E656C" w:rsidTr="00D90A35">
        <w:tc>
          <w:tcPr>
            <w:tcW w:w="1384" w:type="dxa"/>
          </w:tcPr>
          <w:p w:rsidR="007E656C" w:rsidRPr="007E656C" w:rsidRDefault="007E656C" w:rsidP="007E656C">
            <w:pPr>
              <w:jc w:val="center"/>
              <w:rPr>
                <w:sz w:val="20"/>
              </w:rPr>
            </w:pPr>
            <w:r>
              <w:rPr>
                <w:sz w:val="20"/>
              </w:rPr>
              <w:t>23/03/2005</w:t>
            </w:r>
          </w:p>
        </w:tc>
        <w:tc>
          <w:tcPr>
            <w:tcW w:w="1418" w:type="dxa"/>
          </w:tcPr>
          <w:p w:rsidR="007E656C" w:rsidRPr="007E656C" w:rsidRDefault="007E656C" w:rsidP="007E656C">
            <w:pPr>
              <w:jc w:val="center"/>
              <w:rPr>
                <w:sz w:val="20"/>
              </w:rPr>
            </w:pPr>
            <w:r>
              <w:rPr>
                <w:sz w:val="20"/>
              </w:rPr>
              <w:t>31,33</w:t>
            </w:r>
          </w:p>
        </w:tc>
        <w:tc>
          <w:tcPr>
            <w:tcW w:w="1418" w:type="dxa"/>
          </w:tcPr>
          <w:p w:rsidR="007E656C" w:rsidRPr="007E656C" w:rsidRDefault="007E656C" w:rsidP="007E656C">
            <w:pPr>
              <w:jc w:val="center"/>
              <w:rPr>
                <w:sz w:val="20"/>
              </w:rPr>
            </w:pPr>
            <w:r>
              <w:rPr>
                <w:sz w:val="20"/>
              </w:rPr>
              <w:t>30,87</w:t>
            </w:r>
          </w:p>
        </w:tc>
      </w:tr>
    </w:tbl>
    <w:p w:rsidR="007E656C" w:rsidRPr="007E656C" w:rsidRDefault="007E656C" w:rsidP="007E656C">
      <w:pPr>
        <w:spacing w:after="0"/>
        <w:jc w:val="both"/>
        <w:rPr>
          <w:b/>
        </w:rPr>
      </w:pPr>
    </w:p>
    <w:p w:rsidR="007E656C" w:rsidRPr="007E656C" w:rsidRDefault="007E656C" w:rsidP="007E656C">
      <w:pPr>
        <w:spacing w:after="0"/>
        <w:jc w:val="both"/>
        <w:rPr>
          <w:b/>
        </w:rPr>
      </w:pPr>
      <w:r w:rsidRPr="007E656C">
        <w:rPr>
          <w:b/>
        </w:rPr>
        <w:t>Cuadro análisis compra Tumblr</w:t>
      </w:r>
    </w:p>
    <w:tbl>
      <w:tblPr>
        <w:tblStyle w:val="TableGrid"/>
        <w:tblW w:w="0" w:type="auto"/>
        <w:tblLook w:val="04A0" w:firstRow="1" w:lastRow="0" w:firstColumn="1" w:lastColumn="0" w:noHBand="0" w:noVBand="1"/>
      </w:tblPr>
      <w:tblGrid>
        <w:gridCol w:w="1384"/>
        <w:gridCol w:w="1418"/>
        <w:gridCol w:w="1418"/>
      </w:tblGrid>
      <w:tr w:rsidR="007E656C" w:rsidTr="00A90D71">
        <w:tc>
          <w:tcPr>
            <w:tcW w:w="1384" w:type="dxa"/>
          </w:tcPr>
          <w:p w:rsidR="007E656C" w:rsidRPr="007E656C" w:rsidRDefault="007E656C" w:rsidP="00A90D71">
            <w:pPr>
              <w:jc w:val="center"/>
              <w:rPr>
                <w:sz w:val="20"/>
              </w:rPr>
            </w:pPr>
            <w:r w:rsidRPr="007E656C">
              <w:rPr>
                <w:sz w:val="20"/>
              </w:rPr>
              <w:t>Día</w:t>
            </w:r>
          </w:p>
        </w:tc>
        <w:tc>
          <w:tcPr>
            <w:tcW w:w="1418" w:type="dxa"/>
          </w:tcPr>
          <w:p w:rsidR="007E656C" w:rsidRPr="007E656C" w:rsidRDefault="007E656C" w:rsidP="00A90D71">
            <w:pPr>
              <w:jc w:val="center"/>
              <w:rPr>
                <w:sz w:val="20"/>
              </w:rPr>
            </w:pPr>
            <w:r w:rsidRPr="007E656C">
              <w:rPr>
                <w:sz w:val="20"/>
              </w:rPr>
              <w:t>Valor máximo</w:t>
            </w:r>
          </w:p>
        </w:tc>
        <w:tc>
          <w:tcPr>
            <w:tcW w:w="1418" w:type="dxa"/>
          </w:tcPr>
          <w:p w:rsidR="007E656C" w:rsidRPr="007E656C" w:rsidRDefault="007E656C" w:rsidP="00A90D71">
            <w:pPr>
              <w:jc w:val="center"/>
              <w:rPr>
                <w:sz w:val="20"/>
              </w:rPr>
            </w:pPr>
            <w:r>
              <w:rPr>
                <w:sz w:val="20"/>
              </w:rPr>
              <w:t>Valor cierre</w:t>
            </w:r>
          </w:p>
        </w:tc>
      </w:tr>
      <w:tr w:rsidR="007E656C" w:rsidTr="00A90D71">
        <w:tc>
          <w:tcPr>
            <w:tcW w:w="1384" w:type="dxa"/>
          </w:tcPr>
          <w:p w:rsidR="007E656C" w:rsidRPr="007E656C" w:rsidRDefault="007E656C" w:rsidP="007E656C">
            <w:pPr>
              <w:jc w:val="center"/>
              <w:rPr>
                <w:sz w:val="20"/>
              </w:rPr>
            </w:pPr>
            <w:r>
              <w:rPr>
                <w:sz w:val="20"/>
              </w:rPr>
              <w:t>17/05/2013</w:t>
            </w:r>
          </w:p>
        </w:tc>
        <w:tc>
          <w:tcPr>
            <w:tcW w:w="1418" w:type="dxa"/>
          </w:tcPr>
          <w:p w:rsidR="007E656C" w:rsidRPr="007E656C" w:rsidRDefault="007E656C" w:rsidP="007E656C">
            <w:pPr>
              <w:jc w:val="center"/>
              <w:rPr>
                <w:sz w:val="20"/>
              </w:rPr>
            </w:pPr>
            <w:r>
              <w:rPr>
                <w:sz w:val="20"/>
              </w:rPr>
              <w:t>26,98</w:t>
            </w:r>
          </w:p>
        </w:tc>
        <w:tc>
          <w:tcPr>
            <w:tcW w:w="1418" w:type="dxa"/>
          </w:tcPr>
          <w:p w:rsidR="007E656C" w:rsidRDefault="007E656C" w:rsidP="007E656C">
            <w:pPr>
              <w:jc w:val="center"/>
              <w:rPr>
                <w:sz w:val="20"/>
              </w:rPr>
            </w:pPr>
            <w:r>
              <w:rPr>
                <w:sz w:val="20"/>
              </w:rPr>
              <w:t>26,52</w:t>
            </w:r>
          </w:p>
        </w:tc>
      </w:tr>
      <w:tr w:rsidR="007E656C" w:rsidTr="00A90D71">
        <w:tc>
          <w:tcPr>
            <w:tcW w:w="1384" w:type="dxa"/>
          </w:tcPr>
          <w:p w:rsidR="007E656C" w:rsidRPr="007E656C" w:rsidRDefault="007E656C" w:rsidP="007E656C">
            <w:pPr>
              <w:jc w:val="center"/>
              <w:rPr>
                <w:sz w:val="20"/>
              </w:rPr>
            </w:pPr>
            <w:r>
              <w:rPr>
                <w:sz w:val="20"/>
              </w:rPr>
              <w:t>20/05/2013</w:t>
            </w:r>
          </w:p>
        </w:tc>
        <w:tc>
          <w:tcPr>
            <w:tcW w:w="1418" w:type="dxa"/>
          </w:tcPr>
          <w:p w:rsidR="007E656C" w:rsidRPr="007E656C" w:rsidRDefault="007E656C" w:rsidP="007E656C">
            <w:pPr>
              <w:jc w:val="center"/>
              <w:rPr>
                <w:sz w:val="20"/>
              </w:rPr>
            </w:pPr>
            <w:r>
              <w:rPr>
                <w:sz w:val="20"/>
              </w:rPr>
              <w:t>27,05</w:t>
            </w:r>
          </w:p>
        </w:tc>
        <w:tc>
          <w:tcPr>
            <w:tcW w:w="1418" w:type="dxa"/>
          </w:tcPr>
          <w:p w:rsidR="007E656C" w:rsidRDefault="007E656C" w:rsidP="007E656C">
            <w:pPr>
              <w:jc w:val="center"/>
              <w:rPr>
                <w:sz w:val="20"/>
              </w:rPr>
            </w:pPr>
            <w:r>
              <w:rPr>
                <w:sz w:val="20"/>
              </w:rPr>
              <w:t>26,58</w:t>
            </w:r>
          </w:p>
        </w:tc>
      </w:tr>
      <w:tr w:rsidR="007E656C" w:rsidTr="00A90D71">
        <w:tc>
          <w:tcPr>
            <w:tcW w:w="1384" w:type="dxa"/>
          </w:tcPr>
          <w:p w:rsidR="007E656C" w:rsidRPr="007E656C" w:rsidRDefault="007E656C" w:rsidP="007E656C">
            <w:pPr>
              <w:jc w:val="center"/>
              <w:rPr>
                <w:sz w:val="20"/>
              </w:rPr>
            </w:pPr>
            <w:r>
              <w:rPr>
                <w:sz w:val="20"/>
              </w:rPr>
              <w:t>21/05/2013</w:t>
            </w:r>
          </w:p>
        </w:tc>
        <w:tc>
          <w:tcPr>
            <w:tcW w:w="1418" w:type="dxa"/>
          </w:tcPr>
          <w:p w:rsidR="007E656C" w:rsidRPr="007E656C" w:rsidRDefault="007E656C" w:rsidP="007E656C">
            <w:pPr>
              <w:jc w:val="center"/>
              <w:rPr>
                <w:sz w:val="20"/>
              </w:rPr>
            </w:pPr>
            <w:r>
              <w:rPr>
                <w:sz w:val="20"/>
              </w:rPr>
              <w:t>27,13</w:t>
            </w:r>
          </w:p>
        </w:tc>
        <w:tc>
          <w:tcPr>
            <w:tcW w:w="1418" w:type="dxa"/>
          </w:tcPr>
          <w:p w:rsidR="007E656C" w:rsidRDefault="007E656C" w:rsidP="007E656C">
            <w:pPr>
              <w:jc w:val="center"/>
              <w:rPr>
                <w:sz w:val="20"/>
              </w:rPr>
            </w:pPr>
            <w:r>
              <w:rPr>
                <w:sz w:val="20"/>
              </w:rPr>
              <w:t>27</w:t>
            </w:r>
          </w:p>
        </w:tc>
      </w:tr>
      <w:tr w:rsidR="007E656C" w:rsidTr="00A90D71">
        <w:tc>
          <w:tcPr>
            <w:tcW w:w="1384" w:type="dxa"/>
          </w:tcPr>
          <w:p w:rsidR="007E656C" w:rsidRPr="007E656C" w:rsidRDefault="007E656C" w:rsidP="007E656C">
            <w:pPr>
              <w:jc w:val="center"/>
              <w:rPr>
                <w:sz w:val="20"/>
              </w:rPr>
            </w:pPr>
            <w:r>
              <w:rPr>
                <w:sz w:val="20"/>
              </w:rPr>
              <w:t>22/05/2013</w:t>
            </w:r>
          </w:p>
        </w:tc>
        <w:tc>
          <w:tcPr>
            <w:tcW w:w="1418" w:type="dxa"/>
          </w:tcPr>
          <w:p w:rsidR="007E656C" w:rsidRPr="007E656C" w:rsidRDefault="007E656C" w:rsidP="007E656C">
            <w:pPr>
              <w:jc w:val="center"/>
              <w:rPr>
                <w:sz w:val="20"/>
              </w:rPr>
            </w:pPr>
            <w:r>
              <w:rPr>
                <w:sz w:val="20"/>
              </w:rPr>
              <w:t>27,19</w:t>
            </w:r>
          </w:p>
        </w:tc>
        <w:tc>
          <w:tcPr>
            <w:tcW w:w="1418" w:type="dxa"/>
          </w:tcPr>
          <w:p w:rsidR="007E656C" w:rsidRPr="007E656C" w:rsidRDefault="007E656C" w:rsidP="007E656C">
            <w:pPr>
              <w:jc w:val="center"/>
              <w:rPr>
                <w:sz w:val="20"/>
              </w:rPr>
            </w:pPr>
            <w:r>
              <w:rPr>
                <w:sz w:val="20"/>
              </w:rPr>
              <w:t>26,54</w:t>
            </w:r>
          </w:p>
        </w:tc>
      </w:tr>
    </w:tbl>
    <w:p w:rsidR="00207C46" w:rsidRDefault="00207C46" w:rsidP="007E656C">
      <w:pPr>
        <w:spacing w:after="0"/>
        <w:jc w:val="both"/>
      </w:pPr>
    </w:p>
    <w:p w:rsidR="00BE0198" w:rsidRPr="00BE0198" w:rsidRDefault="00BE0198" w:rsidP="00CD0063">
      <w:pPr>
        <w:spacing w:after="0"/>
        <w:jc w:val="both"/>
      </w:pPr>
    </w:p>
    <w:p w:rsidR="00BE0198" w:rsidRPr="00BE0198" w:rsidRDefault="00EC2B8E" w:rsidP="00CD0063">
      <w:pPr>
        <w:spacing w:after="0"/>
        <w:jc w:val="both"/>
      </w:pPr>
      <w:r>
        <w:rPr>
          <w:noProof/>
          <w:lang w:eastAsia="es-AR"/>
        </w:rPr>
        <w:lastRenderedPageBreak/>
        <w:drawing>
          <wp:inline distT="0" distB="0" distL="0" distR="0">
            <wp:extent cx="5612130" cy="3331210"/>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331210"/>
                    </a:xfrm>
                    <a:prstGeom prst="rect">
                      <a:avLst/>
                    </a:prstGeom>
                  </pic:spPr>
                </pic:pic>
              </a:graphicData>
            </a:graphic>
          </wp:inline>
        </w:drawing>
      </w:r>
    </w:p>
    <w:p w:rsidR="001B6A9A" w:rsidRDefault="001B6A9A" w:rsidP="00CD0063">
      <w:pPr>
        <w:spacing w:after="0"/>
        <w:jc w:val="both"/>
      </w:pPr>
    </w:p>
    <w:p w:rsidR="001B6A9A" w:rsidRDefault="001B6A9A" w:rsidP="00CD0063">
      <w:pPr>
        <w:spacing w:after="0"/>
        <w:jc w:val="both"/>
      </w:pPr>
    </w:p>
    <w:p w:rsidR="00C4025D" w:rsidRPr="00C4025D" w:rsidRDefault="000A471F" w:rsidP="00C4025D">
      <w:pPr>
        <w:pStyle w:val="ListParagraph"/>
        <w:numPr>
          <w:ilvl w:val="0"/>
          <w:numId w:val="4"/>
        </w:numPr>
        <w:spacing w:after="0"/>
        <w:ind w:left="0"/>
        <w:jc w:val="both"/>
      </w:pPr>
      <w:r>
        <w:rPr>
          <w:b/>
          <w:color w:val="17365D" w:themeColor="text2" w:themeShade="BF"/>
          <w:sz w:val="24"/>
        </w:rPr>
        <w:t>Análisis valor mínimo/máximo de Yahoo</w:t>
      </w:r>
    </w:p>
    <w:p w:rsidR="00C26E42" w:rsidRDefault="00C26E42" w:rsidP="00CD0063">
      <w:pPr>
        <w:spacing w:after="0"/>
        <w:jc w:val="both"/>
      </w:pPr>
      <w:r w:rsidRPr="00C26E42">
        <w:rPr>
          <w:b/>
        </w:rPr>
        <w:t>Nombre gráfico:</w:t>
      </w:r>
      <w:r>
        <w:t xml:space="preserve"> </w:t>
      </w:r>
      <w:r w:rsidRPr="00C26E42">
        <w:t>LineChart_LowHighPrice_Yahoo.html</w:t>
      </w:r>
    </w:p>
    <w:p w:rsidR="00C26E42" w:rsidRPr="00C26E42" w:rsidRDefault="00C26E42" w:rsidP="00CD0063">
      <w:pPr>
        <w:spacing w:after="0"/>
        <w:jc w:val="both"/>
      </w:pPr>
      <w:r w:rsidRPr="00C26E42">
        <w:rPr>
          <w:b/>
        </w:rPr>
        <w:t>Fuente:</w:t>
      </w:r>
      <w:r>
        <w:t xml:space="preserve"> </w:t>
      </w:r>
      <w:r w:rsidRPr="00C26E42">
        <w:t>yahoo_lowhigh.csv</w:t>
      </w:r>
    </w:p>
    <w:p w:rsidR="00C26E42" w:rsidRDefault="00C26E42" w:rsidP="00CD0063">
      <w:pPr>
        <w:spacing w:after="0"/>
        <w:jc w:val="both"/>
      </w:pPr>
      <w:r w:rsidRPr="00C26E42">
        <w:rPr>
          <w:b/>
        </w:rPr>
        <w:t>Descripción:</w:t>
      </w:r>
      <w:r>
        <w:t xml:space="preserve"> El gráfico muestra</w:t>
      </w:r>
      <w:r w:rsidR="00394535">
        <w:t xml:space="preserve"> del 1 de Mayo de 2014 al 30 de Abril de 2015 por</w:t>
      </w:r>
      <w:r w:rsidR="00926578">
        <w:t xml:space="preserve"> mes el valor mínimo y máximo por</w:t>
      </w:r>
      <w:r w:rsidR="00394535">
        <w:t xml:space="preserve"> día</w:t>
      </w:r>
      <w:r>
        <w:t>.</w:t>
      </w:r>
    </w:p>
    <w:p w:rsidR="002E4B4F" w:rsidRPr="002E4B4F" w:rsidRDefault="002E4B4F" w:rsidP="00CD0063">
      <w:pPr>
        <w:spacing w:after="0"/>
        <w:jc w:val="both"/>
      </w:pPr>
      <w:r>
        <w:rPr>
          <w:b/>
        </w:rPr>
        <w:t>Análisis:</w:t>
      </w:r>
      <w:r>
        <w:t xml:space="preserve"> Se puede observar un incremento en el valor de la acción </w:t>
      </w:r>
      <w:r w:rsidR="00926578">
        <w:t>desde principios de</w:t>
      </w:r>
      <w:r>
        <w:t xml:space="preserve"> Septiembre a mediados de Octubre. A partir </w:t>
      </w:r>
      <w:r w:rsidR="00926578">
        <w:t>del período de crecimiento</w:t>
      </w:r>
      <w:r>
        <w:t>, la acción de Yahoo decrece, cayendo su precio más de un 35 por ciento.</w:t>
      </w:r>
      <w:r w:rsidR="001F5AE4">
        <w:t xml:space="preserve"> Para poder comprender en mayor detalle el decrecimiento del valor de la acción, se analizó la venta de acciones desde Septiembre hasta Diciembre.</w:t>
      </w:r>
    </w:p>
    <w:p w:rsidR="002E4B4F" w:rsidRDefault="002E4B4F" w:rsidP="00CD0063">
      <w:pPr>
        <w:spacing w:after="0"/>
        <w:jc w:val="both"/>
      </w:pPr>
    </w:p>
    <w:p w:rsidR="000A471F" w:rsidRPr="002E4B4F" w:rsidRDefault="00926578" w:rsidP="00CD0063">
      <w:pPr>
        <w:spacing w:after="0"/>
        <w:jc w:val="both"/>
      </w:pPr>
      <w:r>
        <w:rPr>
          <w:noProof/>
          <w:lang w:eastAsia="es-AR"/>
        </w:rPr>
        <w:lastRenderedPageBreak/>
        <w:drawing>
          <wp:inline distT="0" distB="0" distL="0" distR="0">
            <wp:extent cx="5612130" cy="30511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Yaho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51175"/>
                    </a:xfrm>
                    <a:prstGeom prst="rect">
                      <a:avLst/>
                    </a:prstGeom>
                  </pic:spPr>
                </pic:pic>
              </a:graphicData>
            </a:graphic>
          </wp:inline>
        </w:drawing>
      </w:r>
    </w:p>
    <w:p w:rsidR="0038615F" w:rsidRDefault="0038615F" w:rsidP="0038615F">
      <w:pPr>
        <w:spacing w:after="0"/>
        <w:jc w:val="both"/>
        <w:rPr>
          <w:u w:val="single"/>
        </w:rPr>
      </w:pPr>
    </w:p>
    <w:p w:rsidR="00C4025D" w:rsidRPr="00C4025D" w:rsidRDefault="001F5AE4" w:rsidP="00C4025D">
      <w:pPr>
        <w:pStyle w:val="ListParagraph"/>
        <w:numPr>
          <w:ilvl w:val="0"/>
          <w:numId w:val="4"/>
        </w:numPr>
        <w:spacing w:after="0"/>
        <w:ind w:left="0"/>
        <w:jc w:val="both"/>
      </w:pPr>
      <w:r>
        <w:rPr>
          <w:b/>
          <w:color w:val="17365D" w:themeColor="text2" w:themeShade="BF"/>
          <w:sz w:val="24"/>
        </w:rPr>
        <w:t>Análisis de volumen de acciones de Septiembre a Diciembre - Yahoo</w:t>
      </w:r>
    </w:p>
    <w:p w:rsidR="0038615F" w:rsidRDefault="0038615F" w:rsidP="0038615F">
      <w:pPr>
        <w:spacing w:after="0"/>
        <w:jc w:val="both"/>
      </w:pPr>
      <w:r w:rsidRPr="00C26E42">
        <w:rPr>
          <w:b/>
        </w:rPr>
        <w:t>Nombre gráfico:</w:t>
      </w:r>
      <w:r>
        <w:t xml:space="preserve"> </w:t>
      </w:r>
      <w:r w:rsidRPr="00417A2E">
        <w:t>BarColumn_StockVolume_Yahoo.html</w:t>
      </w:r>
    </w:p>
    <w:p w:rsidR="0038615F" w:rsidRPr="00C26E42" w:rsidRDefault="0038615F" w:rsidP="0038615F">
      <w:pPr>
        <w:spacing w:after="0"/>
        <w:jc w:val="both"/>
      </w:pPr>
      <w:r w:rsidRPr="00C26E42">
        <w:rPr>
          <w:b/>
        </w:rPr>
        <w:t>Fuente:</w:t>
      </w:r>
      <w:r>
        <w:t xml:space="preserve"> </w:t>
      </w:r>
      <w:r w:rsidRPr="00394535">
        <w:t>yahoo_volume.csv</w:t>
      </w:r>
    </w:p>
    <w:p w:rsidR="0038615F" w:rsidRDefault="0038615F" w:rsidP="0038615F">
      <w:pPr>
        <w:spacing w:after="0"/>
        <w:jc w:val="both"/>
      </w:pPr>
      <w:r w:rsidRPr="00C26E42">
        <w:rPr>
          <w:b/>
        </w:rPr>
        <w:t>Descripción:</w:t>
      </w:r>
      <w:r>
        <w:t xml:space="preserve"> El gráfico muestra </w:t>
      </w:r>
      <w:r w:rsidR="00604269">
        <w:t xml:space="preserve">del 2 de Septiembre de 2014 al 31 de Diciembre de 2014 </w:t>
      </w:r>
      <w:r>
        <w:t>el número de acciones vendidas-compradas durante cada mes.</w:t>
      </w:r>
    </w:p>
    <w:p w:rsidR="0038615F" w:rsidRPr="00745A04" w:rsidRDefault="0038615F" w:rsidP="0038615F">
      <w:pPr>
        <w:spacing w:after="0"/>
        <w:jc w:val="both"/>
      </w:pPr>
      <w:r>
        <w:rPr>
          <w:b/>
        </w:rPr>
        <w:t>Análisis:</w:t>
      </w:r>
      <w:r w:rsidR="00745A04">
        <w:rPr>
          <w:b/>
        </w:rPr>
        <w:t xml:space="preserve"> </w:t>
      </w:r>
      <w:r w:rsidR="004C616D">
        <w:t xml:space="preserve">A través del gráfico podemos observar un incremento exponencial de venta de acciones el día 19 de Septiembre de 2014, se vendieron más de 220 millones de acciones. </w:t>
      </w:r>
      <w:r w:rsidR="00AA1260">
        <w:t>Para comprende esté fenómeno se debe analizar la historia de Yahoo. En el 2005, Yahoo compra el 40 por ciento de las acciones de Alibaba y pagó 1 billón de dólares. El día 18 de Septiembre se anuncia oficialmente que Alibaba saldrá a la venta en el New York Stock Exchange el día 19 de Septiembre de 2014.</w:t>
      </w:r>
      <w:r w:rsidR="00EC235F">
        <w:t xml:space="preserve"> Yahoo anunció, además, que planeaba vender 121,7 millones de sus acciones, el equivalente al 4,9%. </w:t>
      </w:r>
    </w:p>
    <w:p w:rsidR="0038615F" w:rsidRDefault="0038615F" w:rsidP="0038615F">
      <w:pPr>
        <w:spacing w:after="0"/>
        <w:jc w:val="both"/>
        <w:rPr>
          <w:b/>
        </w:rPr>
      </w:pPr>
    </w:p>
    <w:p w:rsidR="0038615F" w:rsidRDefault="00604269" w:rsidP="00CD0063">
      <w:pPr>
        <w:spacing w:after="0"/>
        <w:jc w:val="both"/>
        <w:rPr>
          <w:u w:val="single"/>
        </w:rPr>
      </w:pPr>
      <w:r w:rsidRPr="00604269">
        <w:rPr>
          <w:noProof/>
          <w:lang w:eastAsia="es-AR"/>
        </w:rPr>
        <w:lastRenderedPageBreak/>
        <w:drawing>
          <wp:inline distT="0" distB="0" distL="0" distR="0" wp14:anchorId="111C6E51" wp14:editId="0AC0D91E">
            <wp:extent cx="5612130" cy="28200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Yaho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20035"/>
                    </a:xfrm>
                    <a:prstGeom prst="rect">
                      <a:avLst/>
                    </a:prstGeom>
                  </pic:spPr>
                </pic:pic>
              </a:graphicData>
            </a:graphic>
          </wp:inline>
        </w:drawing>
      </w:r>
    </w:p>
    <w:p w:rsidR="00F04CF0" w:rsidRDefault="00F04CF0" w:rsidP="00CD0063">
      <w:pPr>
        <w:spacing w:after="0"/>
        <w:jc w:val="both"/>
        <w:rPr>
          <w:u w:val="single"/>
        </w:rPr>
      </w:pPr>
    </w:p>
    <w:p w:rsidR="001F5AE4" w:rsidRPr="00C4025D" w:rsidRDefault="001F5AE4" w:rsidP="001F5AE4">
      <w:pPr>
        <w:pStyle w:val="ListParagraph"/>
        <w:numPr>
          <w:ilvl w:val="0"/>
          <w:numId w:val="4"/>
        </w:numPr>
        <w:spacing w:after="0"/>
        <w:ind w:left="0"/>
        <w:jc w:val="both"/>
      </w:pPr>
      <w:r>
        <w:rPr>
          <w:b/>
          <w:color w:val="17365D" w:themeColor="text2" w:themeShade="BF"/>
          <w:sz w:val="24"/>
        </w:rPr>
        <w:t>Análisis valor mínimo/máximo de Google</w:t>
      </w:r>
    </w:p>
    <w:p w:rsidR="00394535" w:rsidRDefault="00394535" w:rsidP="00CD0063">
      <w:pPr>
        <w:spacing w:after="0"/>
        <w:jc w:val="both"/>
      </w:pPr>
      <w:r w:rsidRPr="00C26E42">
        <w:rPr>
          <w:b/>
        </w:rPr>
        <w:t>Nombre gráfico:</w:t>
      </w:r>
      <w:r>
        <w:t xml:space="preserve"> </w:t>
      </w:r>
      <w:r w:rsidRPr="00C26E42">
        <w:t>LineChart_LowHighPrice_</w:t>
      </w:r>
      <w:r>
        <w:t>Google</w:t>
      </w:r>
      <w:r w:rsidRPr="00C26E42">
        <w:t>.html</w:t>
      </w:r>
    </w:p>
    <w:p w:rsidR="00394535" w:rsidRPr="00C26E42" w:rsidRDefault="00394535" w:rsidP="00CD0063">
      <w:pPr>
        <w:spacing w:after="0"/>
        <w:jc w:val="both"/>
      </w:pPr>
      <w:r w:rsidRPr="00C26E42">
        <w:rPr>
          <w:b/>
        </w:rPr>
        <w:t>Fuente:</w:t>
      </w:r>
      <w:r>
        <w:t xml:space="preserve"> google</w:t>
      </w:r>
      <w:r w:rsidRPr="00C26E42">
        <w:t>_lowhigh.csv</w:t>
      </w:r>
    </w:p>
    <w:p w:rsidR="00394535" w:rsidRDefault="00394535" w:rsidP="00CD0063">
      <w:pPr>
        <w:spacing w:after="0"/>
        <w:jc w:val="both"/>
      </w:pPr>
      <w:r w:rsidRPr="00C26E42">
        <w:rPr>
          <w:b/>
        </w:rPr>
        <w:t>Descripción:</w:t>
      </w:r>
      <w:r>
        <w:t xml:space="preserve"> El gráfico muestra del 1 de Mayo de 2014 al 30 de Abril de 2015 por mes el valor mínimo y máximo en cada día.</w:t>
      </w:r>
    </w:p>
    <w:p w:rsidR="00E329FF" w:rsidRPr="005E2B82" w:rsidRDefault="00E329FF" w:rsidP="00CD0063">
      <w:pPr>
        <w:spacing w:after="0"/>
        <w:jc w:val="both"/>
      </w:pPr>
      <w:r>
        <w:rPr>
          <w:b/>
        </w:rPr>
        <w:t>Análisis:</w:t>
      </w:r>
      <w:r w:rsidR="005E2B82">
        <w:t xml:space="preserve"> </w:t>
      </w:r>
      <w:r w:rsidR="001C2921">
        <w:t>A través del siguiente gráfico se puede analizar un atenuado decrecimiento de la acción desde mediados de Octubre 2014 hasta Febrero 2015. Para poder comprender el motivo de dicho decrecimiento se analizó la venta de acciones dese Octubre 2014 hasta Enero 2015.</w:t>
      </w:r>
    </w:p>
    <w:p w:rsidR="00E329FF" w:rsidRDefault="00E329FF" w:rsidP="00CD0063">
      <w:pPr>
        <w:spacing w:after="0"/>
        <w:jc w:val="both"/>
        <w:rPr>
          <w:b/>
        </w:rPr>
      </w:pPr>
    </w:p>
    <w:p w:rsidR="00E329FF" w:rsidRPr="00E329FF" w:rsidRDefault="005E2B82" w:rsidP="00CD0063">
      <w:pPr>
        <w:spacing w:after="0"/>
        <w:jc w:val="both"/>
        <w:rPr>
          <w:b/>
        </w:rPr>
      </w:pPr>
      <w:r>
        <w:rPr>
          <w:b/>
          <w:noProof/>
          <w:lang w:eastAsia="es-AR"/>
        </w:rPr>
        <w:drawing>
          <wp:inline distT="0" distB="0" distL="0" distR="0">
            <wp:extent cx="5612130" cy="295783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Google.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957830"/>
                    </a:xfrm>
                    <a:prstGeom prst="rect">
                      <a:avLst/>
                    </a:prstGeom>
                  </pic:spPr>
                </pic:pic>
              </a:graphicData>
            </a:graphic>
          </wp:inline>
        </w:drawing>
      </w:r>
    </w:p>
    <w:p w:rsidR="00417A2E" w:rsidRDefault="00417A2E" w:rsidP="00CD0063">
      <w:pPr>
        <w:spacing w:after="0"/>
        <w:jc w:val="both"/>
      </w:pPr>
    </w:p>
    <w:p w:rsidR="00031378" w:rsidRDefault="00031378" w:rsidP="00CD0063">
      <w:pPr>
        <w:spacing w:after="0"/>
        <w:jc w:val="both"/>
      </w:pPr>
    </w:p>
    <w:p w:rsidR="001F5AE4" w:rsidRPr="00C4025D" w:rsidRDefault="001F5AE4" w:rsidP="001F5AE4">
      <w:pPr>
        <w:pStyle w:val="ListParagraph"/>
        <w:numPr>
          <w:ilvl w:val="0"/>
          <w:numId w:val="4"/>
        </w:numPr>
        <w:spacing w:after="0"/>
        <w:ind w:left="0"/>
        <w:jc w:val="both"/>
      </w:pPr>
      <w:r>
        <w:rPr>
          <w:b/>
          <w:color w:val="17365D" w:themeColor="text2" w:themeShade="BF"/>
          <w:sz w:val="24"/>
        </w:rPr>
        <w:lastRenderedPageBreak/>
        <w:t xml:space="preserve">Análisis de volumen de acciones de </w:t>
      </w:r>
      <w:r w:rsidR="00C14B68">
        <w:rPr>
          <w:b/>
          <w:color w:val="17365D" w:themeColor="text2" w:themeShade="BF"/>
          <w:sz w:val="24"/>
        </w:rPr>
        <w:t>Octubre</w:t>
      </w:r>
      <w:r>
        <w:rPr>
          <w:b/>
          <w:color w:val="17365D" w:themeColor="text2" w:themeShade="BF"/>
          <w:sz w:val="24"/>
        </w:rPr>
        <w:t xml:space="preserve"> a </w:t>
      </w:r>
      <w:r w:rsidR="00C14B68">
        <w:rPr>
          <w:b/>
          <w:color w:val="17365D" w:themeColor="text2" w:themeShade="BF"/>
          <w:sz w:val="24"/>
        </w:rPr>
        <w:t>Enero</w:t>
      </w:r>
      <w:r>
        <w:rPr>
          <w:b/>
          <w:color w:val="17365D" w:themeColor="text2" w:themeShade="BF"/>
          <w:sz w:val="24"/>
        </w:rPr>
        <w:t xml:space="preserve"> - </w:t>
      </w:r>
      <w:r w:rsidR="00C14B68">
        <w:rPr>
          <w:b/>
          <w:color w:val="17365D" w:themeColor="text2" w:themeShade="BF"/>
          <w:sz w:val="24"/>
        </w:rPr>
        <w:t>Google</w:t>
      </w:r>
    </w:p>
    <w:p w:rsidR="00417A2E" w:rsidRDefault="00417A2E" w:rsidP="00CD0063">
      <w:pPr>
        <w:spacing w:after="0"/>
        <w:jc w:val="both"/>
      </w:pPr>
      <w:r w:rsidRPr="00C26E42">
        <w:rPr>
          <w:b/>
        </w:rPr>
        <w:t>Nombre gráfico:</w:t>
      </w:r>
      <w:r>
        <w:t xml:space="preserve"> </w:t>
      </w:r>
      <w:r w:rsidRPr="00417A2E">
        <w:t>BarColumn_StockVolume_</w:t>
      </w:r>
      <w:r>
        <w:t>Google</w:t>
      </w:r>
      <w:r w:rsidRPr="00417A2E">
        <w:t>.html</w:t>
      </w:r>
    </w:p>
    <w:p w:rsidR="00417A2E" w:rsidRPr="00C26E42" w:rsidRDefault="00417A2E" w:rsidP="00CD0063">
      <w:pPr>
        <w:spacing w:after="0"/>
        <w:jc w:val="both"/>
      </w:pPr>
      <w:r w:rsidRPr="00C26E42">
        <w:rPr>
          <w:b/>
        </w:rPr>
        <w:t>Fuente:</w:t>
      </w:r>
      <w:r>
        <w:t xml:space="preserve"> google</w:t>
      </w:r>
      <w:r w:rsidRPr="00394535">
        <w:t>_volume.csv</w:t>
      </w:r>
    </w:p>
    <w:p w:rsidR="00417A2E" w:rsidRDefault="00417A2E" w:rsidP="00CD0063">
      <w:pPr>
        <w:spacing w:after="0"/>
        <w:jc w:val="both"/>
      </w:pPr>
      <w:r w:rsidRPr="00C26E42">
        <w:rPr>
          <w:b/>
        </w:rPr>
        <w:t>Descripción:</w:t>
      </w:r>
      <w:r>
        <w:t xml:space="preserve"> El gráfico muestra del </w:t>
      </w:r>
      <w:r w:rsidR="00E051C6">
        <w:t>1 de Octubre de 2014 al 30 de Enero de 2015</w:t>
      </w:r>
      <w:r>
        <w:t xml:space="preserve"> el número de acc</w:t>
      </w:r>
      <w:r w:rsidR="00E051C6">
        <w:t>iones vendidas-compradas por día</w:t>
      </w:r>
      <w:r>
        <w:t>.</w:t>
      </w:r>
    </w:p>
    <w:p w:rsidR="00F04CF0" w:rsidRDefault="00F04CF0" w:rsidP="00CD0063">
      <w:pPr>
        <w:spacing w:after="0"/>
        <w:jc w:val="both"/>
      </w:pPr>
      <w:r>
        <w:rPr>
          <w:b/>
        </w:rPr>
        <w:t>Análisis:</w:t>
      </w:r>
      <w:r w:rsidR="00694781">
        <w:t xml:space="preserve"> </w:t>
      </w:r>
      <w:r w:rsidR="00CD20DC">
        <w:t>Se puede observar a través del gráfico un gran volumen de acciones vendidas el día 10 de Noviembre de 2014. Entre las noticias encontradas acerca de Google en dicha fecha:</w:t>
      </w:r>
    </w:p>
    <w:p w:rsidR="00CD20DC" w:rsidRDefault="00CD20DC" w:rsidP="00CD20DC">
      <w:pPr>
        <w:pStyle w:val="ListParagraph"/>
        <w:numPr>
          <w:ilvl w:val="0"/>
          <w:numId w:val="7"/>
        </w:numPr>
        <w:spacing w:after="0"/>
        <w:jc w:val="both"/>
      </w:pPr>
      <w:r>
        <w:t>10-11-2014: Google anuncia su campaña de lucha contra el Ebola, detallando que por cada dólar que den los usuarios, Google donará 2 dólares.</w:t>
      </w:r>
    </w:p>
    <w:p w:rsidR="00CD20DC" w:rsidRDefault="00CD20DC" w:rsidP="00CD20DC">
      <w:pPr>
        <w:pStyle w:val="ListParagraph"/>
        <w:numPr>
          <w:ilvl w:val="0"/>
          <w:numId w:val="7"/>
        </w:numPr>
        <w:spacing w:after="0"/>
        <w:jc w:val="both"/>
      </w:pPr>
      <w:r>
        <w:t>10-11-2014: Google anuncia que extenderá el contrato por el uso de “</w:t>
      </w:r>
      <w:r w:rsidRPr="00CD20DC">
        <w:t>Moffett Airfield</w:t>
      </w:r>
      <w:r>
        <w:t>” que pertenece a NASA por otros 60 años. Adicionalmente anunció que invertirá alrededor de 200 millones de dólares en el sitio.</w:t>
      </w:r>
    </w:p>
    <w:p w:rsidR="00CD20DC" w:rsidRDefault="00CD20DC" w:rsidP="00CD20DC">
      <w:pPr>
        <w:pStyle w:val="ListParagraph"/>
        <w:numPr>
          <w:ilvl w:val="0"/>
          <w:numId w:val="7"/>
        </w:numPr>
        <w:spacing w:after="0"/>
        <w:jc w:val="both"/>
      </w:pPr>
      <w:r>
        <w:t>11-11-2014: Lanzamiento del Nexus 6.</w:t>
      </w:r>
    </w:p>
    <w:p w:rsidR="006E232D" w:rsidRDefault="006E232D" w:rsidP="006E232D">
      <w:pPr>
        <w:spacing w:after="0"/>
        <w:jc w:val="both"/>
      </w:pPr>
      <w:r>
        <w:t>En el gráfico anterior, se puede observar que para principios de Noviembre el valor de la acción de Google subió.</w:t>
      </w:r>
    </w:p>
    <w:p w:rsidR="006E232D" w:rsidRPr="00694781" w:rsidRDefault="006E232D" w:rsidP="006E232D">
      <w:pPr>
        <w:spacing w:after="0"/>
        <w:jc w:val="both"/>
      </w:pPr>
      <w:r>
        <w:t xml:space="preserve">Se buscaron noticias relacionadas al período de Enero 2015 que denota el mayor decrecimiento del valor de la acción. No se encontraron noticias relevantes de acuerdo a Google, sin ninguna investigación o </w:t>
      </w:r>
      <w:r w:rsidR="00D22B78">
        <w:t>dato de relevancia (fuente:</w:t>
      </w:r>
      <w:r w:rsidR="00AC7EE2">
        <w:t xml:space="preserve"> </w:t>
      </w:r>
      <w:hyperlink r:id="rId16" w:history="1">
        <w:r w:rsidR="00D22B78" w:rsidRPr="00115CFD">
          <w:rPr>
            <w:rStyle w:val="Hyperlink"/>
          </w:rPr>
          <w:t>http://googleblog.blogspot.com.ar/</w:t>
        </w:r>
      </w:hyperlink>
      <w:r w:rsidR="00D22B78">
        <w:t>). Recién a mediados de Enero 2015, Google anuncia campos en la aplicación Google Translate que permite poder traducir carteles o imágenes</w:t>
      </w:r>
      <w:r w:rsidR="00381EA6">
        <w:t xml:space="preserve"> a cualquier idioma</w:t>
      </w:r>
      <w:r w:rsidR="00D22B78">
        <w:t xml:space="preserve"> que uno desee.</w:t>
      </w:r>
    </w:p>
    <w:p w:rsidR="00F04CF0" w:rsidRDefault="00F04CF0" w:rsidP="00CD0063">
      <w:pPr>
        <w:spacing w:after="0"/>
        <w:jc w:val="both"/>
        <w:rPr>
          <w:b/>
        </w:rPr>
      </w:pPr>
    </w:p>
    <w:p w:rsidR="00F04CF0" w:rsidRPr="00F04CF0" w:rsidRDefault="005E2B82" w:rsidP="00CD0063">
      <w:pPr>
        <w:spacing w:after="0"/>
        <w:jc w:val="both"/>
        <w:rPr>
          <w:b/>
        </w:rPr>
      </w:pPr>
      <w:r>
        <w:rPr>
          <w:b/>
          <w:noProof/>
          <w:lang w:eastAsia="es-AR"/>
        </w:rPr>
        <w:drawing>
          <wp:inline distT="0" distB="0" distL="0" distR="0">
            <wp:extent cx="5612130" cy="2834005"/>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Googl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rsidR="006F0D96" w:rsidRDefault="006F0D96" w:rsidP="00CD0063">
      <w:pPr>
        <w:spacing w:after="0"/>
        <w:jc w:val="both"/>
      </w:pPr>
    </w:p>
    <w:p w:rsidR="00C4025D" w:rsidRPr="00C4025D" w:rsidRDefault="00C4025D" w:rsidP="00C4025D">
      <w:pPr>
        <w:pStyle w:val="ListParagraph"/>
        <w:numPr>
          <w:ilvl w:val="0"/>
          <w:numId w:val="4"/>
        </w:numPr>
        <w:spacing w:after="0"/>
        <w:ind w:left="0"/>
        <w:jc w:val="both"/>
      </w:pPr>
      <w:r w:rsidRPr="00C4025D">
        <w:rPr>
          <w:b/>
          <w:color w:val="17365D" w:themeColor="text2" w:themeShade="BF"/>
          <w:sz w:val="24"/>
        </w:rPr>
        <w:t>Comparación de los valores de acción de cierre de Yahoo y Google</w:t>
      </w:r>
    </w:p>
    <w:p w:rsidR="007B7E67" w:rsidRDefault="006F0D96" w:rsidP="00CD0063">
      <w:pPr>
        <w:spacing w:after="0"/>
        <w:jc w:val="both"/>
      </w:pPr>
      <w:r w:rsidRPr="00C26E42">
        <w:rPr>
          <w:b/>
        </w:rPr>
        <w:t>Nombre gráfico:</w:t>
      </w:r>
      <w:r>
        <w:t xml:space="preserve"> </w:t>
      </w:r>
      <w:r w:rsidR="007B7E67" w:rsidRPr="007B7E67">
        <w:t>GroupedBars_Benford_Yahoo.html</w:t>
      </w:r>
    </w:p>
    <w:p w:rsidR="006F0D96" w:rsidRDefault="006F0D96" w:rsidP="00CD0063">
      <w:pPr>
        <w:spacing w:after="0"/>
        <w:jc w:val="both"/>
      </w:pPr>
      <w:r w:rsidRPr="00C26E42">
        <w:rPr>
          <w:b/>
        </w:rPr>
        <w:t>Fuente:</w:t>
      </w:r>
      <w:r>
        <w:t xml:space="preserve"> </w:t>
      </w:r>
      <w:r w:rsidR="007B7E67" w:rsidRPr="007B7E67">
        <w:t>yahoo_benfordlaw.csv</w:t>
      </w:r>
    </w:p>
    <w:p w:rsidR="00105F9B" w:rsidRDefault="00105F9B" w:rsidP="00CD0063">
      <w:pPr>
        <w:spacing w:after="0"/>
        <w:jc w:val="both"/>
      </w:pPr>
      <w:r>
        <w:rPr>
          <w:b/>
        </w:rPr>
        <w:t>Explicación de la Ley de Benford:</w:t>
      </w:r>
      <w:r>
        <w:t xml:space="preserve"> La ley de Benford representa el análisis del primer dígito de cualquier conjunto de números que fueron formados de forma natural. La ley asegura que el </w:t>
      </w:r>
      <w:r>
        <w:lastRenderedPageBreak/>
        <w:t xml:space="preserve">primer dígito “1” aparece con mayor frecuencia que el resto de los dígitos. Esto significa que en una serie de datos, es más probable que los números comiencen con el digito 1 que con el digito 9. </w:t>
      </w:r>
    </w:p>
    <w:p w:rsidR="00105F9B" w:rsidRDefault="00105F9B" w:rsidP="00CD0063">
      <w:pPr>
        <w:spacing w:after="0"/>
        <w:jc w:val="both"/>
      </w:pPr>
      <w:r>
        <w:t>La siguiente tabla representa la probabilidad de la aparición de cada digito:</w:t>
      </w:r>
    </w:p>
    <w:p w:rsidR="00885384" w:rsidRDefault="00885384" w:rsidP="00CD0063">
      <w:pPr>
        <w:spacing w:after="0"/>
        <w:jc w:val="both"/>
      </w:pPr>
    </w:p>
    <w:tbl>
      <w:tblPr>
        <w:tblStyle w:val="TableGrid"/>
        <w:tblW w:w="0" w:type="auto"/>
        <w:tblInd w:w="108" w:type="dxa"/>
        <w:tblLook w:val="04A0" w:firstRow="1" w:lastRow="0" w:firstColumn="1" w:lastColumn="0" w:noHBand="0" w:noVBand="1"/>
      </w:tblPr>
      <w:tblGrid>
        <w:gridCol w:w="1526"/>
        <w:gridCol w:w="1559"/>
      </w:tblGrid>
      <w:tr w:rsidR="00105F9B" w:rsidRPr="00105F9B" w:rsidTr="00105F9B">
        <w:tc>
          <w:tcPr>
            <w:tcW w:w="1526" w:type="dxa"/>
          </w:tcPr>
          <w:p w:rsidR="00105F9B" w:rsidRPr="00105F9B" w:rsidRDefault="00105F9B" w:rsidP="00105F9B">
            <w:pPr>
              <w:jc w:val="center"/>
              <w:rPr>
                <w:sz w:val="20"/>
                <w:szCs w:val="20"/>
              </w:rPr>
            </w:pPr>
            <w:r w:rsidRPr="00105F9B">
              <w:rPr>
                <w:sz w:val="20"/>
                <w:szCs w:val="20"/>
              </w:rPr>
              <w:t>Digito</w:t>
            </w:r>
          </w:p>
        </w:tc>
        <w:tc>
          <w:tcPr>
            <w:tcW w:w="1559" w:type="dxa"/>
          </w:tcPr>
          <w:p w:rsidR="00105F9B" w:rsidRPr="00105F9B" w:rsidRDefault="00105F9B" w:rsidP="00105F9B">
            <w:pPr>
              <w:jc w:val="center"/>
              <w:rPr>
                <w:sz w:val="20"/>
                <w:szCs w:val="20"/>
              </w:rPr>
            </w:pPr>
            <w:r w:rsidRPr="00105F9B">
              <w:rPr>
                <w:sz w:val="20"/>
                <w:szCs w:val="20"/>
              </w:rPr>
              <w:t>Probabilidad</w:t>
            </w:r>
          </w:p>
        </w:tc>
      </w:tr>
      <w:tr w:rsidR="00105F9B" w:rsidRPr="00105F9B" w:rsidTr="00105F9B">
        <w:tc>
          <w:tcPr>
            <w:tcW w:w="1526" w:type="dxa"/>
          </w:tcPr>
          <w:p w:rsidR="00105F9B" w:rsidRPr="00105F9B" w:rsidRDefault="00105F9B" w:rsidP="00105F9B">
            <w:pPr>
              <w:jc w:val="center"/>
              <w:rPr>
                <w:sz w:val="20"/>
                <w:szCs w:val="20"/>
              </w:rPr>
            </w:pPr>
            <w:r>
              <w:rPr>
                <w:sz w:val="20"/>
                <w:szCs w:val="20"/>
              </w:rPr>
              <w:t>1</w:t>
            </w:r>
          </w:p>
        </w:tc>
        <w:tc>
          <w:tcPr>
            <w:tcW w:w="1559" w:type="dxa"/>
          </w:tcPr>
          <w:p w:rsidR="00105F9B" w:rsidRPr="00105F9B" w:rsidRDefault="00105F9B" w:rsidP="00105F9B">
            <w:pPr>
              <w:jc w:val="center"/>
              <w:rPr>
                <w:sz w:val="20"/>
                <w:szCs w:val="20"/>
              </w:rPr>
            </w:pPr>
            <w:r>
              <w:rPr>
                <w:sz w:val="20"/>
                <w:szCs w:val="20"/>
              </w:rPr>
              <w:t>30,1%</w:t>
            </w:r>
          </w:p>
        </w:tc>
      </w:tr>
      <w:tr w:rsidR="00105F9B" w:rsidRPr="00105F9B" w:rsidTr="00105F9B">
        <w:tc>
          <w:tcPr>
            <w:tcW w:w="1526" w:type="dxa"/>
          </w:tcPr>
          <w:p w:rsidR="00105F9B" w:rsidRPr="00105F9B" w:rsidRDefault="00105F9B" w:rsidP="00105F9B">
            <w:pPr>
              <w:jc w:val="center"/>
              <w:rPr>
                <w:sz w:val="20"/>
                <w:szCs w:val="20"/>
              </w:rPr>
            </w:pPr>
            <w:r>
              <w:rPr>
                <w:sz w:val="20"/>
                <w:szCs w:val="20"/>
              </w:rPr>
              <w:t>2</w:t>
            </w:r>
          </w:p>
        </w:tc>
        <w:tc>
          <w:tcPr>
            <w:tcW w:w="1559" w:type="dxa"/>
          </w:tcPr>
          <w:p w:rsidR="00105F9B" w:rsidRPr="00105F9B" w:rsidRDefault="00105F9B" w:rsidP="00105F9B">
            <w:pPr>
              <w:jc w:val="center"/>
              <w:rPr>
                <w:sz w:val="20"/>
                <w:szCs w:val="20"/>
              </w:rPr>
            </w:pPr>
            <w:r>
              <w:rPr>
                <w:sz w:val="20"/>
                <w:szCs w:val="20"/>
              </w:rPr>
              <w:t>17,6%</w:t>
            </w:r>
          </w:p>
        </w:tc>
      </w:tr>
      <w:tr w:rsidR="00105F9B" w:rsidRPr="00105F9B" w:rsidTr="00105F9B">
        <w:tc>
          <w:tcPr>
            <w:tcW w:w="1526" w:type="dxa"/>
          </w:tcPr>
          <w:p w:rsidR="00105F9B" w:rsidRPr="00105F9B" w:rsidRDefault="00105F9B" w:rsidP="00105F9B">
            <w:pPr>
              <w:jc w:val="center"/>
              <w:rPr>
                <w:sz w:val="20"/>
                <w:szCs w:val="20"/>
              </w:rPr>
            </w:pPr>
            <w:r>
              <w:rPr>
                <w:sz w:val="20"/>
                <w:szCs w:val="20"/>
              </w:rPr>
              <w:t>3</w:t>
            </w:r>
          </w:p>
        </w:tc>
        <w:tc>
          <w:tcPr>
            <w:tcW w:w="1559" w:type="dxa"/>
          </w:tcPr>
          <w:p w:rsidR="00105F9B" w:rsidRPr="00105F9B" w:rsidRDefault="00105F9B" w:rsidP="00105F9B">
            <w:pPr>
              <w:jc w:val="center"/>
              <w:rPr>
                <w:sz w:val="20"/>
                <w:szCs w:val="20"/>
              </w:rPr>
            </w:pPr>
            <w:r>
              <w:rPr>
                <w:sz w:val="20"/>
                <w:szCs w:val="20"/>
              </w:rPr>
              <w:t>12,5%</w:t>
            </w:r>
          </w:p>
        </w:tc>
      </w:tr>
      <w:tr w:rsidR="00105F9B" w:rsidRPr="00105F9B" w:rsidTr="00105F9B">
        <w:tc>
          <w:tcPr>
            <w:tcW w:w="1526" w:type="dxa"/>
          </w:tcPr>
          <w:p w:rsidR="00105F9B" w:rsidRPr="00105F9B" w:rsidRDefault="00105F9B" w:rsidP="00105F9B">
            <w:pPr>
              <w:jc w:val="center"/>
              <w:rPr>
                <w:sz w:val="20"/>
                <w:szCs w:val="20"/>
              </w:rPr>
            </w:pPr>
            <w:r>
              <w:rPr>
                <w:sz w:val="20"/>
                <w:szCs w:val="20"/>
              </w:rPr>
              <w:t>4</w:t>
            </w:r>
          </w:p>
        </w:tc>
        <w:tc>
          <w:tcPr>
            <w:tcW w:w="1559" w:type="dxa"/>
          </w:tcPr>
          <w:p w:rsidR="00105F9B" w:rsidRPr="00105F9B" w:rsidRDefault="00105F9B" w:rsidP="00105F9B">
            <w:pPr>
              <w:jc w:val="center"/>
              <w:rPr>
                <w:sz w:val="20"/>
                <w:szCs w:val="20"/>
              </w:rPr>
            </w:pPr>
            <w:r>
              <w:rPr>
                <w:sz w:val="20"/>
                <w:szCs w:val="20"/>
              </w:rPr>
              <w:t>9,7%</w:t>
            </w:r>
          </w:p>
        </w:tc>
      </w:tr>
      <w:tr w:rsidR="00105F9B" w:rsidRPr="00105F9B" w:rsidTr="00105F9B">
        <w:tc>
          <w:tcPr>
            <w:tcW w:w="1526" w:type="dxa"/>
          </w:tcPr>
          <w:p w:rsidR="00105F9B" w:rsidRPr="00105F9B" w:rsidRDefault="00105F9B" w:rsidP="00105F9B">
            <w:pPr>
              <w:jc w:val="center"/>
              <w:rPr>
                <w:sz w:val="20"/>
                <w:szCs w:val="20"/>
              </w:rPr>
            </w:pPr>
            <w:r>
              <w:rPr>
                <w:sz w:val="20"/>
                <w:szCs w:val="20"/>
              </w:rPr>
              <w:t>5</w:t>
            </w:r>
          </w:p>
        </w:tc>
        <w:tc>
          <w:tcPr>
            <w:tcW w:w="1559" w:type="dxa"/>
          </w:tcPr>
          <w:p w:rsidR="00105F9B" w:rsidRPr="00105F9B" w:rsidRDefault="00105F9B" w:rsidP="00105F9B">
            <w:pPr>
              <w:jc w:val="center"/>
              <w:rPr>
                <w:sz w:val="20"/>
                <w:szCs w:val="20"/>
              </w:rPr>
            </w:pPr>
            <w:r>
              <w:rPr>
                <w:sz w:val="20"/>
                <w:szCs w:val="20"/>
              </w:rPr>
              <w:t>7,9%</w:t>
            </w:r>
          </w:p>
        </w:tc>
      </w:tr>
      <w:tr w:rsidR="00105F9B" w:rsidRPr="00105F9B" w:rsidTr="00105F9B">
        <w:tc>
          <w:tcPr>
            <w:tcW w:w="1526" w:type="dxa"/>
          </w:tcPr>
          <w:p w:rsidR="00105F9B" w:rsidRPr="00105F9B" w:rsidRDefault="00105F9B" w:rsidP="00105F9B">
            <w:pPr>
              <w:jc w:val="center"/>
              <w:rPr>
                <w:sz w:val="20"/>
                <w:szCs w:val="20"/>
              </w:rPr>
            </w:pPr>
            <w:r>
              <w:rPr>
                <w:sz w:val="20"/>
                <w:szCs w:val="20"/>
              </w:rPr>
              <w:t>6</w:t>
            </w:r>
          </w:p>
        </w:tc>
        <w:tc>
          <w:tcPr>
            <w:tcW w:w="1559" w:type="dxa"/>
          </w:tcPr>
          <w:p w:rsidR="00105F9B" w:rsidRPr="00105F9B" w:rsidRDefault="00105F9B" w:rsidP="00105F9B">
            <w:pPr>
              <w:jc w:val="center"/>
              <w:rPr>
                <w:sz w:val="20"/>
                <w:szCs w:val="20"/>
              </w:rPr>
            </w:pPr>
            <w:r>
              <w:rPr>
                <w:sz w:val="20"/>
                <w:szCs w:val="20"/>
              </w:rPr>
              <w:t>6,7%</w:t>
            </w:r>
          </w:p>
        </w:tc>
      </w:tr>
      <w:tr w:rsidR="00105F9B" w:rsidRPr="00105F9B" w:rsidTr="00105F9B">
        <w:tc>
          <w:tcPr>
            <w:tcW w:w="1526" w:type="dxa"/>
          </w:tcPr>
          <w:p w:rsidR="00105F9B" w:rsidRPr="00105F9B" w:rsidRDefault="00105F9B" w:rsidP="00105F9B">
            <w:pPr>
              <w:jc w:val="center"/>
              <w:rPr>
                <w:sz w:val="20"/>
                <w:szCs w:val="20"/>
              </w:rPr>
            </w:pPr>
            <w:r>
              <w:rPr>
                <w:sz w:val="20"/>
                <w:szCs w:val="20"/>
              </w:rPr>
              <w:t>7</w:t>
            </w:r>
          </w:p>
        </w:tc>
        <w:tc>
          <w:tcPr>
            <w:tcW w:w="1559" w:type="dxa"/>
          </w:tcPr>
          <w:p w:rsidR="00105F9B" w:rsidRPr="00105F9B" w:rsidRDefault="00105F9B" w:rsidP="00105F9B">
            <w:pPr>
              <w:jc w:val="center"/>
              <w:rPr>
                <w:sz w:val="20"/>
                <w:szCs w:val="20"/>
              </w:rPr>
            </w:pPr>
            <w:r>
              <w:rPr>
                <w:sz w:val="20"/>
                <w:szCs w:val="20"/>
              </w:rPr>
              <w:t>5,8%</w:t>
            </w:r>
          </w:p>
        </w:tc>
      </w:tr>
      <w:tr w:rsidR="00105F9B" w:rsidRPr="00105F9B" w:rsidTr="00105F9B">
        <w:tc>
          <w:tcPr>
            <w:tcW w:w="1526" w:type="dxa"/>
          </w:tcPr>
          <w:p w:rsidR="00105F9B" w:rsidRPr="00105F9B" w:rsidRDefault="00105F9B" w:rsidP="00105F9B">
            <w:pPr>
              <w:jc w:val="center"/>
              <w:rPr>
                <w:sz w:val="20"/>
                <w:szCs w:val="20"/>
              </w:rPr>
            </w:pPr>
            <w:r>
              <w:rPr>
                <w:sz w:val="20"/>
                <w:szCs w:val="20"/>
              </w:rPr>
              <w:t>8</w:t>
            </w:r>
          </w:p>
        </w:tc>
        <w:tc>
          <w:tcPr>
            <w:tcW w:w="1559" w:type="dxa"/>
          </w:tcPr>
          <w:p w:rsidR="00105F9B" w:rsidRPr="00105F9B" w:rsidRDefault="00105F9B" w:rsidP="00105F9B">
            <w:pPr>
              <w:jc w:val="center"/>
              <w:rPr>
                <w:sz w:val="20"/>
                <w:szCs w:val="20"/>
              </w:rPr>
            </w:pPr>
            <w:r>
              <w:rPr>
                <w:sz w:val="20"/>
                <w:szCs w:val="20"/>
              </w:rPr>
              <w:t>5,1%</w:t>
            </w:r>
          </w:p>
        </w:tc>
      </w:tr>
      <w:tr w:rsidR="00105F9B" w:rsidRPr="00105F9B" w:rsidTr="00105F9B">
        <w:tc>
          <w:tcPr>
            <w:tcW w:w="1526" w:type="dxa"/>
          </w:tcPr>
          <w:p w:rsidR="00105F9B" w:rsidRPr="00105F9B" w:rsidRDefault="00105F9B" w:rsidP="00105F9B">
            <w:pPr>
              <w:jc w:val="center"/>
              <w:rPr>
                <w:sz w:val="20"/>
                <w:szCs w:val="20"/>
              </w:rPr>
            </w:pPr>
            <w:r>
              <w:rPr>
                <w:sz w:val="20"/>
                <w:szCs w:val="20"/>
              </w:rPr>
              <w:t>9</w:t>
            </w:r>
          </w:p>
        </w:tc>
        <w:tc>
          <w:tcPr>
            <w:tcW w:w="1559" w:type="dxa"/>
          </w:tcPr>
          <w:p w:rsidR="00105F9B" w:rsidRPr="00105F9B" w:rsidRDefault="00105F9B" w:rsidP="00105F9B">
            <w:pPr>
              <w:jc w:val="center"/>
              <w:rPr>
                <w:sz w:val="20"/>
                <w:szCs w:val="20"/>
              </w:rPr>
            </w:pPr>
            <w:r>
              <w:rPr>
                <w:sz w:val="20"/>
                <w:szCs w:val="20"/>
              </w:rPr>
              <w:t>4,6%</w:t>
            </w:r>
          </w:p>
        </w:tc>
      </w:tr>
    </w:tbl>
    <w:p w:rsidR="00885384" w:rsidRDefault="00885384" w:rsidP="00CD0063">
      <w:pPr>
        <w:spacing w:after="0"/>
        <w:jc w:val="both"/>
      </w:pPr>
    </w:p>
    <w:p w:rsidR="00105F9B" w:rsidRPr="00105F9B" w:rsidRDefault="00105F9B" w:rsidP="00CD0063">
      <w:pPr>
        <w:spacing w:after="0"/>
        <w:jc w:val="both"/>
      </w:pPr>
      <w:r>
        <w:t xml:space="preserve">Dicha información representa que en un conjunto de datos el 30,1% de los números comenzará con el digito 1 y así sucesivamente. Este análisis se utiliza para </w:t>
      </w:r>
      <w:r w:rsidR="008C6546">
        <w:t>verificar si los números no fueron creados de forma natural, es decir, que fueron modificados. Esta prueba es una típica prueba para el área de fraudes para comprobar que los datos no fueron “tocados” por los empleados en la compañía.</w:t>
      </w:r>
    </w:p>
    <w:p w:rsidR="006F0D96" w:rsidRDefault="006F0D96" w:rsidP="00CD0063">
      <w:pPr>
        <w:spacing w:after="0"/>
        <w:jc w:val="both"/>
      </w:pPr>
      <w:r w:rsidRPr="00C26E42">
        <w:rPr>
          <w:b/>
        </w:rPr>
        <w:t>Descripción:</w:t>
      </w:r>
      <w:r>
        <w:t xml:space="preserve"> </w:t>
      </w:r>
      <w:r w:rsidR="00E50174">
        <w:t>Utilizamos la Ley de Benford para determinar que el valor de las acciones no fueron manipulados</w:t>
      </w:r>
      <w:r>
        <w:t>.</w:t>
      </w:r>
      <w:r w:rsidR="00E50174">
        <w:t xml:space="preserve"> Tenemos dos valores, por un lado el Benford Rate que es el porcentaje anteriormente expuesto, y el Sample Rate que es el porcentaje de veces que aparece cada digito en la base. En este caso tomamos como base para aplicar el análisis los valores de la acción de Yahoo desde 1996 hasta 2015. </w:t>
      </w:r>
    </w:p>
    <w:p w:rsidR="006637F7" w:rsidRDefault="006637F7" w:rsidP="00CD0063">
      <w:pPr>
        <w:spacing w:after="0"/>
        <w:jc w:val="both"/>
      </w:pPr>
      <w:r w:rsidRPr="00BC6136">
        <w:rPr>
          <w:b/>
        </w:rPr>
        <w:t>Análisis:</w:t>
      </w:r>
      <w:r w:rsidR="00BC6136">
        <w:t xml:space="preserve"> </w:t>
      </w:r>
      <w:r w:rsidR="002D1298">
        <w:t>A partir de dicho análisis obtuvimos que el digito 1 y el digito 3</w:t>
      </w:r>
      <w:r w:rsidR="0031590A">
        <w:t>,</w:t>
      </w:r>
      <w:r w:rsidR="002D1298">
        <w:t xml:space="preserve"> el porcentaje del Sample Rate supera con creces al Benford Rate.</w:t>
      </w:r>
      <w:r w:rsidR="0067257A">
        <w:t xml:space="preserve"> </w:t>
      </w:r>
    </w:p>
    <w:p w:rsidR="007A2F96" w:rsidRDefault="007A2F96" w:rsidP="00CD0063">
      <w:pPr>
        <w:spacing w:after="0"/>
        <w:jc w:val="both"/>
      </w:pPr>
    </w:p>
    <w:p w:rsidR="00636FE3" w:rsidRDefault="005E2B82" w:rsidP="00CD0063">
      <w:pPr>
        <w:spacing w:after="0"/>
        <w:jc w:val="both"/>
      </w:pPr>
      <w:r>
        <w:rPr>
          <w:noProof/>
          <w:lang w:eastAsia="es-AR"/>
        </w:rPr>
        <w:drawing>
          <wp:inline distT="0" distB="0" distL="0" distR="0">
            <wp:extent cx="5612130" cy="2884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ford_Yaho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884805"/>
                    </a:xfrm>
                    <a:prstGeom prst="rect">
                      <a:avLst/>
                    </a:prstGeom>
                  </pic:spPr>
                </pic:pic>
              </a:graphicData>
            </a:graphic>
          </wp:inline>
        </w:drawing>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Predicción del valor de la acción</w:t>
      </w:r>
    </w:p>
    <w:p w:rsidR="00F94E44" w:rsidRPr="00F94E44" w:rsidRDefault="00F94E44" w:rsidP="00F94E44">
      <w:r w:rsidRPr="00F94E44">
        <w:rPr>
          <w:highlight w:val="yellow"/>
        </w:rPr>
        <w:t>VER si lo hago o pongo algo</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Conclusión</w:t>
      </w:r>
    </w:p>
    <w:p w:rsidR="008114D8" w:rsidRDefault="008114D8" w:rsidP="008114D8">
      <w:pPr>
        <w:spacing w:after="0"/>
      </w:pPr>
      <w:r>
        <w:t>Puntos a desarrollar:</w:t>
      </w:r>
    </w:p>
    <w:p w:rsidR="008114D8" w:rsidRDefault="008114D8" w:rsidP="008114D8">
      <w:pPr>
        <w:pStyle w:val="ListParagraph"/>
        <w:numPr>
          <w:ilvl w:val="0"/>
          <w:numId w:val="8"/>
        </w:numPr>
        <w:spacing w:after="0"/>
      </w:pPr>
      <w:r>
        <w:t>La decisión de una empresa influencia directamente sobre el valor de la acción.</w:t>
      </w:r>
    </w:p>
    <w:p w:rsidR="008114D8" w:rsidRDefault="008114D8" w:rsidP="008114D8">
      <w:pPr>
        <w:pStyle w:val="ListParagraph"/>
        <w:numPr>
          <w:ilvl w:val="0"/>
          <w:numId w:val="8"/>
        </w:numPr>
        <w:spacing w:after="0"/>
      </w:pPr>
      <w:r>
        <w:t>El valor de la acción marca la confianza o no del mercado en la compañía.</w:t>
      </w:r>
    </w:p>
    <w:p w:rsidR="003509E5" w:rsidRDefault="003509E5" w:rsidP="003509E5">
      <w:pPr>
        <w:spacing w:after="0"/>
        <w:ind w:firstLine="360"/>
      </w:pPr>
      <w:r>
        <w:t xml:space="preserve">Ejemplos: </w:t>
      </w:r>
    </w:p>
    <w:p w:rsidR="003509E5" w:rsidRDefault="003509E5" w:rsidP="003509E5">
      <w:pPr>
        <w:pStyle w:val="ListParagraph"/>
        <w:numPr>
          <w:ilvl w:val="1"/>
          <w:numId w:val="8"/>
        </w:numPr>
        <w:spacing w:after="0"/>
      </w:pPr>
      <w:r>
        <w:t>Yahoo perdió mucho la confianza de las personas luego del 2006, que tuvo más de 6 CEO’s en poco tiempo</w:t>
      </w:r>
    </w:p>
    <w:p w:rsidR="003509E5" w:rsidRDefault="003509E5" w:rsidP="003509E5">
      <w:pPr>
        <w:pStyle w:val="ListParagraph"/>
        <w:numPr>
          <w:ilvl w:val="1"/>
          <w:numId w:val="8"/>
        </w:numPr>
        <w:spacing w:after="0"/>
      </w:pPr>
      <w:r>
        <w:t>Marissa Mayer (el mercado determinó que le gusto el CEO) y el valor de la acción incremento</w:t>
      </w:r>
    </w:p>
    <w:p w:rsidR="0027475A" w:rsidRPr="00595837" w:rsidRDefault="007A2F96" w:rsidP="00595837">
      <w:pPr>
        <w:pStyle w:val="ListParagraph"/>
        <w:numPr>
          <w:ilvl w:val="0"/>
          <w:numId w:val="8"/>
        </w:numPr>
        <w:spacing w:after="0"/>
      </w:pPr>
      <w:r>
        <w:t>Se identificó que hubo una manipulación en el precio de la acción de yahoo (</w:t>
      </w:r>
      <w:r w:rsidRPr="007A2F96">
        <w:rPr>
          <w:highlight w:val="yellow"/>
        </w:rPr>
        <w:t>Próximo análisis: en qué día de la semana es más común que el valor de la acción comience con el digito 1 y/o 3 y en qué meses se da más esté patrón</w:t>
      </w:r>
      <w:r>
        <w:t>)</w:t>
      </w:r>
      <w:r w:rsidR="00AC7EE2">
        <w:t>.</w:t>
      </w:r>
      <w:bookmarkStart w:id="0" w:name="_GoBack"/>
      <w:bookmarkEnd w:id="0"/>
    </w:p>
    <w:sectPr w:rsidR="0027475A" w:rsidRPr="00595837" w:rsidSect="001B6A9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F04" w:rsidRDefault="006B6F04" w:rsidP="00CA70B7">
      <w:pPr>
        <w:spacing w:after="0" w:line="240" w:lineRule="auto"/>
      </w:pPr>
      <w:r>
        <w:separator/>
      </w:r>
    </w:p>
  </w:endnote>
  <w:endnote w:type="continuationSeparator" w:id="0">
    <w:p w:rsidR="006B6F04" w:rsidRDefault="006B6F04" w:rsidP="00C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613871"/>
      <w:docPartObj>
        <w:docPartGallery w:val="Page Numbers (Bottom of Page)"/>
        <w:docPartUnique/>
      </w:docPartObj>
    </w:sdtPr>
    <w:sdtEndPr>
      <w:rPr>
        <w:noProof/>
      </w:rPr>
    </w:sdtEndPr>
    <w:sdtContent>
      <w:p w:rsidR="00D23DDB" w:rsidRDefault="00D23DDB">
        <w:pPr>
          <w:pStyle w:val="Footer"/>
          <w:jc w:val="right"/>
        </w:pPr>
        <w:r>
          <w:fldChar w:fldCharType="begin"/>
        </w:r>
        <w:r>
          <w:instrText xml:space="preserve"> PAGE   \* MERGEFORMAT </w:instrText>
        </w:r>
        <w:r>
          <w:fldChar w:fldCharType="separate"/>
        </w:r>
        <w:r w:rsidR="00595837">
          <w:rPr>
            <w:noProof/>
          </w:rPr>
          <w:t>12</w:t>
        </w:r>
        <w:r>
          <w:rPr>
            <w:noProof/>
          </w:rPr>
          <w:fldChar w:fldCharType="end"/>
        </w:r>
      </w:p>
    </w:sdtContent>
  </w:sdt>
  <w:p w:rsidR="00D23DDB" w:rsidRDefault="00D23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F04" w:rsidRDefault="006B6F04" w:rsidP="00CA70B7">
      <w:pPr>
        <w:spacing w:after="0" w:line="240" w:lineRule="auto"/>
      </w:pPr>
      <w:r>
        <w:separator/>
      </w:r>
    </w:p>
  </w:footnote>
  <w:footnote w:type="continuationSeparator" w:id="0">
    <w:p w:rsidR="006B6F04" w:rsidRDefault="006B6F04" w:rsidP="00CA7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EE" w:rsidRDefault="003D3EEE">
    <w:pPr>
      <w:pStyle w:val="Header"/>
    </w:pPr>
    <w:r>
      <w:rPr>
        <w:noProof/>
        <w:lang w:eastAsia="es-AR"/>
      </w:rPr>
      <mc:AlternateContent>
        <mc:Choice Requires="wps">
          <w:drawing>
            <wp:anchor distT="0" distB="0" distL="114300" distR="114300" simplePos="0" relativeHeight="251659264" behindDoc="0" locked="0" layoutInCell="1" allowOverlap="1" wp14:anchorId="46A7F0BE" wp14:editId="33CB8590">
              <wp:simplePos x="0" y="0"/>
              <wp:positionH relativeFrom="column">
                <wp:posOffset>1249597</wp:posOffset>
              </wp:positionH>
              <wp:positionV relativeFrom="paragraph">
                <wp:posOffset>43401</wp:posOffset>
              </wp:positionV>
              <wp:extent cx="4055165" cy="278296"/>
              <wp:effectExtent l="0" t="0" r="21590" b="26670"/>
              <wp:wrapNone/>
              <wp:docPr id="2" name="Text Box 2"/>
              <wp:cNvGraphicFramePr/>
              <a:graphic xmlns:a="http://schemas.openxmlformats.org/drawingml/2006/main">
                <a:graphicData uri="http://schemas.microsoft.com/office/word/2010/wordprocessingShape">
                  <wps:wsp>
                    <wps:cNvSpPr txBox="1"/>
                    <wps:spPr>
                      <a:xfrm>
                        <a:off x="0" y="0"/>
                        <a:ext cx="4055165" cy="2782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3EEE" w:rsidRPr="003D3EEE" w:rsidRDefault="003D3EEE">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8.4pt;margin-top:3.4pt;width:319.3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" fillcolor="white [3201]" strokecolor="white [3212]" strokeweight=".5pt">
              <v:textbox>
                <w:txbxContent>
                  <w:p w:rsidR="003D3EEE" w:rsidRPr="003D3EEE" w:rsidRDefault="003D3EEE">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w:t>
                    </w:r>
                  </w:p>
                </w:txbxContent>
              </v:textbox>
            </v:shape>
          </w:pict>
        </mc:Fallback>
      </mc:AlternateContent>
    </w:r>
    <w:r>
      <w:rPr>
        <w:noProof/>
        <w:lang w:eastAsia="es-AR"/>
      </w:rPr>
      <w:drawing>
        <wp:inline distT="0" distB="0" distL="0" distR="0" wp14:anchorId="21CFA54E" wp14:editId="36055975">
          <wp:extent cx="1160891" cy="359281"/>
          <wp:effectExtent l="0" t="0" r="1270" b="3175"/>
          <wp:docPr id="1" name="Picture 1" descr="http://gsea.org.ar/wp-content/uploads/2013/04/ITBA_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ea.org.ar/wp-content/uploads/2013/04/ITBA_GSE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2375" cy="36283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34B94"/>
    <w:multiLevelType w:val="hybridMultilevel"/>
    <w:tmpl w:val="CF14B2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015313F"/>
    <w:multiLevelType w:val="hybridMultilevel"/>
    <w:tmpl w:val="0BDEA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1F0932"/>
    <w:multiLevelType w:val="hybridMultilevel"/>
    <w:tmpl w:val="2D06BA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017518E"/>
    <w:multiLevelType w:val="hybridMultilevel"/>
    <w:tmpl w:val="0F94F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0945193"/>
    <w:multiLevelType w:val="hybridMultilevel"/>
    <w:tmpl w:val="74069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4961F3C"/>
    <w:multiLevelType w:val="hybridMultilevel"/>
    <w:tmpl w:val="629668AE"/>
    <w:lvl w:ilvl="0" w:tplc="4DD8CC54">
      <w:start w:val="1"/>
      <w:numFmt w:val="decimal"/>
      <w:lvlText w:val="%1."/>
      <w:lvlJc w:val="left"/>
      <w:pPr>
        <w:ind w:left="720" w:hanging="360"/>
      </w:pPr>
      <w:rPr>
        <w:rFonts w:hint="default"/>
        <w:b/>
        <w:color w:val="17365D" w:themeColor="text2" w:themeShade="BF"/>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F763F4A"/>
    <w:multiLevelType w:val="hybridMultilevel"/>
    <w:tmpl w:val="7EBA3F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8CE4FE5"/>
    <w:multiLevelType w:val="hybridMultilevel"/>
    <w:tmpl w:val="B810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259"/>
    <w:rsid w:val="00000F0E"/>
    <w:rsid w:val="000017DF"/>
    <w:rsid w:val="00031378"/>
    <w:rsid w:val="000524CE"/>
    <w:rsid w:val="000A471F"/>
    <w:rsid w:val="000B55AF"/>
    <w:rsid w:val="000F34D5"/>
    <w:rsid w:val="00105F9B"/>
    <w:rsid w:val="001465D0"/>
    <w:rsid w:val="00157EA3"/>
    <w:rsid w:val="00165D05"/>
    <w:rsid w:val="00174DD4"/>
    <w:rsid w:val="001964E4"/>
    <w:rsid w:val="001B6A9A"/>
    <w:rsid w:val="001C2921"/>
    <w:rsid w:val="001C489C"/>
    <w:rsid w:val="001E1DE3"/>
    <w:rsid w:val="001F5AE4"/>
    <w:rsid w:val="00207C46"/>
    <w:rsid w:val="00245C09"/>
    <w:rsid w:val="00261C41"/>
    <w:rsid w:val="0027475A"/>
    <w:rsid w:val="00286241"/>
    <w:rsid w:val="00287958"/>
    <w:rsid w:val="002D1298"/>
    <w:rsid w:val="002E4B4F"/>
    <w:rsid w:val="002F1D4D"/>
    <w:rsid w:val="002F7A54"/>
    <w:rsid w:val="0031590A"/>
    <w:rsid w:val="00333BA2"/>
    <w:rsid w:val="003509E5"/>
    <w:rsid w:val="00381EA6"/>
    <w:rsid w:val="0038615F"/>
    <w:rsid w:val="00394535"/>
    <w:rsid w:val="003D3EEE"/>
    <w:rsid w:val="003E4C1F"/>
    <w:rsid w:val="003F6171"/>
    <w:rsid w:val="00417A2E"/>
    <w:rsid w:val="004673CF"/>
    <w:rsid w:val="00484EE9"/>
    <w:rsid w:val="00490259"/>
    <w:rsid w:val="0049076E"/>
    <w:rsid w:val="004A7148"/>
    <w:rsid w:val="004B05A6"/>
    <w:rsid w:val="004C23AB"/>
    <w:rsid w:val="004C616D"/>
    <w:rsid w:val="005178AB"/>
    <w:rsid w:val="00592286"/>
    <w:rsid w:val="00595837"/>
    <w:rsid w:val="00597DFD"/>
    <w:rsid w:val="005B00B8"/>
    <w:rsid w:val="005E2B82"/>
    <w:rsid w:val="005F1F1E"/>
    <w:rsid w:val="005F37E2"/>
    <w:rsid w:val="00604269"/>
    <w:rsid w:val="00613A11"/>
    <w:rsid w:val="00636FE3"/>
    <w:rsid w:val="006468BA"/>
    <w:rsid w:val="006637F7"/>
    <w:rsid w:val="0067257A"/>
    <w:rsid w:val="00694046"/>
    <w:rsid w:val="00694781"/>
    <w:rsid w:val="006B6F04"/>
    <w:rsid w:val="006E232D"/>
    <w:rsid w:val="006F0D96"/>
    <w:rsid w:val="007154E7"/>
    <w:rsid w:val="007176BB"/>
    <w:rsid w:val="007266A7"/>
    <w:rsid w:val="00741388"/>
    <w:rsid w:val="0074356F"/>
    <w:rsid w:val="00745A04"/>
    <w:rsid w:val="00772D88"/>
    <w:rsid w:val="0077513F"/>
    <w:rsid w:val="007779A1"/>
    <w:rsid w:val="007A2F96"/>
    <w:rsid w:val="007A6446"/>
    <w:rsid w:val="007B7E67"/>
    <w:rsid w:val="007E656C"/>
    <w:rsid w:val="008102A5"/>
    <w:rsid w:val="008114D8"/>
    <w:rsid w:val="00884E2E"/>
    <w:rsid w:val="00885384"/>
    <w:rsid w:val="008A6773"/>
    <w:rsid w:val="008C210D"/>
    <w:rsid w:val="008C6546"/>
    <w:rsid w:val="008D396E"/>
    <w:rsid w:val="008E20E7"/>
    <w:rsid w:val="00926578"/>
    <w:rsid w:val="00946DB0"/>
    <w:rsid w:val="0096465B"/>
    <w:rsid w:val="0099717B"/>
    <w:rsid w:val="009F03C6"/>
    <w:rsid w:val="00A1556A"/>
    <w:rsid w:val="00A31021"/>
    <w:rsid w:val="00AA1260"/>
    <w:rsid w:val="00AA48EB"/>
    <w:rsid w:val="00AC7EE2"/>
    <w:rsid w:val="00AF0520"/>
    <w:rsid w:val="00B04560"/>
    <w:rsid w:val="00B72D06"/>
    <w:rsid w:val="00BA1390"/>
    <w:rsid w:val="00BC6136"/>
    <w:rsid w:val="00BE0198"/>
    <w:rsid w:val="00C14B68"/>
    <w:rsid w:val="00C26E42"/>
    <w:rsid w:val="00C4025D"/>
    <w:rsid w:val="00C464C9"/>
    <w:rsid w:val="00C7300E"/>
    <w:rsid w:val="00C805BE"/>
    <w:rsid w:val="00C87BC3"/>
    <w:rsid w:val="00CA17C0"/>
    <w:rsid w:val="00CA4DEB"/>
    <w:rsid w:val="00CA70B7"/>
    <w:rsid w:val="00CA7E4A"/>
    <w:rsid w:val="00CD0063"/>
    <w:rsid w:val="00CD20DC"/>
    <w:rsid w:val="00D10344"/>
    <w:rsid w:val="00D106F9"/>
    <w:rsid w:val="00D21A4B"/>
    <w:rsid w:val="00D22B78"/>
    <w:rsid w:val="00D23DDB"/>
    <w:rsid w:val="00D74815"/>
    <w:rsid w:val="00DF70F6"/>
    <w:rsid w:val="00E051C6"/>
    <w:rsid w:val="00E329FF"/>
    <w:rsid w:val="00E50174"/>
    <w:rsid w:val="00E877E7"/>
    <w:rsid w:val="00E90238"/>
    <w:rsid w:val="00EA72AD"/>
    <w:rsid w:val="00EB307E"/>
    <w:rsid w:val="00EC235F"/>
    <w:rsid w:val="00EC2B8E"/>
    <w:rsid w:val="00F04CF0"/>
    <w:rsid w:val="00F14E02"/>
    <w:rsid w:val="00F27C19"/>
    <w:rsid w:val="00F517A3"/>
    <w:rsid w:val="00F94E44"/>
    <w:rsid w:val="00FD0E7D"/>
    <w:rsid w:val="00FF3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16256">
      <w:bodyDiv w:val="1"/>
      <w:marLeft w:val="0"/>
      <w:marRight w:val="0"/>
      <w:marTop w:val="0"/>
      <w:marBottom w:val="0"/>
      <w:divBdr>
        <w:top w:val="none" w:sz="0" w:space="0" w:color="auto"/>
        <w:left w:val="none" w:sz="0" w:space="0" w:color="auto"/>
        <w:bottom w:val="none" w:sz="0" w:space="0" w:color="auto"/>
        <w:right w:val="none" w:sz="0" w:space="0" w:color="auto"/>
      </w:divBdr>
    </w:div>
    <w:div w:id="15333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hex.com/"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googleblog.blogspot.com.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2160</Words>
  <Characters>11883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A Cairo Presepi</dc:creator>
  <cp:lastModifiedBy>Rocio A Cairo Presepi</cp:lastModifiedBy>
  <cp:revision>134</cp:revision>
  <cp:lastPrinted>2015-06-16T17:04:00Z</cp:lastPrinted>
  <dcterms:created xsi:type="dcterms:W3CDTF">2015-06-16T01:54:00Z</dcterms:created>
  <dcterms:modified xsi:type="dcterms:W3CDTF">2015-06-29T04:49:00Z</dcterms:modified>
</cp:coreProperties>
</file>