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rPr/>
      </w:pPr>
      <w:r>
        <w:rPr/>
      </w:r>
    </w:p>
    <w:p>
      <w:pPr>
        <w:pStyle w:val="Normal"/>
        <w:spacing w:lineRule="auto" w:line="480" w:before="0" w:after="0"/>
        <w:ind w:hanging="0"/>
        <w:jc w:val="center"/>
        <w:rPr/>
      </w:pPr>
      <w:r>
        <w:rPr>
          <w:b/>
          <w:bCs/>
          <w:sz w:val="32"/>
          <w:szCs w:val="32"/>
        </w:rPr>
        <w:t>Burglar King: contextualización de la empresa y análisis de su entorno económico</w:t>
      </w:r>
    </w:p>
    <w:p>
      <w:pPr>
        <w:pStyle w:val="Normal"/>
        <w:spacing w:lineRule="auto" w:line="480" w:before="0" w:after="480"/>
        <w:ind w:hanging="0"/>
        <w:jc w:val="center"/>
        <w:rPr/>
      </w:pPr>
      <w:r>
        <w:rPr>
          <w:b w:val="false"/>
          <w:bCs w:val="false"/>
          <w:sz w:val="24"/>
          <w:szCs w:val="24"/>
        </w:rPr>
        <w:t>Informe del Reto 1 del Proyecto Intermodular I</w:t>
      </w:r>
    </w:p>
    <w:p>
      <w:pPr>
        <w:pStyle w:val="Normal"/>
        <w:pBdr>
          <w:bottom w:val="single" w:sz="12" w:space="1" w:color="E67E22"/>
        </w:pBdr>
        <w:spacing w:before="0" w:after="960"/>
        <w:ind w:hanging="0"/>
        <w:jc w:val="center"/>
        <w:rPr/>
      </w:pPr>
      <w:r>
        <w:rPr/>
      </w:r>
    </w:p>
    <w:p>
      <w:pPr>
        <w:pStyle w:val="Normal"/>
        <w:spacing w:lineRule="auto" w:line="480" w:before="0" w:after="0"/>
        <w:ind w:hanging="0"/>
        <w:jc w:val="center"/>
        <w:rPr/>
      </w:pPr>
      <w:r>
        <w:rPr>
          <w:b/>
          <w:bCs/>
        </w:rPr>
        <w:t>Riches Manuel y Roca</w:t>
      </w:r>
    </w:p>
    <w:p>
      <w:pPr>
        <w:pStyle w:val="Normal"/>
        <w:spacing w:lineRule="auto" w:line="480" w:before="0" w:after="0"/>
        <w:ind w:hanging="0"/>
        <w:jc w:val="center"/>
        <w:rPr/>
      </w:pPr>
      <w:r>
        <w:rPr>
          <w:b w:val="false"/>
          <w:bCs w:val="false"/>
        </w:rPr>
        <w:t>Reto 1 · Proyecto Intermodular I</w:t>
      </w:r>
    </w:p>
    <w:p>
      <w:pPr>
        <w:pStyle w:val="Normal"/>
        <w:spacing w:lineRule="auto" w:line="480" w:before="0" w:after="0"/>
        <w:ind w:hanging="0"/>
        <w:jc w:val="center"/>
        <w:rPr/>
      </w:pPr>
      <w:r>
        <w:rPr>
          <w:b w:val="false"/>
          <w:bCs w:val="false"/>
        </w:rPr>
        <w:t>1.º CFGS Administración de Sistemas Informáticos en Red</w:t>
      </w:r>
    </w:p>
    <w:p>
      <w:pPr>
        <w:pStyle w:val="Normal"/>
        <w:spacing w:lineRule="auto" w:line="480" w:before="0" w:after="0"/>
        <w:ind w:hanging="0"/>
        <w:jc w:val="center"/>
        <w:rPr/>
      </w:pPr>
      <w:r>
        <w:rPr>
          <w:b w:val="false"/>
          <w:bCs w:val="false"/>
        </w:rPr>
        <w:t>IES Conselleria · València</w:t>
      </w:r>
    </w:p>
    <w:p>
      <w:pPr>
        <w:pStyle w:val="Normal"/>
        <w:spacing w:lineRule="auto" w:line="480" w:before="0" w:after="0"/>
        <w:ind w:hanging="0"/>
        <w:jc w:val="center"/>
        <w:rPr/>
      </w:pPr>
      <w:r>
        <w:rPr>
          <w:b w:val="false"/>
          <w:bCs w:val="false"/>
        </w:rPr>
        <w:t>Octubre de 2026</w:t>
      </w:r>
      <w:r>
        <w:br w:type="page"/>
      </w:r>
    </w:p>
    <w:p>
      <w:pPr>
        <w:pStyle w:val="Normal"/>
        <w:ind w:hanging="0"/>
        <w:jc w:val="center"/>
        <w:rPr/>
      </w:pPr>
      <w:r>
        <w:rPr>
          <w:b/>
          <w:bCs/>
        </w:rPr>
        <w:t>Índice</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"1-2" \h</w:instrText>
          </w:r>
          <w:r>
            <w:rPr>
              <w:rStyle w:val="IndexLink"/>
            </w:rPr>
            <w:fldChar w:fldCharType="separate"/>
          </w:r>
          <w:hyperlink w:anchor="__RefHeading___Toc1958_3382994897">
            <w:r>
              <w:rPr>
                <w:rStyle w:val="IndexLink"/>
              </w:rPr>
              <w:t>1. Contextualización de la empresa (introducción)</w:t>
              <w:tab/>
              <w:t>3</w:t>
            </w:r>
          </w:hyperlink>
        </w:p>
        <w:p>
          <w:pPr>
            <w:pStyle w:val="TOC2"/>
            <w:tabs>
              <w:tab w:val="clear" w:pos="8743"/>
              <w:tab w:val="right" w:pos="9025" w:leader="dot"/>
            </w:tabs>
            <w:rPr/>
          </w:pPr>
          <w:hyperlink w:anchor="__RefHeading___Toc1960_3382994897">
            <w:r>
              <w:rPr>
                <w:rStyle w:val="IndexLink"/>
              </w:rPr>
              <w:t>1.1. Ficha de la empresa</w:t>
              <w:tab/>
              <w:t>3</w:t>
            </w:r>
          </w:hyperlink>
        </w:p>
        <w:p>
          <w:pPr>
            <w:pStyle w:val="TOC2"/>
            <w:tabs>
              <w:tab w:val="clear" w:pos="8743"/>
              <w:tab w:val="right" w:pos="9025" w:leader="dot"/>
            </w:tabs>
            <w:rPr/>
          </w:pPr>
          <w:hyperlink w:anchor="__RefHeading___Toc1962_3382994897">
            <w:r>
              <w:rPr>
                <w:rStyle w:val="IndexLink"/>
              </w:rPr>
              <w:t>1.2. Estructura organizativa</w:t>
              <w:tab/>
              <w:t>4</w:t>
            </w:r>
          </w:hyperlink>
        </w:p>
        <w:p>
          <w:pPr>
            <w:pStyle w:val="TOC2"/>
            <w:tabs>
              <w:tab w:val="clear" w:pos="8743"/>
              <w:tab w:val="right" w:pos="9025" w:leader="dot"/>
            </w:tabs>
            <w:rPr/>
          </w:pPr>
          <w:hyperlink w:anchor="__RefHeading___Toc1964_3382994897">
            <w:r>
              <w:rPr>
                <w:rStyle w:val="IndexLink"/>
              </w:rPr>
              <w:t>1.3. Flujos de trabajo</w:t>
              <w:tab/>
              <w:t>6</w:t>
            </w:r>
          </w:hyperlink>
        </w:p>
        <w:p>
          <w:pPr>
            <w:pStyle w:val="TOC2"/>
            <w:tabs>
              <w:tab w:val="clear" w:pos="8743"/>
              <w:tab w:val="right" w:pos="9025" w:leader="dot"/>
            </w:tabs>
            <w:rPr/>
          </w:pPr>
          <w:hyperlink w:anchor="__RefHeading___Toc1966_3382994897">
            <w:r>
              <w:rPr>
                <w:rStyle w:val="IndexLink"/>
              </w:rPr>
              <w:t>1.4. Estado actual de la infraestructura tecnológica</w:t>
              <w:tab/>
              <w:t>6</w:t>
            </w:r>
          </w:hyperlink>
        </w:p>
        <w:p>
          <w:pPr>
            <w:pStyle w:val="TOC1"/>
            <w:tabs>
              <w:tab w:val="clear" w:pos="9026"/>
              <w:tab w:val="right" w:pos="9025" w:leader="dot"/>
            </w:tabs>
            <w:rPr/>
          </w:pPr>
          <w:hyperlink w:anchor="__RefHeading___Toc1968_3382994897">
            <w:r>
              <w:rPr>
                <w:rStyle w:val="IndexLink"/>
              </w:rPr>
              <w:t>2. Empresa de referencia</w:t>
              <w:tab/>
              <w:t>9</w:t>
            </w:r>
          </w:hyperlink>
        </w:p>
        <w:p>
          <w:pPr>
            <w:pStyle w:val="TOC2"/>
            <w:tabs>
              <w:tab w:val="clear" w:pos="8743"/>
              <w:tab w:val="right" w:pos="9025" w:leader="dot"/>
            </w:tabs>
            <w:rPr/>
          </w:pPr>
          <w:hyperlink w:anchor="__RefHeading___Toc1970_3382994897">
            <w:r>
              <w:rPr>
                <w:rStyle w:val="IndexLink"/>
              </w:rPr>
              <w:t>2.1. Hundred Burgers</w:t>
              <w:tab/>
              <w:t>9</w:t>
            </w:r>
          </w:hyperlink>
        </w:p>
        <w:p>
          <w:pPr>
            <w:pStyle w:val="TOC2"/>
            <w:tabs>
              <w:tab w:val="clear" w:pos="8743"/>
              <w:tab w:val="right" w:pos="9025" w:leader="dot"/>
            </w:tabs>
            <w:rPr/>
          </w:pPr>
          <w:hyperlink w:anchor="__RefHeading___Toc1972_3382994897">
            <w:r>
              <w:rPr>
                <w:rStyle w:val="IndexLink"/>
              </w:rPr>
              <w:t>2.2. Goiko, el contrapunto</w:t>
              <w:tab/>
              <w:t>9</w:t>
            </w:r>
          </w:hyperlink>
        </w:p>
        <w:p>
          <w:pPr>
            <w:pStyle w:val="TOC2"/>
            <w:tabs>
              <w:tab w:val="clear" w:pos="8743"/>
              <w:tab w:val="right" w:pos="9025" w:leader="dot"/>
            </w:tabs>
            <w:rPr/>
          </w:pPr>
          <w:hyperlink w:anchor="__RefHeading___Toc1974_3382994897">
            <w:r>
              <w:rPr>
                <w:rStyle w:val="IndexLink"/>
              </w:rPr>
              <w:t>2.3. Lo que Burglar King toma de la referencia</w:t>
              <w:tab/>
              <w:t>10</w:t>
            </w:r>
          </w:hyperlink>
        </w:p>
        <w:p>
          <w:pPr>
            <w:pStyle w:val="TOC1"/>
            <w:tabs>
              <w:tab w:val="clear" w:pos="9026"/>
              <w:tab w:val="right" w:pos="9025" w:leader="dot"/>
            </w:tabs>
            <w:rPr/>
          </w:pPr>
          <w:hyperlink w:anchor="__RefHeading___Toc1976_3382994897">
            <w:r>
              <w:rPr>
                <w:rStyle w:val="IndexLink"/>
              </w:rPr>
              <w:t>3. Análisis del entorno económico</w:t>
              <w:tab/>
              <w:t>11</w:t>
            </w:r>
          </w:hyperlink>
        </w:p>
        <w:p>
          <w:pPr>
            <w:pStyle w:val="TOC2"/>
            <w:tabs>
              <w:tab w:val="clear" w:pos="8743"/>
              <w:tab w:val="right" w:pos="9025" w:leader="dot"/>
            </w:tabs>
            <w:rPr/>
          </w:pPr>
          <w:hyperlink w:anchor="__RefHeading___Toc1978_3382994897">
            <w:r>
              <w:rPr>
                <w:rStyle w:val="IndexLink"/>
              </w:rPr>
              <w:t>3.1. Factores macroeconómicos</w:t>
              <w:tab/>
              <w:t>11</w:t>
            </w:r>
          </w:hyperlink>
        </w:p>
        <w:p>
          <w:pPr>
            <w:pStyle w:val="TOC2"/>
            <w:tabs>
              <w:tab w:val="clear" w:pos="8743"/>
              <w:tab w:val="right" w:pos="9025" w:leader="dot"/>
            </w:tabs>
            <w:rPr/>
          </w:pPr>
          <w:hyperlink w:anchor="__RefHeading___Toc1980_3382994897">
            <w:r>
              <w:rPr>
                <w:rStyle w:val="IndexLink"/>
              </w:rPr>
              <w:t>3.2. Factores microeconómicos</w:t>
              <w:tab/>
              <w:t>13</w:t>
            </w:r>
          </w:hyperlink>
        </w:p>
        <w:p>
          <w:pPr>
            <w:pStyle w:val="TOC1"/>
            <w:tabs>
              <w:tab w:val="clear" w:pos="9026"/>
              <w:tab w:val="right" w:pos="9025" w:leader="dot"/>
            </w:tabs>
            <w:rPr/>
          </w:pPr>
          <w:hyperlink w:anchor="__RefHeading___Toc1982_3382994897">
            <w:r>
              <w:rPr>
                <w:rStyle w:val="IndexLink"/>
              </w:rPr>
              <w:t>4. Modelo de negocio y finanzas</w:t>
              <w:tab/>
              <w:t>16</w:t>
            </w:r>
          </w:hyperlink>
        </w:p>
        <w:p>
          <w:pPr>
            <w:pStyle w:val="TOC2"/>
            <w:tabs>
              <w:tab w:val="clear" w:pos="8743"/>
              <w:tab w:val="right" w:pos="9025" w:leader="dot"/>
            </w:tabs>
            <w:rPr/>
          </w:pPr>
          <w:hyperlink w:anchor="__RefHeading___Toc1984_3382994897">
            <w:r>
              <w:rPr>
                <w:rStyle w:val="IndexLink"/>
              </w:rPr>
              <w:t>4.1. Financiación</w:t>
              <w:tab/>
              <w:t>17</w:t>
            </w:r>
          </w:hyperlink>
        </w:p>
        <w:p>
          <w:pPr>
            <w:pStyle w:val="TOC2"/>
            <w:tabs>
              <w:tab w:val="clear" w:pos="8743"/>
              <w:tab w:val="right" w:pos="9025" w:leader="dot"/>
            </w:tabs>
            <w:rPr/>
          </w:pPr>
          <w:hyperlink w:anchor="__RefHeading___Toc1986_3382994897">
            <w:r>
              <w:rPr>
                <w:rStyle w:val="IndexLink"/>
              </w:rPr>
              <w:t>4.2. Salarios</w:t>
              <w:tab/>
              <w:t>19</w:t>
            </w:r>
          </w:hyperlink>
        </w:p>
        <w:p>
          <w:pPr>
            <w:pStyle w:val="TOC2"/>
            <w:tabs>
              <w:tab w:val="clear" w:pos="8743"/>
              <w:tab w:val="right" w:pos="9025" w:leader="dot"/>
            </w:tabs>
            <w:rPr/>
          </w:pPr>
          <w:hyperlink w:anchor="__RefHeading___Toc1988_3382994897">
            <w:r>
              <w:rPr>
                <w:rStyle w:val="IndexLink"/>
              </w:rPr>
              <w:t>4.3. Gastos materiales</w:t>
              <w:tab/>
              <w:t>21</w:t>
            </w:r>
          </w:hyperlink>
        </w:p>
        <w:p>
          <w:pPr>
            <w:pStyle w:val="TOC2"/>
            <w:tabs>
              <w:tab w:val="clear" w:pos="8743"/>
              <w:tab w:val="right" w:pos="9025" w:leader="dot"/>
            </w:tabs>
            <w:rPr/>
          </w:pPr>
          <w:hyperlink w:anchor="__RefHeading___Toc1990_3382994897">
            <w:r>
              <w:rPr>
                <w:rStyle w:val="IndexLink"/>
              </w:rPr>
              <w:t>4.4. Locales de alquiler</w:t>
              <w:tab/>
              <w:t>22</w:t>
            </w:r>
          </w:hyperlink>
        </w:p>
        <w:p>
          <w:pPr>
            <w:pStyle w:val="TOC1"/>
            <w:tabs>
              <w:tab w:val="clear" w:pos="9026"/>
              <w:tab w:val="right" w:pos="9025" w:leader="dot"/>
            </w:tabs>
            <w:rPr/>
          </w:pPr>
          <w:hyperlink w:anchor="__RefHeading___Toc1992_3382994897">
            <w:r>
              <w:rPr>
                <w:rStyle w:val="IndexLink"/>
              </w:rPr>
              <w:t>5. Servicios prestados</w:t>
              <w:tab/>
              <w:t>25</w:t>
            </w:r>
          </w:hyperlink>
        </w:p>
        <w:p>
          <w:pPr>
            <w:pStyle w:val="TOC1"/>
            <w:tabs>
              <w:tab w:val="clear" w:pos="9026"/>
              <w:tab w:val="right" w:pos="9025" w:leader="dot"/>
            </w:tabs>
            <w:rPr/>
          </w:pPr>
          <w:hyperlink w:anchor="__RefHeading___Toc1994_3382994897">
            <w:r>
              <w:rPr>
                <w:rStyle w:val="IndexLink"/>
              </w:rPr>
              <w:t>6. Publicidad (marketing)</w:t>
              <w:tab/>
              <w:t>27</w:t>
            </w:r>
          </w:hyperlink>
        </w:p>
        <w:p>
          <w:pPr>
            <w:pStyle w:val="TOC1"/>
            <w:tabs>
              <w:tab w:val="clear" w:pos="9026"/>
              <w:tab w:val="right" w:pos="9025" w:leader="dot"/>
            </w:tabs>
            <w:rPr/>
          </w:pPr>
          <w:hyperlink w:anchor="__RefHeading___Toc1996_3382994897">
            <w:r>
              <w:rPr>
                <w:rStyle w:val="IndexLink"/>
              </w:rPr>
              <w:t>7. Conclusiones</w:t>
              <w:tab/>
              <w:t>29</w:t>
            </w:r>
          </w:hyperlink>
        </w:p>
        <w:p>
          <w:pPr>
            <w:pStyle w:val="TOC1"/>
            <w:tabs>
              <w:tab w:val="clear" w:pos="9026"/>
              <w:tab w:val="right" w:pos="9025" w:leader="dot"/>
            </w:tabs>
            <w:rPr/>
          </w:pPr>
          <w:hyperlink w:anchor="__RefHeading___Toc1998_3382994897">
            <w:r>
              <w:rPr>
                <w:rStyle w:val="IndexLink"/>
              </w:rPr>
              <w:t>8. Bibliografía</w:t>
              <w:tab/>
              <w:t>31</w:t>
            </w:r>
          </w:hyperlink>
          <w:r>
            <w:rPr>
              <w:rStyle w:val="IndexLink"/>
            </w:rPr>
            <w:fldChar w:fldCharType="end"/>
          </w:r>
        </w:p>
      </w:sdtContent>
    </w:sdt>
    <w:p>
      <w:pPr>
        <w:pStyle w:val="Normal"/>
        <w:widowControl/>
        <w:bidi w:val="0"/>
        <w:spacing w:lineRule="auto" w:line="480" w:before="0" w:after="0"/>
        <w:ind w:firstLine="720"/>
        <w:jc w:val="left"/>
        <w:rPr/>
      </w:pPr>
      <w:r>
        <w:rPr/>
      </w:r>
      <w:r>
        <w:br w:type="page"/>
      </w:r>
    </w:p>
    <w:p>
      <w:pPr>
        <w:pStyle w:val="Heading1"/>
        <w:rPr/>
      </w:pPr>
      <w:bookmarkStart w:id="0" w:name="__RefHeading___Toc1958_3382994897"/>
      <w:bookmarkEnd w:id="0"/>
      <w:r>
        <w:rPr/>
        <w:t>1. Contextualización de la empresa (introducción)</w:t>
      </w:r>
    </w:p>
    <w:p>
      <w:pPr>
        <w:pStyle w:val="Normal"/>
        <w:rPr/>
      </w:pPr>
      <w:r>
        <w:rPr/>
        <w:t xml:space="preserve">Burglar King es una hamburguesería de barrio situada en Burjassot, municipio del área metropolitana de València que acoge el campus de Burjassot-Paterna de la Universitat de València. Es el local para el que el equipo está desarrollando un sistema de punto de venta (TPV) con pantallas de cocina (KDS, </w:t>
      </w:r>
      <w:r>
        <w:rPr>
          <w:i/>
          <w:iCs/>
        </w:rPr>
        <w:t>Kitchen Display System</w:t>
      </w:r>
      <w:r>
        <w:rPr/>
        <w:t>). La empresa es ficticia, como permite el enunciado del reto, pero se ha construido con datos reales del sector, de la normativa vigente y del mercado de Burjassot, de modo que las conclusiones sean trasladables a un local real del mismo tamaño.</w:t>
      </w:r>
    </w:p>
    <w:p>
      <w:pPr>
        <w:pStyle w:val="Normal"/>
        <w:rPr/>
      </w:pPr>
      <w:r>
        <w:rPr/>
        <w:t>Este informe responde al Reto 1 del Proyecto Intermodular I: recopilar información sobre la empresa y su sector, analizar su estructura organizativa y sus flujos de trabajo, y estudiar los factores macroeconómicos y microeconómicos que condicionan su actividad, para sentar las bases de un proyecto de implantación de una infraestructura tecnológica. El informe sigue el guion acordado por el equipo: contextualización de la empresa, empresa de referencia, análisis del entorno económico, modelo de negocio y finanzas, servicios prestados, publicidad, conclusiones y bibliografía.</w:t>
      </w:r>
    </w:p>
    <w:p>
      <w:pPr>
        <w:pStyle w:val="Heading2"/>
        <w:rPr/>
      </w:pPr>
      <w:bookmarkStart w:id="1" w:name="__RefHeading___Toc1960_3382994897"/>
      <w:bookmarkEnd w:id="1"/>
      <w:r>
        <w:rPr/>
        <w:t>1.1. Ficha de la empresa</w:t>
      </w:r>
    </w:p>
    <w:p>
      <w:pPr>
        <w:pStyle w:val="Normal"/>
        <w:keepNext w:val="true"/>
        <w:spacing w:lineRule="auto" w:line="480" w:before="240" w:after="0"/>
        <w:ind w:hanging="0"/>
        <w:rPr/>
      </w:pPr>
      <w:r>
        <w:rPr>
          <w:b/>
          <w:bCs/>
        </w:rPr>
        <w:t>Tabla 1</w:t>
      </w:r>
    </w:p>
    <w:p>
      <w:pPr>
        <w:pStyle w:val="Normal"/>
        <w:keepNext w:val="true"/>
        <w:spacing w:lineRule="auto" w:line="480" w:before="0" w:after="120"/>
        <w:ind w:hanging="0"/>
        <w:rPr/>
      </w:pPr>
      <w:r>
        <w:rPr>
          <w:i/>
          <w:iCs/>
        </w:rPr>
        <w:t>Ficha de la empresa</w:t>
      </w:r>
    </w:p>
    <w:tbl>
      <w:tblPr>
        <w:tblW w:w="9026" w:type="dxa"/>
        <w:jc w:val="left"/>
        <w:tblInd w:w="0" w:type="dxa"/>
        <w:tblLayout w:type="fixed"/>
        <w:tblCellMar>
          <w:top w:w="60" w:type="dxa"/>
          <w:left w:w="100" w:type="dxa"/>
          <w:bottom w:w="60" w:type="dxa"/>
          <w:right w:w="100" w:type="dxa"/>
        </w:tblCellMar>
      </w:tblPr>
      <w:tblGrid>
        <w:gridCol w:w="2607"/>
        <w:gridCol w:w="6418"/>
      </w:tblGrid>
      <w:tr>
        <w:trPr>
          <w:tblHeader w:val="true"/>
          <w:cantSplit w:val="true"/>
        </w:trPr>
        <w:tc>
          <w:tcPr>
            <w:tcW w:w="2607"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Dato</w:t>
            </w:r>
          </w:p>
        </w:tc>
        <w:tc>
          <w:tcPr>
            <w:tcW w:w="6418"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Valor</w:t>
            </w:r>
          </w:p>
        </w:tc>
      </w:tr>
      <w:tr>
        <w:trPr>
          <w:cantSplit w:val="true"/>
        </w:trPr>
        <w:tc>
          <w:tcPr>
            <w:tcW w:w="2607" w:type="dxa"/>
            <w:tcBorders>
              <w:bottom w:val="single" w:sz="2" w:space="0" w:color="DDDDDD"/>
            </w:tcBorders>
          </w:tcPr>
          <w:p>
            <w:pPr>
              <w:pStyle w:val="Normal"/>
              <w:spacing w:lineRule="auto" w:line="252" w:before="0" w:after="0"/>
              <w:ind w:hanging="0"/>
              <w:rPr/>
            </w:pPr>
            <w:r>
              <w:rPr>
                <w:sz w:val="19"/>
                <w:szCs w:val="19"/>
              </w:rPr>
              <w:t>Razón social</w:t>
            </w:r>
          </w:p>
        </w:tc>
        <w:tc>
          <w:tcPr>
            <w:tcW w:w="6418" w:type="dxa"/>
            <w:tcBorders>
              <w:bottom w:val="single" w:sz="2" w:space="0" w:color="DDDDDD"/>
            </w:tcBorders>
          </w:tcPr>
          <w:p>
            <w:pPr>
              <w:pStyle w:val="Normal"/>
              <w:spacing w:lineRule="auto" w:line="252" w:before="0" w:after="0"/>
              <w:ind w:hanging="0"/>
              <w:rPr/>
            </w:pPr>
            <w:r>
              <w:rPr>
                <w:sz w:val="19"/>
                <w:szCs w:val="19"/>
              </w:rPr>
              <w:t>Burglar King Burjassot, S.L. (sociedad limitada ficticia, constituida en 2022)</w:t>
            </w:r>
          </w:p>
        </w:tc>
      </w:tr>
      <w:tr>
        <w:trPr>
          <w:cantSplit w:val="true"/>
        </w:trPr>
        <w:tc>
          <w:tcPr>
            <w:tcW w:w="2607" w:type="dxa"/>
            <w:tcBorders>
              <w:bottom w:val="single" w:sz="2" w:space="0" w:color="DDDDDD"/>
            </w:tcBorders>
          </w:tcPr>
          <w:p>
            <w:pPr>
              <w:pStyle w:val="Normal"/>
              <w:spacing w:lineRule="auto" w:line="252" w:before="0" w:after="0"/>
              <w:ind w:hanging="0"/>
              <w:rPr/>
            </w:pPr>
            <w:r>
              <w:rPr>
                <w:sz w:val="19"/>
                <w:szCs w:val="19"/>
              </w:rPr>
              <w:t>Actividad</w:t>
            </w:r>
          </w:p>
        </w:tc>
        <w:tc>
          <w:tcPr>
            <w:tcW w:w="6418" w:type="dxa"/>
            <w:tcBorders>
              <w:bottom w:val="single" w:sz="2" w:space="0" w:color="DDDDDD"/>
            </w:tcBorders>
          </w:tcPr>
          <w:p>
            <w:pPr>
              <w:pStyle w:val="Normal"/>
              <w:spacing w:lineRule="auto" w:line="252" w:before="0" w:after="0"/>
              <w:ind w:hanging="0"/>
              <w:rPr/>
            </w:pPr>
            <w:r>
              <w:rPr>
                <w:sz w:val="19"/>
                <w:szCs w:val="19"/>
              </w:rPr>
              <w:t>Restauración: hamburguesería con servicio en mesa, barra, para llevar y reparto (CNAE 56.10, restaurantes y puestos de comidas)</w:t>
            </w:r>
          </w:p>
        </w:tc>
      </w:tr>
      <w:tr>
        <w:trPr>
          <w:cantSplit w:val="true"/>
        </w:trPr>
        <w:tc>
          <w:tcPr>
            <w:tcW w:w="2607" w:type="dxa"/>
            <w:tcBorders>
              <w:bottom w:val="single" w:sz="2" w:space="0" w:color="DDDDDD"/>
            </w:tcBorders>
          </w:tcPr>
          <w:p>
            <w:pPr>
              <w:pStyle w:val="Normal"/>
              <w:spacing w:lineRule="auto" w:line="252" w:before="0" w:after="0"/>
              <w:ind w:hanging="0"/>
              <w:rPr/>
            </w:pPr>
            <w:r>
              <w:rPr>
                <w:sz w:val="19"/>
                <w:szCs w:val="19"/>
              </w:rPr>
              <w:t>Ubicación</w:t>
            </w:r>
          </w:p>
        </w:tc>
        <w:tc>
          <w:tcPr>
            <w:tcW w:w="6418" w:type="dxa"/>
            <w:tcBorders>
              <w:bottom w:val="single" w:sz="2" w:space="0" w:color="DDDDDD"/>
            </w:tcBorders>
          </w:tcPr>
          <w:p>
            <w:pPr>
              <w:pStyle w:val="Normal"/>
              <w:spacing w:lineRule="auto" w:line="252" w:before="0" w:after="0"/>
              <w:ind w:hanging="0"/>
              <w:rPr/>
            </w:pPr>
            <w:r>
              <w:rPr>
                <w:sz w:val="19"/>
                <w:szCs w:val="19"/>
              </w:rPr>
              <w:t>Burjassot (València), a diez minutos a pie del campus universitario</w:t>
            </w:r>
          </w:p>
        </w:tc>
      </w:tr>
      <w:tr>
        <w:trPr>
          <w:cantSplit w:val="true"/>
        </w:trPr>
        <w:tc>
          <w:tcPr>
            <w:tcW w:w="2607" w:type="dxa"/>
            <w:tcBorders>
              <w:bottom w:val="single" w:sz="2" w:space="0" w:color="DDDDDD"/>
            </w:tcBorders>
          </w:tcPr>
          <w:p>
            <w:pPr>
              <w:pStyle w:val="Normal"/>
              <w:spacing w:lineRule="auto" w:line="252" w:before="0" w:after="0"/>
              <w:ind w:hanging="0"/>
              <w:rPr/>
            </w:pPr>
            <w:r>
              <w:rPr>
                <w:sz w:val="19"/>
                <w:szCs w:val="19"/>
              </w:rPr>
              <w:t>Local</w:t>
            </w:r>
          </w:p>
        </w:tc>
        <w:tc>
          <w:tcPr>
            <w:tcW w:w="6418" w:type="dxa"/>
            <w:tcBorders>
              <w:bottom w:val="single" w:sz="2" w:space="0" w:color="DDDDDD"/>
            </w:tcBorders>
          </w:tcPr>
          <w:p>
            <w:pPr>
              <w:pStyle w:val="Normal"/>
              <w:spacing w:lineRule="auto" w:line="252" w:before="0" w:after="0"/>
              <w:ind w:hanging="0"/>
              <w:rPr/>
            </w:pPr>
            <w:r>
              <w:rPr>
                <w:sz w:val="19"/>
                <w:szCs w:val="19"/>
              </w:rPr>
              <w:t>120 m² en planta baja, en alquiler, con salida de humos y terraza de cuatro mesas en la acera</w:t>
            </w:r>
          </w:p>
        </w:tc>
      </w:tr>
      <w:tr>
        <w:trPr>
          <w:cantSplit w:val="true"/>
        </w:trPr>
        <w:tc>
          <w:tcPr>
            <w:tcW w:w="2607" w:type="dxa"/>
            <w:tcBorders>
              <w:bottom w:val="single" w:sz="2" w:space="0" w:color="DDDDDD"/>
            </w:tcBorders>
          </w:tcPr>
          <w:p>
            <w:pPr>
              <w:pStyle w:val="Normal"/>
              <w:spacing w:lineRule="auto" w:line="252" w:before="0" w:after="0"/>
              <w:ind w:hanging="0"/>
              <w:rPr/>
            </w:pPr>
            <w:r>
              <w:rPr>
                <w:sz w:val="19"/>
                <w:szCs w:val="19"/>
              </w:rPr>
              <w:t>Capacidad</w:t>
            </w:r>
          </w:p>
        </w:tc>
        <w:tc>
          <w:tcPr>
            <w:tcW w:w="6418" w:type="dxa"/>
            <w:tcBorders>
              <w:bottom w:val="single" w:sz="2" w:space="0" w:color="DDDDDD"/>
            </w:tcBorders>
          </w:tcPr>
          <w:p>
            <w:pPr>
              <w:pStyle w:val="Normal"/>
              <w:spacing w:lineRule="auto" w:line="252" w:before="0" w:after="0"/>
              <w:ind w:hanging="0"/>
              <w:rPr/>
            </w:pPr>
            <w:r>
              <w:rPr>
                <w:sz w:val="19"/>
                <w:szCs w:val="19"/>
              </w:rPr>
              <w:t>13 mesas repartidas entre sala (8), terraza (4) y barra (1 alta), unas 44 plazas</w:t>
            </w:r>
          </w:p>
        </w:tc>
      </w:tr>
      <w:tr>
        <w:trPr>
          <w:cantSplit w:val="true"/>
        </w:trPr>
        <w:tc>
          <w:tcPr>
            <w:tcW w:w="2607" w:type="dxa"/>
            <w:tcBorders>
              <w:bottom w:val="single" w:sz="2" w:space="0" w:color="DDDDDD"/>
            </w:tcBorders>
          </w:tcPr>
          <w:p>
            <w:pPr>
              <w:pStyle w:val="Normal"/>
              <w:spacing w:lineRule="auto" w:line="252" w:before="0" w:after="0"/>
              <w:ind w:hanging="0"/>
              <w:rPr/>
            </w:pPr>
            <w:r>
              <w:rPr>
                <w:sz w:val="19"/>
                <w:szCs w:val="19"/>
              </w:rPr>
              <w:t>Plantilla</w:t>
            </w:r>
          </w:p>
        </w:tc>
        <w:tc>
          <w:tcPr>
            <w:tcW w:w="6418" w:type="dxa"/>
            <w:tcBorders>
              <w:bottom w:val="single" w:sz="2" w:space="0" w:color="DDDDDD"/>
            </w:tcBorders>
          </w:tcPr>
          <w:p>
            <w:pPr>
              <w:pStyle w:val="Normal"/>
              <w:spacing w:lineRule="auto" w:line="252" w:before="0" w:after="0"/>
              <w:ind w:hanging="0"/>
              <w:rPr/>
            </w:pPr>
            <w:r>
              <w:rPr>
                <w:sz w:val="19"/>
                <w:szCs w:val="19"/>
              </w:rPr>
              <w:t>4 personas: encargado (socio gerente), 2 camareros y 1 cocinero</w:t>
            </w:r>
          </w:p>
        </w:tc>
      </w:tr>
      <w:tr>
        <w:trPr>
          <w:cantSplit w:val="true"/>
        </w:trPr>
        <w:tc>
          <w:tcPr>
            <w:tcW w:w="2607" w:type="dxa"/>
            <w:tcBorders>
              <w:bottom w:val="single" w:sz="2" w:space="0" w:color="DDDDDD"/>
            </w:tcBorders>
          </w:tcPr>
          <w:p>
            <w:pPr>
              <w:pStyle w:val="Normal"/>
              <w:spacing w:lineRule="auto" w:line="252" w:before="0" w:after="0"/>
              <w:ind w:hanging="0"/>
              <w:rPr/>
            </w:pPr>
            <w:r>
              <w:rPr>
                <w:sz w:val="19"/>
                <w:szCs w:val="19"/>
              </w:rPr>
              <w:t>Horario</w:t>
            </w:r>
          </w:p>
        </w:tc>
        <w:tc>
          <w:tcPr>
            <w:tcW w:w="6418" w:type="dxa"/>
            <w:tcBorders>
              <w:bottom w:val="single" w:sz="2" w:space="0" w:color="DDDDDD"/>
            </w:tcBorders>
          </w:tcPr>
          <w:p>
            <w:pPr>
              <w:pStyle w:val="Normal"/>
              <w:spacing w:lineRule="auto" w:line="252" w:before="0" w:after="0"/>
              <w:ind w:hanging="0"/>
              <w:rPr/>
            </w:pPr>
            <w:r>
              <w:rPr>
                <w:sz w:val="19"/>
                <w:szCs w:val="19"/>
              </w:rPr>
              <w:t>Comidas de 13:00 a 16:00 y cenas de 20:00 a 23:30; cierra los lunes</w:t>
            </w:r>
          </w:p>
        </w:tc>
      </w:tr>
      <w:tr>
        <w:trPr>
          <w:cantSplit w:val="true"/>
        </w:trPr>
        <w:tc>
          <w:tcPr>
            <w:tcW w:w="2607" w:type="dxa"/>
            <w:tcBorders>
              <w:bottom w:val="single" w:sz="2" w:space="0" w:color="DDDDDD"/>
            </w:tcBorders>
          </w:tcPr>
          <w:p>
            <w:pPr>
              <w:pStyle w:val="Normal"/>
              <w:spacing w:lineRule="auto" w:line="252" w:before="0" w:after="0"/>
              <w:ind w:hanging="0"/>
              <w:rPr/>
            </w:pPr>
            <w:r>
              <w:rPr>
                <w:sz w:val="19"/>
                <w:szCs w:val="19"/>
              </w:rPr>
              <w:t>Ticket medio</w:t>
            </w:r>
          </w:p>
        </w:tc>
        <w:tc>
          <w:tcPr>
            <w:tcW w:w="6418" w:type="dxa"/>
            <w:tcBorders>
              <w:bottom w:val="single" w:sz="2" w:space="0" w:color="DDDDDD"/>
            </w:tcBorders>
          </w:tcPr>
          <w:p>
            <w:pPr>
              <w:pStyle w:val="Normal"/>
              <w:spacing w:lineRule="auto" w:line="252" w:before="0" w:after="0"/>
              <w:ind w:hanging="0"/>
              <w:rPr/>
            </w:pPr>
            <w:r>
              <w:rPr>
                <w:sz w:val="19"/>
                <w:szCs w:val="19"/>
              </w:rPr>
              <w:t>Entre 15 y 25 euros por comensal en sala; unos 15 euros por pedido para llevar o reparto</w:t>
            </w:r>
          </w:p>
        </w:tc>
      </w:tr>
      <w:tr>
        <w:trPr>
          <w:cantSplit w:val="true"/>
        </w:trPr>
        <w:tc>
          <w:tcPr>
            <w:tcW w:w="2607" w:type="dxa"/>
            <w:tcBorders>
              <w:bottom w:val="single" w:sz="6" w:space="0" w:color="808080"/>
            </w:tcBorders>
          </w:tcPr>
          <w:p>
            <w:pPr>
              <w:pStyle w:val="Normal"/>
              <w:spacing w:lineRule="auto" w:line="252" w:before="0" w:after="0"/>
              <w:ind w:hanging="0"/>
              <w:rPr/>
            </w:pPr>
            <w:r>
              <w:rPr>
                <w:sz w:val="19"/>
                <w:szCs w:val="19"/>
              </w:rPr>
              <w:t>Canales de venta</w:t>
            </w:r>
          </w:p>
        </w:tc>
        <w:tc>
          <w:tcPr>
            <w:tcW w:w="6418" w:type="dxa"/>
            <w:tcBorders>
              <w:bottom w:val="single" w:sz="6" w:space="0" w:color="808080"/>
            </w:tcBorders>
          </w:tcPr>
          <w:p>
            <w:pPr>
              <w:pStyle w:val="Normal"/>
              <w:spacing w:lineRule="auto" w:line="252" w:before="0" w:after="0"/>
              <w:ind w:hanging="0"/>
              <w:rPr/>
            </w:pPr>
            <w:r>
              <w:rPr>
                <w:sz w:val="19"/>
                <w:szCs w:val="19"/>
              </w:rPr>
              <w:t>Sala y terraza, barra, para llevar y dos plataformas de reparto a domicilio</w:t>
            </w:r>
          </w:p>
        </w:tc>
      </w:tr>
    </w:tbl>
    <w:p>
      <w:pPr>
        <w:pStyle w:val="Normal"/>
        <w:spacing w:lineRule="auto" w:line="276" w:before="80" w:after="240"/>
        <w:ind w:hanging="0"/>
        <w:rPr/>
      </w:pPr>
      <w:r>
        <w:rPr>
          <w:i/>
          <w:iCs/>
          <w:sz w:val="20"/>
          <w:szCs w:val="20"/>
        </w:rPr>
        <w:t>Nota.</w:t>
      </w:r>
      <w:r>
        <w:rPr>
          <w:sz w:val="20"/>
          <w:szCs w:val="20"/>
        </w:rPr>
        <w:t xml:space="preserve"> Datos del escenario ficticio, coherentes con la memoria del proyecto.</w:t>
      </w:r>
    </w:p>
    <w:p>
      <w:pPr>
        <w:pStyle w:val="Normal"/>
        <w:rPr/>
      </w:pPr>
      <w:r>
        <w:rPr/>
        <w:t>La empresa pertenece al segmento más numeroso de la hostelería española: la restauración independiente, que reúne en torno al 93 % de los establecimientos frente al 7,5 % de la restauración organizada en cadenas (Profesional Horeca, 2025; cifras redondeadas, tal como las publica la fuente). Por tamaño es una microempresa, con menos de diez personas, y en España las más pequeñas son la gran mayoría: el 81,6 % de las empresas tiene dos asalariados o menos (Instituto Nacional de Estadística [INE], 2025a). Esta clasificación importa para todo lo que sigue: el cliente típico de una solución tecnológica en este sector no tiene a nadie que sepa de informática, decide solo y mide cualquier inversión por lo que le ahorra.</w:t>
      </w:r>
    </w:p>
    <w:p>
      <w:pPr>
        <w:pStyle w:val="Heading2"/>
        <w:rPr/>
      </w:pPr>
      <w:bookmarkStart w:id="2" w:name="__RefHeading___Toc1962_3382994897"/>
      <w:bookmarkEnd w:id="2"/>
      <w:r>
        <w:rPr/>
        <w:t>1.2. Estructura organizativa</w:t>
      </w:r>
    </w:p>
    <w:p>
      <w:pPr>
        <w:pStyle w:val="Normal"/>
        <w:rPr/>
      </w:pPr>
      <w:r>
        <w:rPr/>
        <w:t>La estructura es la de cualquier microempresa de hostelería: plana, con dos áreas operativas y una persona que concentra la dirección y todas las funciones de apoyo (figura 1). No hay departamentos en sentido formal, pero sí funciones bien diferenciadas, que se recogen en la tabla 2.</w:t>
      </w:r>
    </w:p>
    <w:p>
      <w:pPr>
        <w:pStyle w:val="Normal"/>
        <w:keepNext w:val="true"/>
        <w:spacing w:lineRule="auto" w:line="480" w:before="240" w:after="0"/>
        <w:ind w:hanging="0"/>
        <w:rPr/>
      </w:pPr>
      <w:r>
        <w:rPr>
          <w:b/>
          <w:bCs/>
        </w:rPr>
        <w:t>Figura 1</w:t>
      </w:r>
    </w:p>
    <w:p>
      <w:pPr>
        <w:pStyle w:val="Normal"/>
        <w:keepNext w:val="true"/>
        <w:spacing w:lineRule="auto" w:line="480" w:before="0" w:after="120"/>
        <w:ind w:hanging="0"/>
        <w:rPr/>
      </w:pPr>
      <w:r>
        <w:rPr>
          <w:i/>
          <w:iCs/>
        </w:rPr>
        <w:t>Organigrama de Burglar King</w:t>
      </w:r>
    </w:p>
    <w:p>
      <w:pPr>
        <w:pStyle w:val="Normal"/>
        <w:keepNext w:val="true"/>
        <w:spacing w:lineRule="auto" w:line="240"/>
        <w:ind w:hanging="0"/>
        <w:jc w:val="center"/>
        <w:rPr/>
      </w:pPr>
      <w:r>
        <w:rPr/>
        <w:drawing>
          <wp:inline distT="0" distB="0" distL="0" distR="0">
            <wp:extent cx="4286250" cy="2038350"/>
            <wp:effectExtent l="0" t="0" r="0" b="0"/>
            <wp:docPr id="1" name="organigrama.png" descr="Organigrama de Burglar King&#10;Organigrama de Burglar 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rganigrama.png" descr="Organigrama de Burglar King&#10;Organigrama de Burglar King"/>
                    <pic:cNvPicPr>
                      <a:picLocks noChangeAspect="1" noChangeArrowheads="1"/>
                    </pic:cNvPicPr>
                  </pic:nvPicPr>
                  <pic:blipFill>
                    <a:blip r:embed="rId2"/>
                    <a:stretch>
                      <a:fillRect/>
                    </a:stretch>
                  </pic:blipFill>
                  <pic:spPr bwMode="auto">
                    <a:xfrm>
                      <a:off x="0" y="0"/>
                      <a:ext cx="4286250" cy="2038350"/>
                    </a:xfrm>
                    <a:prstGeom prst="rect">
                      <a:avLst/>
                    </a:prstGeom>
                    <a:noFill/>
                  </pic:spPr>
                </pic:pic>
              </a:graphicData>
            </a:graphic>
          </wp:inline>
        </w:drawing>
      </w:r>
    </w:p>
    <w:p>
      <w:pPr>
        <w:pStyle w:val="Normal"/>
        <w:spacing w:lineRule="auto" w:line="276" w:before="80" w:after="240"/>
        <w:ind w:hanging="0"/>
        <w:rPr/>
      </w:pPr>
      <w:r>
        <w:rPr>
          <w:i/>
          <w:iCs/>
          <w:sz w:val="20"/>
          <w:szCs w:val="20"/>
        </w:rPr>
        <w:t>Nota.</w:t>
      </w:r>
      <w:r>
        <w:rPr>
          <w:sz w:val="20"/>
          <w:szCs w:val="20"/>
        </w:rPr>
        <w:t xml:space="preserve"> Elaboración propia.</w:t>
      </w:r>
    </w:p>
    <w:p>
      <w:pPr>
        <w:pStyle w:val="Normal"/>
        <w:keepNext w:val="true"/>
        <w:spacing w:lineRule="auto" w:line="480" w:before="240" w:after="0"/>
        <w:ind w:hanging="0"/>
        <w:rPr/>
      </w:pPr>
      <w:r>
        <w:rPr>
          <w:b/>
          <w:bCs/>
        </w:rPr>
        <w:t>Tabla 2</w:t>
      </w:r>
    </w:p>
    <w:p>
      <w:pPr>
        <w:pStyle w:val="Normal"/>
        <w:keepNext w:val="true"/>
        <w:spacing w:lineRule="auto" w:line="480" w:before="0" w:after="120"/>
        <w:ind w:hanging="0"/>
        <w:rPr/>
      </w:pPr>
      <w:r>
        <w:rPr>
          <w:i/>
          <w:iCs/>
        </w:rPr>
        <w:t>Funciones de cada área y uso que hacen de la tecnología</w:t>
      </w:r>
    </w:p>
    <w:tbl>
      <w:tblPr>
        <w:tblW w:w="9026" w:type="dxa"/>
        <w:jc w:val="left"/>
        <w:tblInd w:w="0" w:type="dxa"/>
        <w:tblLayout w:type="fixed"/>
        <w:tblCellMar>
          <w:top w:w="60" w:type="dxa"/>
          <w:left w:w="100" w:type="dxa"/>
          <w:bottom w:w="60" w:type="dxa"/>
          <w:right w:w="100" w:type="dxa"/>
        </w:tblCellMar>
      </w:tblPr>
      <w:tblGrid>
        <w:gridCol w:w="1905"/>
        <w:gridCol w:w="1404"/>
        <w:gridCol w:w="3009"/>
        <w:gridCol w:w="2707"/>
      </w:tblGrid>
      <w:tr>
        <w:trPr>
          <w:tblHeader w:val="true"/>
          <w:cantSplit w:val="true"/>
        </w:trPr>
        <w:tc>
          <w:tcPr>
            <w:tcW w:w="1905"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Área</w:t>
            </w:r>
          </w:p>
        </w:tc>
        <w:tc>
          <w:tcPr>
            <w:tcW w:w="1404"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Personas</w:t>
            </w:r>
          </w:p>
        </w:tc>
        <w:tc>
          <w:tcPr>
            <w:tcW w:w="300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Funciones</w:t>
            </w:r>
          </w:p>
        </w:tc>
        <w:tc>
          <w:tcPr>
            <w:tcW w:w="2707"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Tecnología que usa hoy</w:t>
            </w:r>
          </w:p>
        </w:tc>
      </w:tr>
      <w:tr>
        <w:trPr>
          <w:cantSplit w:val="true"/>
        </w:trPr>
        <w:tc>
          <w:tcPr>
            <w:tcW w:w="1905" w:type="dxa"/>
            <w:tcBorders>
              <w:bottom w:val="single" w:sz="2" w:space="0" w:color="DDDDDD"/>
            </w:tcBorders>
          </w:tcPr>
          <w:p>
            <w:pPr>
              <w:pStyle w:val="Normal"/>
              <w:spacing w:lineRule="auto" w:line="252" w:before="0" w:after="0"/>
              <w:ind w:hanging="0"/>
              <w:rPr/>
            </w:pPr>
            <w:r>
              <w:rPr>
                <w:sz w:val="19"/>
                <w:szCs w:val="19"/>
              </w:rPr>
              <w:t>Dirección y administración</w:t>
            </w:r>
          </w:p>
        </w:tc>
        <w:tc>
          <w:tcPr>
            <w:tcW w:w="1404" w:type="dxa"/>
            <w:tcBorders>
              <w:bottom w:val="single" w:sz="2" w:space="0" w:color="DDDDDD"/>
            </w:tcBorders>
          </w:tcPr>
          <w:p>
            <w:pPr>
              <w:pStyle w:val="Normal"/>
              <w:spacing w:lineRule="auto" w:line="252" w:before="0" w:after="0"/>
              <w:ind w:hanging="0"/>
              <w:rPr/>
            </w:pPr>
            <w:r>
              <w:rPr>
                <w:sz w:val="19"/>
                <w:szCs w:val="19"/>
              </w:rPr>
              <w:t>Encargado</w:t>
            </w:r>
          </w:p>
        </w:tc>
        <w:tc>
          <w:tcPr>
            <w:tcW w:w="3009" w:type="dxa"/>
            <w:tcBorders>
              <w:bottom w:val="single" w:sz="2" w:space="0" w:color="DDDDDD"/>
            </w:tcBorders>
          </w:tcPr>
          <w:p>
            <w:pPr>
              <w:pStyle w:val="Normal"/>
              <w:spacing w:lineRule="auto" w:line="252" w:before="0" w:after="0"/>
              <w:ind w:hanging="0"/>
              <w:rPr/>
            </w:pPr>
            <w:r>
              <w:rPr>
                <w:sz w:val="19"/>
                <w:szCs w:val="19"/>
              </w:rPr>
              <w:t>Compras, turnos, caja, cierre del día, relación con la gestoría, proveedores y plataformas</w:t>
            </w:r>
          </w:p>
        </w:tc>
        <w:tc>
          <w:tcPr>
            <w:tcW w:w="2707" w:type="dxa"/>
            <w:tcBorders>
              <w:bottom w:val="single" w:sz="2" w:space="0" w:color="DDDDDD"/>
            </w:tcBorders>
          </w:tcPr>
          <w:p>
            <w:pPr>
              <w:pStyle w:val="Normal"/>
              <w:spacing w:lineRule="auto" w:line="252" w:before="0" w:after="0"/>
              <w:ind w:hanging="0"/>
              <w:rPr/>
            </w:pPr>
            <w:r>
              <w:rPr>
                <w:sz w:val="19"/>
                <w:szCs w:val="19"/>
              </w:rPr>
              <w:t>Portátil personal, móvil con WhatsApp Business, correo personal, banca en línea</w:t>
            </w:r>
          </w:p>
        </w:tc>
      </w:tr>
      <w:tr>
        <w:trPr>
          <w:cantSplit w:val="true"/>
        </w:trPr>
        <w:tc>
          <w:tcPr>
            <w:tcW w:w="1905" w:type="dxa"/>
            <w:tcBorders>
              <w:bottom w:val="single" w:sz="2" w:space="0" w:color="DDDDDD"/>
            </w:tcBorders>
          </w:tcPr>
          <w:p>
            <w:pPr>
              <w:pStyle w:val="Normal"/>
              <w:spacing w:lineRule="auto" w:line="252" w:before="0" w:after="0"/>
              <w:ind w:hanging="0"/>
              <w:rPr/>
            </w:pPr>
            <w:r>
              <w:rPr>
                <w:sz w:val="19"/>
                <w:szCs w:val="19"/>
              </w:rPr>
              <w:t>Sala</w:t>
            </w:r>
          </w:p>
        </w:tc>
        <w:tc>
          <w:tcPr>
            <w:tcW w:w="1404" w:type="dxa"/>
            <w:tcBorders>
              <w:bottom w:val="single" w:sz="2" w:space="0" w:color="DDDDDD"/>
            </w:tcBorders>
          </w:tcPr>
          <w:p>
            <w:pPr>
              <w:pStyle w:val="Normal"/>
              <w:spacing w:lineRule="auto" w:line="252" w:before="0" w:after="0"/>
              <w:ind w:hanging="0"/>
              <w:rPr/>
            </w:pPr>
            <w:r>
              <w:rPr>
                <w:sz w:val="19"/>
                <w:szCs w:val="19"/>
              </w:rPr>
              <w:t>2 camareros</w:t>
            </w:r>
          </w:p>
        </w:tc>
        <w:tc>
          <w:tcPr>
            <w:tcW w:w="3009" w:type="dxa"/>
            <w:tcBorders>
              <w:bottom w:val="single" w:sz="2" w:space="0" w:color="DDDDDD"/>
            </w:tcBorders>
          </w:tcPr>
          <w:p>
            <w:pPr>
              <w:pStyle w:val="Normal"/>
              <w:spacing w:lineRule="auto" w:line="252" w:before="0" w:after="0"/>
              <w:ind w:hanging="0"/>
              <w:rPr/>
            </w:pPr>
            <w:r>
              <w:rPr>
                <w:sz w:val="19"/>
                <w:szCs w:val="19"/>
              </w:rPr>
              <w:t>Atender mesas, terraza y barra; tomar nota; servir; cobrar</w:t>
            </w:r>
          </w:p>
        </w:tc>
        <w:tc>
          <w:tcPr>
            <w:tcW w:w="2707" w:type="dxa"/>
            <w:tcBorders>
              <w:bottom w:val="single" w:sz="2" w:space="0" w:color="DDDDDD"/>
            </w:tcBorders>
          </w:tcPr>
          <w:p>
            <w:pPr>
              <w:pStyle w:val="Normal"/>
              <w:spacing w:lineRule="auto" w:line="252" w:before="0" w:after="0"/>
              <w:ind w:hanging="0"/>
              <w:rPr/>
            </w:pPr>
            <w:r>
              <w:rPr>
                <w:sz w:val="19"/>
                <w:szCs w:val="19"/>
              </w:rPr>
              <w:t>Comandero de papel, PC del TPV, datáfono</w:t>
            </w:r>
          </w:p>
        </w:tc>
      </w:tr>
      <w:tr>
        <w:trPr>
          <w:cantSplit w:val="true"/>
        </w:trPr>
        <w:tc>
          <w:tcPr>
            <w:tcW w:w="1905" w:type="dxa"/>
            <w:tcBorders>
              <w:bottom w:val="single" w:sz="2" w:space="0" w:color="DDDDDD"/>
            </w:tcBorders>
          </w:tcPr>
          <w:p>
            <w:pPr>
              <w:pStyle w:val="Normal"/>
              <w:spacing w:lineRule="auto" w:line="252" w:before="0" w:after="0"/>
              <w:ind w:hanging="0"/>
              <w:rPr/>
            </w:pPr>
            <w:r>
              <w:rPr>
                <w:sz w:val="19"/>
                <w:szCs w:val="19"/>
              </w:rPr>
              <w:t>Cocina</w:t>
            </w:r>
          </w:p>
        </w:tc>
        <w:tc>
          <w:tcPr>
            <w:tcW w:w="1404" w:type="dxa"/>
            <w:tcBorders>
              <w:bottom w:val="single" w:sz="2" w:space="0" w:color="DDDDDD"/>
            </w:tcBorders>
          </w:tcPr>
          <w:p>
            <w:pPr>
              <w:pStyle w:val="Normal"/>
              <w:spacing w:lineRule="auto" w:line="252" w:before="0" w:after="0"/>
              <w:ind w:hanging="0"/>
              <w:rPr/>
            </w:pPr>
            <w:r>
              <w:rPr>
                <w:sz w:val="19"/>
                <w:szCs w:val="19"/>
              </w:rPr>
              <w:t>1 cocinero</w:t>
            </w:r>
          </w:p>
        </w:tc>
        <w:tc>
          <w:tcPr>
            <w:tcW w:w="3009" w:type="dxa"/>
            <w:tcBorders>
              <w:bottom w:val="single" w:sz="2" w:space="0" w:color="DDDDDD"/>
            </w:tcBorders>
          </w:tcPr>
          <w:p>
            <w:pPr>
              <w:pStyle w:val="Normal"/>
              <w:spacing w:lineRule="auto" w:line="252" w:before="0" w:after="0"/>
              <w:ind w:hanging="0"/>
              <w:rPr/>
            </w:pPr>
            <w:r>
              <w:rPr>
                <w:sz w:val="19"/>
                <w:szCs w:val="19"/>
              </w:rPr>
              <w:t>Preparar en plancha, freidora y fríos; preparar los pedidos de reparto</w:t>
            </w:r>
          </w:p>
        </w:tc>
        <w:tc>
          <w:tcPr>
            <w:tcW w:w="2707" w:type="dxa"/>
            <w:tcBorders>
              <w:bottom w:val="single" w:sz="2" w:space="0" w:color="DDDDDD"/>
            </w:tcBorders>
          </w:tcPr>
          <w:p>
            <w:pPr>
              <w:pStyle w:val="Normal"/>
              <w:spacing w:lineRule="auto" w:line="252" w:before="0" w:after="0"/>
              <w:ind w:hanging="0"/>
              <w:rPr/>
            </w:pPr>
            <w:r>
              <w:rPr>
                <w:sz w:val="19"/>
                <w:szCs w:val="19"/>
              </w:rPr>
              <w:t>Ninguna: recibe las comandas en papel y a voz</w:t>
            </w:r>
          </w:p>
        </w:tc>
      </w:tr>
      <w:tr>
        <w:trPr>
          <w:cantSplit w:val="true"/>
        </w:trPr>
        <w:tc>
          <w:tcPr>
            <w:tcW w:w="1905" w:type="dxa"/>
            <w:tcBorders>
              <w:bottom w:val="single" w:sz="6" w:space="0" w:color="808080"/>
            </w:tcBorders>
          </w:tcPr>
          <w:p>
            <w:pPr>
              <w:pStyle w:val="Normal"/>
              <w:spacing w:lineRule="auto" w:line="252" w:before="0" w:after="0"/>
              <w:ind w:hanging="0"/>
              <w:rPr/>
            </w:pPr>
            <w:r>
              <w:rPr>
                <w:sz w:val="19"/>
                <w:szCs w:val="19"/>
              </w:rPr>
              <w:t>Externos</w:t>
            </w:r>
          </w:p>
        </w:tc>
        <w:tc>
          <w:tcPr>
            <w:tcW w:w="1404" w:type="dxa"/>
            <w:tcBorders>
              <w:bottom w:val="single" w:sz="6" w:space="0" w:color="808080"/>
            </w:tcBorders>
          </w:tcPr>
          <w:p>
            <w:pPr>
              <w:pStyle w:val="Normal"/>
              <w:spacing w:lineRule="auto" w:line="252" w:before="0" w:after="0"/>
              <w:ind w:hanging="0"/>
              <w:rPr/>
            </w:pPr>
            <w:r>
              <w:rPr>
                <w:sz w:val="19"/>
                <w:szCs w:val="19"/>
              </w:rPr>
              <w:t>Gestoría, proveedores</w:t>
            </w:r>
          </w:p>
        </w:tc>
        <w:tc>
          <w:tcPr>
            <w:tcW w:w="3009" w:type="dxa"/>
            <w:tcBorders>
              <w:bottom w:val="single" w:sz="6" w:space="0" w:color="808080"/>
            </w:tcBorders>
          </w:tcPr>
          <w:p>
            <w:pPr>
              <w:pStyle w:val="Normal"/>
              <w:spacing w:lineRule="auto" w:line="252" w:before="0" w:after="0"/>
              <w:ind w:hanging="0"/>
              <w:rPr/>
            </w:pPr>
            <w:r>
              <w:rPr>
                <w:sz w:val="19"/>
                <w:szCs w:val="19"/>
              </w:rPr>
              <w:t>Contabilidad, nóminas e impuestos; suministro</w:t>
            </w:r>
          </w:p>
        </w:tc>
        <w:tc>
          <w:tcPr>
            <w:tcW w:w="2707" w:type="dxa"/>
            <w:tcBorders>
              <w:bottom w:val="single" w:sz="6" w:space="0" w:color="808080"/>
            </w:tcBorders>
          </w:tcPr>
          <w:p>
            <w:pPr>
              <w:pStyle w:val="Normal"/>
              <w:spacing w:lineRule="auto" w:line="252" w:before="0" w:after="0"/>
              <w:ind w:hanging="0"/>
              <w:rPr/>
            </w:pPr>
            <w:r>
              <w:rPr>
                <w:sz w:val="19"/>
                <w:szCs w:val="19"/>
              </w:rPr>
              <w:t>Correo electrónico, WhatsApp, teléfono</w:t>
            </w:r>
          </w:p>
        </w:tc>
      </w:tr>
    </w:tbl>
    <w:p>
      <w:pPr>
        <w:pStyle w:val="Normal"/>
        <w:spacing w:lineRule="auto" w:line="276" w:before="80" w:after="240"/>
        <w:ind w:hanging="0"/>
        <w:rPr/>
      </w:pPr>
      <w:r>
        <w:rPr>
          <w:i/>
          <w:iCs/>
          <w:sz w:val="20"/>
          <w:szCs w:val="20"/>
        </w:rPr>
        <w:t>Nota.</w:t>
      </w:r>
      <w:r>
        <w:rPr>
          <w:sz w:val="20"/>
          <w:szCs w:val="20"/>
        </w:rPr>
        <w:t xml:space="preserve"> Elaboración propia a partir del escenario.</w:t>
      </w:r>
    </w:p>
    <w:p>
      <w:pPr>
        <w:pStyle w:val="Normal"/>
        <w:rPr/>
      </w:pPr>
      <w:r>
        <w:rPr/>
        <w:t>La lectura organizativa más importante es la concentración: el encargado es a la vez dirección, compras, caja, administración y, en la práctica, el único «responsable de informática». Si él falta, nadie sabe reiniciar el router, recuperar la contraseña del TPV o consultar un pedido de una plataforma. Es un punto único de fallo humano, igual que lo hay técnico.</w:t>
      </w:r>
    </w:p>
    <w:p>
      <w:pPr>
        <w:pStyle w:val="Heading2"/>
        <w:rPr/>
      </w:pPr>
      <w:bookmarkStart w:id="3" w:name="__RefHeading___Toc1964_3382994897"/>
      <w:bookmarkEnd w:id="3"/>
      <w:r>
        <w:rPr/>
        <w:t>1.3. Flujos de trabajo</w:t>
      </w:r>
    </w:p>
    <w:p>
      <w:pPr>
        <w:pStyle w:val="Normal"/>
        <w:rPr/>
      </w:pPr>
      <w:r>
        <w:rPr/>
        <w:t>Para entender dónde puede ayudar la tecnología hay que seguir la información. La tabla 3 recorre los procesos del local e indica cómo se resuelven hoy y qué problema tiene cada uno.</w:t>
      </w:r>
    </w:p>
    <w:p>
      <w:pPr>
        <w:pStyle w:val="Normal"/>
        <w:keepNext w:val="true"/>
        <w:spacing w:lineRule="auto" w:line="480" w:before="240" w:after="0"/>
        <w:ind w:hanging="0"/>
        <w:rPr/>
      </w:pPr>
      <w:r>
        <w:rPr>
          <w:b/>
          <w:bCs/>
        </w:rPr>
        <w:t>Tabla 3</w:t>
      </w:r>
    </w:p>
    <w:p>
      <w:pPr>
        <w:pStyle w:val="Normal"/>
        <w:keepNext w:val="true"/>
        <w:spacing w:lineRule="auto" w:line="480" w:before="0" w:after="120"/>
        <w:ind w:hanging="0"/>
        <w:rPr/>
      </w:pPr>
      <w:r>
        <w:rPr>
          <w:i/>
          <w:iCs/>
        </w:rPr>
        <w:t>Procesos del local, herramienta actual y problema detectado</w:t>
      </w:r>
    </w:p>
    <w:tbl>
      <w:tblPr>
        <w:tblW w:w="9026" w:type="dxa"/>
        <w:jc w:val="left"/>
        <w:tblInd w:w="0" w:type="dxa"/>
        <w:tblLayout w:type="fixed"/>
        <w:tblCellMar>
          <w:top w:w="60" w:type="dxa"/>
          <w:left w:w="100" w:type="dxa"/>
          <w:bottom w:w="60" w:type="dxa"/>
          <w:right w:w="100" w:type="dxa"/>
        </w:tblCellMar>
      </w:tblPr>
      <w:tblGrid>
        <w:gridCol w:w="2005"/>
        <w:gridCol w:w="3510"/>
        <w:gridCol w:w="3511"/>
      </w:tblGrid>
      <w:tr>
        <w:trPr>
          <w:tblHeader w:val="true"/>
          <w:cantSplit w:val="true"/>
        </w:trPr>
        <w:tc>
          <w:tcPr>
            <w:tcW w:w="2005"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Proceso</w:t>
            </w:r>
          </w:p>
        </w:tc>
        <w:tc>
          <w:tcPr>
            <w:tcW w:w="351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Cómo se hace hoy</w:t>
            </w:r>
          </w:p>
        </w:tc>
        <w:tc>
          <w:tcPr>
            <w:tcW w:w="3511"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Problema</w:t>
            </w:r>
          </w:p>
        </w:tc>
      </w:tr>
      <w:tr>
        <w:trPr>
          <w:cantSplit w:val="true"/>
        </w:trPr>
        <w:tc>
          <w:tcPr>
            <w:tcW w:w="2005" w:type="dxa"/>
            <w:tcBorders>
              <w:bottom w:val="single" w:sz="2" w:space="0" w:color="DDDDDD"/>
            </w:tcBorders>
          </w:tcPr>
          <w:p>
            <w:pPr>
              <w:pStyle w:val="Normal"/>
              <w:spacing w:lineRule="auto" w:line="252" w:before="0" w:after="0"/>
              <w:ind w:hanging="0"/>
              <w:rPr/>
            </w:pPr>
            <w:r>
              <w:rPr>
                <w:sz w:val="19"/>
                <w:szCs w:val="19"/>
              </w:rPr>
              <w:t>Reserva de mesa</w:t>
            </w:r>
          </w:p>
        </w:tc>
        <w:tc>
          <w:tcPr>
            <w:tcW w:w="3510" w:type="dxa"/>
            <w:tcBorders>
              <w:bottom w:val="single" w:sz="2" w:space="0" w:color="DDDDDD"/>
            </w:tcBorders>
          </w:tcPr>
          <w:p>
            <w:pPr>
              <w:pStyle w:val="Normal"/>
              <w:spacing w:lineRule="auto" w:line="252" w:before="0" w:after="0"/>
              <w:ind w:hanging="0"/>
              <w:rPr/>
            </w:pPr>
            <w:r>
              <w:rPr>
                <w:sz w:val="19"/>
                <w:szCs w:val="19"/>
              </w:rPr>
              <w:t>Llamada o WhatsApp al móvil del encargado</w:t>
            </w:r>
          </w:p>
        </w:tc>
        <w:tc>
          <w:tcPr>
            <w:tcW w:w="3511" w:type="dxa"/>
            <w:tcBorders>
              <w:bottom w:val="single" w:sz="2" w:space="0" w:color="DDDDDD"/>
            </w:tcBorders>
          </w:tcPr>
          <w:p>
            <w:pPr>
              <w:pStyle w:val="Normal"/>
              <w:spacing w:lineRule="auto" w:line="252" w:before="0" w:after="0"/>
              <w:ind w:hanging="0"/>
              <w:rPr/>
            </w:pPr>
            <w:r>
              <w:rPr>
                <w:sz w:val="19"/>
                <w:szCs w:val="19"/>
              </w:rPr>
              <w:t>Depende de una persona; no queda registro común</w:t>
            </w:r>
          </w:p>
        </w:tc>
      </w:tr>
      <w:tr>
        <w:trPr>
          <w:cantSplit w:val="true"/>
        </w:trPr>
        <w:tc>
          <w:tcPr>
            <w:tcW w:w="2005" w:type="dxa"/>
            <w:tcBorders>
              <w:bottom w:val="single" w:sz="2" w:space="0" w:color="DDDDDD"/>
            </w:tcBorders>
          </w:tcPr>
          <w:p>
            <w:pPr>
              <w:pStyle w:val="Normal"/>
              <w:spacing w:lineRule="auto" w:line="252" w:before="0" w:after="0"/>
              <w:ind w:hanging="0"/>
              <w:rPr/>
            </w:pPr>
            <w:r>
              <w:rPr>
                <w:sz w:val="19"/>
                <w:szCs w:val="19"/>
              </w:rPr>
              <w:t>Toma de comanda</w:t>
            </w:r>
          </w:p>
        </w:tc>
        <w:tc>
          <w:tcPr>
            <w:tcW w:w="3510" w:type="dxa"/>
            <w:tcBorders>
              <w:bottom w:val="single" w:sz="2" w:space="0" w:color="DDDDDD"/>
            </w:tcBorders>
          </w:tcPr>
          <w:p>
            <w:pPr>
              <w:pStyle w:val="Normal"/>
              <w:spacing w:lineRule="auto" w:line="252" w:before="0" w:after="0"/>
              <w:ind w:hanging="0"/>
              <w:rPr/>
            </w:pPr>
            <w:r>
              <w:rPr>
                <w:sz w:val="19"/>
                <w:szCs w:val="19"/>
              </w:rPr>
              <w:t>Comandero de papel por duplicado</w:t>
            </w:r>
          </w:p>
        </w:tc>
        <w:tc>
          <w:tcPr>
            <w:tcW w:w="3511" w:type="dxa"/>
            <w:tcBorders>
              <w:bottom w:val="single" w:sz="2" w:space="0" w:color="DDDDDD"/>
            </w:tcBorders>
          </w:tcPr>
          <w:p>
            <w:pPr>
              <w:pStyle w:val="Normal"/>
              <w:spacing w:lineRule="auto" w:line="252" w:before="0" w:after="0"/>
              <w:ind w:hanging="0"/>
              <w:rPr/>
            </w:pPr>
            <w:r>
              <w:rPr>
                <w:sz w:val="19"/>
                <w:szCs w:val="19"/>
              </w:rPr>
              <w:t>Letra ilegible, notas que se pierden, sin hora</w:t>
            </w:r>
          </w:p>
        </w:tc>
      </w:tr>
      <w:tr>
        <w:trPr>
          <w:cantSplit w:val="true"/>
        </w:trPr>
        <w:tc>
          <w:tcPr>
            <w:tcW w:w="2005" w:type="dxa"/>
            <w:tcBorders>
              <w:bottom w:val="single" w:sz="2" w:space="0" w:color="DDDDDD"/>
            </w:tcBorders>
          </w:tcPr>
          <w:p>
            <w:pPr>
              <w:pStyle w:val="Normal"/>
              <w:spacing w:lineRule="auto" w:line="252" w:before="0" w:after="0"/>
              <w:ind w:hanging="0"/>
              <w:rPr/>
            </w:pPr>
            <w:r>
              <w:rPr>
                <w:sz w:val="19"/>
                <w:szCs w:val="19"/>
              </w:rPr>
              <w:t>Paso a cocina</w:t>
            </w:r>
          </w:p>
        </w:tc>
        <w:tc>
          <w:tcPr>
            <w:tcW w:w="3510" w:type="dxa"/>
            <w:tcBorders>
              <w:bottom w:val="single" w:sz="2" w:space="0" w:color="DDDDDD"/>
            </w:tcBorders>
          </w:tcPr>
          <w:p>
            <w:pPr>
              <w:pStyle w:val="Normal"/>
              <w:spacing w:lineRule="auto" w:line="252" w:before="0" w:after="0"/>
              <w:ind w:hanging="0"/>
              <w:rPr/>
            </w:pPr>
            <w:r>
              <w:rPr>
                <w:sz w:val="19"/>
                <w:szCs w:val="19"/>
              </w:rPr>
              <w:t>Copia pinchada en la cocina y aviso a voz</w:t>
            </w:r>
          </w:p>
        </w:tc>
        <w:tc>
          <w:tcPr>
            <w:tcW w:w="3511" w:type="dxa"/>
            <w:tcBorders>
              <w:bottom w:val="single" w:sz="2" w:space="0" w:color="DDDDDD"/>
            </w:tcBorders>
          </w:tcPr>
          <w:p>
            <w:pPr>
              <w:pStyle w:val="Normal"/>
              <w:spacing w:lineRule="auto" w:line="252" w:before="0" w:after="0"/>
              <w:ind w:hanging="0"/>
              <w:rPr/>
            </w:pPr>
            <w:r>
              <w:rPr>
                <w:sz w:val="19"/>
                <w:szCs w:val="19"/>
              </w:rPr>
              <w:t>Sin orden fiable ni aviso de retraso</w:t>
            </w:r>
          </w:p>
        </w:tc>
      </w:tr>
      <w:tr>
        <w:trPr>
          <w:cantSplit w:val="true"/>
        </w:trPr>
        <w:tc>
          <w:tcPr>
            <w:tcW w:w="2005" w:type="dxa"/>
            <w:tcBorders>
              <w:bottom w:val="single" w:sz="2" w:space="0" w:color="DDDDDD"/>
            </w:tcBorders>
          </w:tcPr>
          <w:p>
            <w:pPr>
              <w:pStyle w:val="Normal"/>
              <w:spacing w:lineRule="auto" w:line="252" w:before="0" w:after="0"/>
              <w:ind w:hanging="0"/>
              <w:rPr/>
            </w:pPr>
            <w:r>
              <w:rPr>
                <w:sz w:val="19"/>
                <w:szCs w:val="19"/>
              </w:rPr>
              <w:t>Pedido a domicilio</w:t>
            </w:r>
          </w:p>
        </w:tc>
        <w:tc>
          <w:tcPr>
            <w:tcW w:w="3510" w:type="dxa"/>
            <w:tcBorders>
              <w:bottom w:val="single" w:sz="2" w:space="0" w:color="DDDDDD"/>
            </w:tcBorders>
          </w:tcPr>
          <w:p>
            <w:pPr>
              <w:pStyle w:val="Normal"/>
              <w:spacing w:lineRule="auto" w:line="252" w:before="0" w:after="0"/>
              <w:ind w:hanging="0"/>
              <w:rPr/>
            </w:pPr>
            <w:r>
              <w:rPr>
                <w:sz w:val="19"/>
                <w:szCs w:val="19"/>
              </w:rPr>
              <w:t>Tableta de reparto, con los pedidos de las dos plataformas; se copia a mano en papel</w:t>
            </w:r>
          </w:p>
        </w:tc>
        <w:tc>
          <w:tcPr>
            <w:tcW w:w="3511" w:type="dxa"/>
            <w:tcBorders>
              <w:bottom w:val="single" w:sz="2" w:space="0" w:color="DDDDDD"/>
            </w:tcBorders>
          </w:tcPr>
          <w:p>
            <w:pPr>
              <w:pStyle w:val="Normal"/>
              <w:spacing w:lineRule="auto" w:line="252" w:before="0" w:after="0"/>
              <w:ind w:hanging="0"/>
              <w:rPr/>
            </w:pPr>
            <w:r>
              <w:rPr>
                <w:sz w:val="19"/>
                <w:szCs w:val="19"/>
              </w:rPr>
              <w:t>Doble tecleo y pedidos que se olvidan en la tableta</w:t>
            </w:r>
          </w:p>
        </w:tc>
      </w:tr>
      <w:tr>
        <w:trPr>
          <w:cantSplit w:val="true"/>
        </w:trPr>
        <w:tc>
          <w:tcPr>
            <w:tcW w:w="2005" w:type="dxa"/>
            <w:tcBorders>
              <w:bottom w:val="single" w:sz="2" w:space="0" w:color="DDDDDD"/>
            </w:tcBorders>
          </w:tcPr>
          <w:p>
            <w:pPr>
              <w:pStyle w:val="Normal"/>
              <w:spacing w:lineRule="auto" w:line="252" w:before="0" w:after="0"/>
              <w:ind w:hanging="0"/>
              <w:rPr/>
            </w:pPr>
            <w:r>
              <w:rPr>
                <w:sz w:val="19"/>
                <w:szCs w:val="19"/>
              </w:rPr>
              <w:t>Cobro</w:t>
            </w:r>
          </w:p>
        </w:tc>
        <w:tc>
          <w:tcPr>
            <w:tcW w:w="3510" w:type="dxa"/>
            <w:tcBorders>
              <w:bottom w:val="single" w:sz="2" w:space="0" w:color="DDDDDD"/>
            </w:tcBorders>
          </w:tcPr>
          <w:p>
            <w:pPr>
              <w:pStyle w:val="Normal"/>
              <w:spacing w:lineRule="auto" w:line="252" w:before="0" w:after="0"/>
              <w:ind w:hanging="0"/>
              <w:rPr/>
            </w:pPr>
            <w:r>
              <w:rPr>
                <w:sz w:val="19"/>
                <w:szCs w:val="19"/>
              </w:rPr>
              <w:t>Se teclea el pedido en el TPV y se cobra en efectivo o con datáfono</w:t>
            </w:r>
          </w:p>
        </w:tc>
        <w:tc>
          <w:tcPr>
            <w:tcW w:w="3511" w:type="dxa"/>
            <w:tcBorders>
              <w:bottom w:val="single" w:sz="2" w:space="0" w:color="DDDDDD"/>
            </w:tcBorders>
          </w:tcPr>
          <w:p>
            <w:pPr>
              <w:pStyle w:val="Normal"/>
              <w:spacing w:lineRule="auto" w:line="252" w:before="0" w:after="0"/>
              <w:ind w:hanging="0"/>
              <w:rPr/>
            </w:pPr>
            <w:r>
              <w:rPr>
                <w:sz w:val="19"/>
                <w:szCs w:val="19"/>
              </w:rPr>
              <w:t>El dato entra por primera vez al final; errores de tecleo</w:t>
            </w:r>
          </w:p>
        </w:tc>
      </w:tr>
      <w:tr>
        <w:trPr>
          <w:cantSplit w:val="true"/>
        </w:trPr>
        <w:tc>
          <w:tcPr>
            <w:tcW w:w="2005" w:type="dxa"/>
            <w:tcBorders>
              <w:bottom w:val="single" w:sz="2" w:space="0" w:color="DDDDDD"/>
            </w:tcBorders>
          </w:tcPr>
          <w:p>
            <w:pPr>
              <w:pStyle w:val="Normal"/>
              <w:spacing w:lineRule="auto" w:line="252" w:before="0" w:after="0"/>
              <w:ind w:hanging="0"/>
              <w:rPr/>
            </w:pPr>
            <w:r>
              <w:rPr>
                <w:sz w:val="19"/>
                <w:szCs w:val="19"/>
              </w:rPr>
              <w:t>Cierre de caja</w:t>
            </w:r>
          </w:p>
        </w:tc>
        <w:tc>
          <w:tcPr>
            <w:tcW w:w="3510" w:type="dxa"/>
            <w:tcBorders>
              <w:bottom w:val="single" w:sz="2" w:space="0" w:color="DDDDDD"/>
            </w:tcBorders>
          </w:tcPr>
          <w:p>
            <w:pPr>
              <w:pStyle w:val="Normal"/>
              <w:spacing w:lineRule="auto" w:line="252" w:before="0" w:after="0"/>
              <w:ind w:hanging="0"/>
              <w:rPr/>
            </w:pPr>
            <w:r>
              <w:rPr>
                <w:sz w:val="19"/>
                <w:szCs w:val="19"/>
              </w:rPr>
              <w:t>Informe del TPV y recuento en papel</w:t>
            </w:r>
          </w:p>
        </w:tc>
        <w:tc>
          <w:tcPr>
            <w:tcW w:w="3511" w:type="dxa"/>
            <w:tcBorders>
              <w:bottom w:val="single" w:sz="2" w:space="0" w:color="DDDDDD"/>
            </w:tcBorders>
          </w:tcPr>
          <w:p>
            <w:pPr>
              <w:pStyle w:val="Normal"/>
              <w:spacing w:lineRule="auto" w:line="252" w:before="0" w:after="0"/>
              <w:ind w:hanging="0"/>
              <w:rPr/>
            </w:pPr>
            <w:r>
              <w:rPr>
                <w:sz w:val="19"/>
                <w:szCs w:val="19"/>
              </w:rPr>
              <w:t>Descuadres difíciles de explicar</w:t>
            </w:r>
          </w:p>
        </w:tc>
      </w:tr>
      <w:tr>
        <w:trPr>
          <w:cantSplit w:val="true"/>
        </w:trPr>
        <w:tc>
          <w:tcPr>
            <w:tcW w:w="2005" w:type="dxa"/>
            <w:tcBorders>
              <w:bottom w:val="single" w:sz="2" w:space="0" w:color="DDDDDD"/>
            </w:tcBorders>
          </w:tcPr>
          <w:p>
            <w:pPr>
              <w:pStyle w:val="Normal"/>
              <w:spacing w:lineRule="auto" w:line="252" w:before="0" w:after="0"/>
              <w:ind w:hanging="0"/>
              <w:rPr/>
            </w:pPr>
            <w:r>
              <w:rPr>
                <w:sz w:val="19"/>
                <w:szCs w:val="19"/>
              </w:rPr>
              <w:t>Compras</w:t>
            </w:r>
          </w:p>
        </w:tc>
        <w:tc>
          <w:tcPr>
            <w:tcW w:w="3510" w:type="dxa"/>
            <w:tcBorders>
              <w:bottom w:val="single" w:sz="2" w:space="0" w:color="DDDDDD"/>
            </w:tcBorders>
          </w:tcPr>
          <w:p>
            <w:pPr>
              <w:pStyle w:val="Normal"/>
              <w:spacing w:lineRule="auto" w:line="252" w:before="0" w:after="0"/>
              <w:ind w:hanging="0"/>
              <w:rPr/>
            </w:pPr>
            <w:r>
              <w:rPr>
                <w:sz w:val="19"/>
                <w:szCs w:val="19"/>
              </w:rPr>
              <w:t>WhatsApp y teléfono con cada proveedor</w:t>
            </w:r>
          </w:p>
        </w:tc>
        <w:tc>
          <w:tcPr>
            <w:tcW w:w="3511" w:type="dxa"/>
            <w:tcBorders>
              <w:bottom w:val="single" w:sz="2" w:space="0" w:color="DDDDDD"/>
            </w:tcBorders>
          </w:tcPr>
          <w:p>
            <w:pPr>
              <w:pStyle w:val="Normal"/>
              <w:spacing w:lineRule="auto" w:line="252" w:before="0" w:after="0"/>
              <w:ind w:hanging="0"/>
              <w:rPr/>
            </w:pPr>
            <w:r>
              <w:rPr>
                <w:sz w:val="19"/>
                <w:szCs w:val="19"/>
              </w:rPr>
              <w:t>Sin histórico ni relación con lo vendido</w:t>
            </w:r>
          </w:p>
        </w:tc>
      </w:tr>
      <w:tr>
        <w:trPr>
          <w:cantSplit w:val="true"/>
        </w:trPr>
        <w:tc>
          <w:tcPr>
            <w:tcW w:w="2005" w:type="dxa"/>
            <w:tcBorders>
              <w:bottom w:val="single" w:sz="2" w:space="0" w:color="DDDDDD"/>
            </w:tcBorders>
          </w:tcPr>
          <w:p>
            <w:pPr>
              <w:pStyle w:val="Normal"/>
              <w:spacing w:lineRule="auto" w:line="252" w:before="0" w:after="0"/>
              <w:ind w:hanging="0"/>
              <w:rPr/>
            </w:pPr>
            <w:r>
              <w:rPr>
                <w:sz w:val="19"/>
                <w:szCs w:val="19"/>
              </w:rPr>
              <w:t>Contabilidad</w:t>
            </w:r>
          </w:p>
        </w:tc>
        <w:tc>
          <w:tcPr>
            <w:tcW w:w="3510" w:type="dxa"/>
            <w:tcBorders>
              <w:bottom w:val="single" w:sz="2" w:space="0" w:color="DDDDDD"/>
            </w:tcBorders>
          </w:tcPr>
          <w:p>
            <w:pPr>
              <w:pStyle w:val="Normal"/>
              <w:spacing w:lineRule="auto" w:line="252" w:before="0" w:after="0"/>
              <w:ind w:hanging="0"/>
              <w:rPr/>
            </w:pPr>
            <w:r>
              <w:rPr>
                <w:sz w:val="19"/>
                <w:szCs w:val="19"/>
              </w:rPr>
              <w:t>Facturas escaneadas que se envían por correo a la gestoría</w:t>
            </w:r>
          </w:p>
        </w:tc>
        <w:tc>
          <w:tcPr>
            <w:tcW w:w="3511" w:type="dxa"/>
            <w:tcBorders>
              <w:bottom w:val="single" w:sz="2" w:space="0" w:color="DDDDDD"/>
            </w:tcBorders>
          </w:tcPr>
          <w:p>
            <w:pPr>
              <w:pStyle w:val="Normal"/>
              <w:spacing w:lineRule="auto" w:line="252" w:before="0" w:after="0"/>
              <w:ind w:hanging="0"/>
              <w:rPr/>
            </w:pPr>
            <w:r>
              <w:rPr>
                <w:sz w:val="19"/>
                <w:szCs w:val="19"/>
              </w:rPr>
              <w:t>Documentación en cuentas personales</w:t>
            </w:r>
          </w:p>
        </w:tc>
      </w:tr>
      <w:tr>
        <w:trPr>
          <w:cantSplit w:val="true"/>
        </w:trPr>
        <w:tc>
          <w:tcPr>
            <w:tcW w:w="2005" w:type="dxa"/>
            <w:tcBorders>
              <w:bottom w:val="single" w:sz="6" w:space="0" w:color="808080"/>
            </w:tcBorders>
          </w:tcPr>
          <w:p>
            <w:pPr>
              <w:pStyle w:val="Normal"/>
              <w:spacing w:lineRule="auto" w:line="252" w:before="0" w:after="0"/>
              <w:ind w:hanging="0"/>
              <w:rPr/>
            </w:pPr>
            <w:r>
              <w:rPr>
                <w:sz w:val="19"/>
                <w:szCs w:val="19"/>
              </w:rPr>
              <w:t>Turnos y jornada</w:t>
            </w:r>
          </w:p>
        </w:tc>
        <w:tc>
          <w:tcPr>
            <w:tcW w:w="3510" w:type="dxa"/>
            <w:tcBorders>
              <w:bottom w:val="single" w:sz="6" w:space="0" w:color="808080"/>
            </w:tcBorders>
          </w:tcPr>
          <w:p>
            <w:pPr>
              <w:pStyle w:val="Normal"/>
              <w:spacing w:lineRule="auto" w:line="252" w:before="0" w:after="0"/>
              <w:ind w:hanging="0"/>
              <w:rPr/>
            </w:pPr>
            <w:r>
              <w:rPr>
                <w:sz w:val="19"/>
                <w:szCs w:val="19"/>
              </w:rPr>
              <w:t>Cuadrante en papel y hoja de firmas</w:t>
            </w:r>
          </w:p>
        </w:tc>
        <w:tc>
          <w:tcPr>
            <w:tcW w:w="3511" w:type="dxa"/>
            <w:tcBorders>
              <w:bottom w:val="single" w:sz="6" w:space="0" w:color="808080"/>
            </w:tcBorders>
          </w:tcPr>
          <w:p>
            <w:pPr>
              <w:pStyle w:val="Normal"/>
              <w:spacing w:lineRule="auto" w:line="252" w:before="0" w:after="0"/>
              <w:ind w:hanging="0"/>
              <w:rPr/>
            </w:pPr>
            <w:r>
              <w:rPr>
                <w:sz w:val="19"/>
                <w:szCs w:val="19"/>
              </w:rPr>
              <w:t>Registro de jornada difícil de consultar y conservar</w:t>
            </w:r>
          </w:p>
        </w:tc>
      </w:tr>
    </w:tbl>
    <w:p>
      <w:pPr>
        <w:pStyle w:val="Normal"/>
        <w:spacing w:lineRule="auto" w:line="276" w:before="80" w:after="240"/>
        <w:ind w:hanging="0"/>
        <w:rPr/>
      </w:pPr>
      <w:r>
        <w:rPr>
          <w:i/>
          <w:iCs/>
          <w:sz w:val="20"/>
          <w:szCs w:val="20"/>
        </w:rPr>
        <w:t>Nota.</w:t>
      </w:r>
      <w:r>
        <w:rPr>
          <w:sz w:val="20"/>
          <w:szCs w:val="20"/>
        </w:rPr>
        <w:t xml:space="preserve"> Elaboración propia a partir del escenario.</w:t>
      </w:r>
    </w:p>
    <w:p>
      <w:pPr>
        <w:pStyle w:val="Heading2"/>
        <w:rPr/>
      </w:pPr>
      <w:bookmarkStart w:id="4" w:name="__RefHeading___Toc1966_3382994897"/>
      <w:bookmarkEnd w:id="4"/>
      <w:r>
        <w:rPr/>
        <w:t>1.4. Estado actual de la infraestructura tecnológica</w:t>
      </w:r>
    </w:p>
    <w:p>
      <w:pPr>
        <w:pStyle w:val="Normal"/>
        <w:rPr/>
      </w:pPr>
      <w:r>
        <w:rPr/>
        <w:t>La infraestructura de Burglar King no se ha diseñado: se ha ido acumulando. Hay un ordenador en la caja, un router que instaló la operadora, un datáfono que es del banco y varios móviles personales que se han convertido en herramientas de trabajo. La tabla 4 resume el inventario de hardware, sistemas operativos y servicios, y la figura 2 muestra la red.</w:t>
      </w:r>
    </w:p>
    <w:p>
      <w:pPr>
        <w:pStyle w:val="Normal"/>
        <w:keepNext w:val="true"/>
        <w:spacing w:lineRule="auto" w:line="480" w:before="240" w:after="0"/>
        <w:ind w:hanging="0"/>
        <w:rPr/>
      </w:pPr>
      <w:r>
        <w:rPr>
          <w:b/>
          <w:bCs/>
        </w:rPr>
        <w:t>Tabla 4</w:t>
      </w:r>
    </w:p>
    <w:p>
      <w:pPr>
        <w:pStyle w:val="Normal"/>
        <w:keepNext w:val="true"/>
        <w:spacing w:lineRule="auto" w:line="480" w:before="0" w:after="120"/>
        <w:ind w:hanging="0"/>
        <w:rPr/>
      </w:pPr>
      <w:r>
        <w:rPr>
          <w:i/>
          <w:iCs/>
        </w:rPr>
        <w:t>Inventario resumido de la infraestructura actual</w:t>
      </w:r>
    </w:p>
    <w:tbl>
      <w:tblPr>
        <w:tblW w:w="9026" w:type="dxa"/>
        <w:jc w:val="left"/>
        <w:tblInd w:w="0" w:type="dxa"/>
        <w:tblLayout w:type="fixed"/>
        <w:tblCellMar>
          <w:top w:w="60" w:type="dxa"/>
          <w:left w:w="100" w:type="dxa"/>
          <w:bottom w:w="60" w:type="dxa"/>
          <w:right w:w="100" w:type="dxa"/>
        </w:tblCellMar>
      </w:tblPr>
      <w:tblGrid>
        <w:gridCol w:w="1805"/>
        <w:gridCol w:w="4011"/>
        <w:gridCol w:w="3210"/>
      </w:tblGrid>
      <w:tr>
        <w:trPr>
          <w:tblHeader w:val="true"/>
          <w:cantSplit w:val="true"/>
        </w:trPr>
        <w:tc>
          <w:tcPr>
            <w:tcW w:w="1805"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Elemento</w:t>
            </w:r>
          </w:p>
        </w:tc>
        <w:tc>
          <w:tcPr>
            <w:tcW w:w="4011"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Descripción</w:t>
            </w:r>
          </w:p>
        </w:tc>
        <w:tc>
          <w:tcPr>
            <w:tcW w:w="321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Estado y riesgo</w:t>
            </w:r>
          </w:p>
        </w:tc>
      </w:tr>
      <w:tr>
        <w:trPr>
          <w:cantSplit w:val="true"/>
        </w:trPr>
        <w:tc>
          <w:tcPr>
            <w:tcW w:w="1805" w:type="dxa"/>
            <w:tcBorders>
              <w:bottom w:val="single" w:sz="2" w:space="0" w:color="DDDDDD"/>
            </w:tcBorders>
          </w:tcPr>
          <w:p>
            <w:pPr>
              <w:pStyle w:val="Normal"/>
              <w:spacing w:lineRule="auto" w:line="252" w:before="0" w:after="0"/>
              <w:ind w:hanging="0"/>
              <w:rPr/>
            </w:pPr>
            <w:r>
              <w:rPr>
                <w:sz w:val="19"/>
                <w:szCs w:val="19"/>
              </w:rPr>
              <w:t>PC del TPV</w:t>
            </w:r>
          </w:p>
        </w:tc>
        <w:tc>
          <w:tcPr>
            <w:tcW w:w="4011" w:type="dxa"/>
            <w:tcBorders>
              <w:bottom w:val="single" w:sz="2" w:space="0" w:color="DDDDDD"/>
            </w:tcBorders>
          </w:tcPr>
          <w:p>
            <w:pPr>
              <w:pStyle w:val="Normal"/>
              <w:spacing w:lineRule="auto" w:line="252" w:before="0" w:after="0"/>
              <w:ind w:hanging="0"/>
              <w:rPr/>
            </w:pPr>
            <w:r>
              <w:rPr>
                <w:sz w:val="19"/>
                <w:szCs w:val="19"/>
              </w:rPr>
              <w:t>Todo en uno táctil de 2015, 4 GB de RAM y disco mecánico; Windows 10 Pro 22H2; licencia del TPV de 2016 sin mantenimiento</w:t>
            </w:r>
          </w:p>
        </w:tc>
        <w:tc>
          <w:tcPr>
            <w:tcW w:w="3210" w:type="dxa"/>
            <w:tcBorders>
              <w:bottom w:val="single" w:sz="2" w:space="0" w:color="DDDDDD"/>
            </w:tcBorders>
          </w:tcPr>
          <w:p>
            <w:pPr>
              <w:pStyle w:val="Normal"/>
              <w:spacing w:lineRule="auto" w:line="252" w:before="0" w:after="0"/>
              <w:ind w:hanging="0"/>
              <w:rPr/>
            </w:pPr>
            <w:r>
              <w:rPr>
                <w:sz w:val="19"/>
                <w:szCs w:val="19"/>
              </w:rPr>
              <w:t>Sin soporte desde el 14/10/2025 (Microsoft, 2025); disco con sectores reasignados; sin copias de seguridad</w:t>
            </w:r>
          </w:p>
        </w:tc>
      </w:tr>
      <w:tr>
        <w:trPr>
          <w:cantSplit w:val="true"/>
        </w:trPr>
        <w:tc>
          <w:tcPr>
            <w:tcW w:w="1805" w:type="dxa"/>
            <w:tcBorders>
              <w:bottom w:val="single" w:sz="2" w:space="0" w:color="DDDDDD"/>
            </w:tcBorders>
          </w:tcPr>
          <w:p>
            <w:pPr>
              <w:pStyle w:val="Normal"/>
              <w:spacing w:lineRule="auto" w:line="252" w:before="0" w:after="0"/>
              <w:ind w:hanging="0"/>
              <w:rPr/>
            </w:pPr>
            <w:r>
              <w:rPr>
                <w:sz w:val="19"/>
                <w:szCs w:val="19"/>
              </w:rPr>
              <w:t>Periféricos de caja</w:t>
            </w:r>
          </w:p>
        </w:tc>
        <w:tc>
          <w:tcPr>
            <w:tcW w:w="4011" w:type="dxa"/>
            <w:tcBorders>
              <w:bottom w:val="single" w:sz="2" w:space="0" w:color="DDDDDD"/>
            </w:tcBorders>
          </w:tcPr>
          <w:p>
            <w:pPr>
              <w:pStyle w:val="Normal"/>
              <w:spacing w:lineRule="auto" w:line="252" w:before="0" w:after="0"/>
              <w:ind w:hanging="0"/>
              <w:rPr/>
            </w:pPr>
            <w:r>
              <w:rPr>
                <w:sz w:val="19"/>
                <w:szCs w:val="19"/>
              </w:rPr>
              <w:t>Impresora térmica de 80 mm, cajón portamonedas y datáfono del banco con wifi y 4G</w:t>
            </w:r>
          </w:p>
        </w:tc>
        <w:tc>
          <w:tcPr>
            <w:tcW w:w="3210" w:type="dxa"/>
            <w:tcBorders>
              <w:bottom w:val="single" w:sz="2" w:space="0" w:color="DDDDDD"/>
            </w:tcBorders>
          </w:tcPr>
          <w:p>
            <w:pPr>
              <w:pStyle w:val="Normal"/>
              <w:spacing w:lineRule="auto" w:line="252" w:before="0" w:after="0"/>
              <w:ind w:hanging="0"/>
              <w:rPr/>
            </w:pPr>
            <w:r>
              <w:rPr>
                <w:sz w:val="19"/>
                <w:szCs w:val="19"/>
              </w:rPr>
              <w:t>El datáfono pierde la conexión en la terraza</w:t>
            </w:r>
          </w:p>
        </w:tc>
      </w:tr>
      <w:tr>
        <w:trPr>
          <w:cantSplit w:val="true"/>
        </w:trPr>
        <w:tc>
          <w:tcPr>
            <w:tcW w:w="1805" w:type="dxa"/>
            <w:tcBorders>
              <w:bottom w:val="single" w:sz="2" w:space="0" w:color="DDDDDD"/>
            </w:tcBorders>
          </w:tcPr>
          <w:p>
            <w:pPr>
              <w:pStyle w:val="Normal"/>
              <w:spacing w:lineRule="auto" w:line="252" w:before="0" w:after="0"/>
              <w:ind w:hanging="0"/>
              <w:rPr/>
            </w:pPr>
            <w:r>
              <w:rPr>
                <w:sz w:val="19"/>
                <w:szCs w:val="19"/>
              </w:rPr>
              <w:t>Portátil y móviles</w:t>
            </w:r>
          </w:p>
        </w:tc>
        <w:tc>
          <w:tcPr>
            <w:tcW w:w="4011" w:type="dxa"/>
            <w:tcBorders>
              <w:bottom w:val="single" w:sz="2" w:space="0" w:color="DDDDDD"/>
            </w:tcBorders>
          </w:tcPr>
          <w:p>
            <w:pPr>
              <w:pStyle w:val="Normal"/>
              <w:spacing w:lineRule="auto" w:line="252" w:before="0" w:after="0"/>
              <w:ind w:hanging="0"/>
              <w:rPr/>
            </w:pPr>
            <w:r>
              <w:rPr>
                <w:sz w:val="19"/>
                <w:szCs w:val="19"/>
              </w:rPr>
              <w:t>Portátil personal del encargado (Windows 11 Home) y móviles personales del equipo</w:t>
            </w:r>
          </w:p>
        </w:tc>
        <w:tc>
          <w:tcPr>
            <w:tcW w:w="3210" w:type="dxa"/>
            <w:tcBorders>
              <w:bottom w:val="single" w:sz="2" w:space="0" w:color="DDDDDD"/>
            </w:tcBorders>
          </w:tcPr>
          <w:p>
            <w:pPr>
              <w:pStyle w:val="Normal"/>
              <w:spacing w:lineRule="auto" w:line="252" w:before="0" w:after="0"/>
              <w:ind w:hanging="0"/>
              <w:rPr/>
            </w:pPr>
            <w:r>
              <w:rPr>
                <w:sz w:val="19"/>
                <w:szCs w:val="19"/>
              </w:rPr>
              <w:t>Los datos del negocio viven en cuentas personales</w:t>
            </w:r>
          </w:p>
        </w:tc>
      </w:tr>
      <w:tr>
        <w:trPr>
          <w:cantSplit w:val="true"/>
        </w:trPr>
        <w:tc>
          <w:tcPr>
            <w:tcW w:w="1805" w:type="dxa"/>
            <w:tcBorders>
              <w:bottom w:val="single" w:sz="2" w:space="0" w:color="DDDDDD"/>
            </w:tcBorders>
          </w:tcPr>
          <w:p>
            <w:pPr>
              <w:pStyle w:val="Normal"/>
              <w:spacing w:lineRule="auto" w:line="252" w:before="0" w:after="0"/>
              <w:ind w:hanging="0"/>
              <w:rPr/>
            </w:pPr>
            <w:r>
              <w:rPr>
                <w:sz w:val="19"/>
                <w:szCs w:val="19"/>
              </w:rPr>
              <w:t>Tableta de reparto</w:t>
            </w:r>
          </w:p>
        </w:tc>
        <w:tc>
          <w:tcPr>
            <w:tcW w:w="4011" w:type="dxa"/>
            <w:tcBorders>
              <w:bottom w:val="single" w:sz="2" w:space="0" w:color="DDDDDD"/>
            </w:tcBorders>
          </w:tcPr>
          <w:p>
            <w:pPr>
              <w:pStyle w:val="Normal"/>
              <w:spacing w:lineRule="auto" w:line="252" w:before="0" w:after="0"/>
              <w:ind w:hanging="0"/>
              <w:rPr/>
            </w:pPr>
            <w:r>
              <w:rPr>
                <w:sz w:val="19"/>
                <w:szCs w:val="19"/>
              </w:rPr>
              <w:t>Android 9 (2018), siempre enchufada, con las aplicaciones de dos plataformas</w:t>
            </w:r>
          </w:p>
        </w:tc>
        <w:tc>
          <w:tcPr>
            <w:tcW w:w="3210" w:type="dxa"/>
            <w:tcBorders>
              <w:bottom w:val="single" w:sz="2" w:space="0" w:color="DDDDDD"/>
            </w:tcBorders>
          </w:tcPr>
          <w:p>
            <w:pPr>
              <w:pStyle w:val="Normal"/>
              <w:spacing w:lineRule="auto" w:line="252" w:before="0" w:after="0"/>
              <w:ind w:hanging="0"/>
              <w:rPr/>
            </w:pPr>
            <w:r>
              <w:rPr>
                <w:sz w:val="19"/>
                <w:szCs w:val="19"/>
              </w:rPr>
              <w:t>Sin parches; contraseñas apuntadas en un pósit</w:t>
            </w:r>
          </w:p>
        </w:tc>
      </w:tr>
      <w:tr>
        <w:trPr>
          <w:cantSplit w:val="true"/>
        </w:trPr>
        <w:tc>
          <w:tcPr>
            <w:tcW w:w="1805" w:type="dxa"/>
            <w:tcBorders>
              <w:bottom w:val="single" w:sz="2" w:space="0" w:color="DDDDDD"/>
            </w:tcBorders>
          </w:tcPr>
          <w:p>
            <w:pPr>
              <w:pStyle w:val="Normal"/>
              <w:spacing w:lineRule="auto" w:line="252" w:before="0" w:after="0"/>
              <w:ind w:hanging="0"/>
              <w:rPr/>
            </w:pPr>
            <w:r>
              <w:rPr>
                <w:sz w:val="19"/>
                <w:szCs w:val="19"/>
              </w:rPr>
              <w:t>Red</w:t>
            </w:r>
          </w:p>
        </w:tc>
        <w:tc>
          <w:tcPr>
            <w:tcW w:w="4011" w:type="dxa"/>
            <w:tcBorders>
              <w:bottom w:val="single" w:sz="2" w:space="0" w:color="DDDDDD"/>
            </w:tcBorders>
          </w:tcPr>
          <w:p>
            <w:pPr>
              <w:pStyle w:val="Normal"/>
              <w:spacing w:lineRule="auto" w:line="252" w:before="0" w:after="0"/>
              <w:ind w:hanging="0"/>
              <w:rPr/>
            </w:pPr>
            <w:r>
              <w:rPr>
                <w:sz w:val="19"/>
                <w:szCs w:val="19"/>
              </w:rPr>
              <w:t>Router de la operadora en el almacén; fibra de 600 Mb/s; una sola red 192.168.1.0/24 y un solo SSID con WPA2</w:t>
            </w:r>
          </w:p>
        </w:tc>
        <w:tc>
          <w:tcPr>
            <w:tcW w:w="3210" w:type="dxa"/>
            <w:tcBorders>
              <w:bottom w:val="single" w:sz="2" w:space="0" w:color="DDDDDD"/>
            </w:tcBorders>
          </w:tcPr>
          <w:p>
            <w:pPr>
              <w:pStyle w:val="Normal"/>
              <w:spacing w:lineRule="auto" w:line="252" w:before="0" w:after="0"/>
              <w:ind w:hanging="0"/>
              <w:rPr/>
            </w:pPr>
            <w:r>
              <w:rPr>
                <w:sz w:val="19"/>
                <w:szCs w:val="19"/>
              </w:rPr>
              <w:t>Clientes, caja, datáfono y cámaras en la misma red; contraseña de administración de fábrica; UPnP activado</w:t>
            </w:r>
          </w:p>
        </w:tc>
      </w:tr>
      <w:tr>
        <w:trPr>
          <w:cantSplit w:val="true"/>
        </w:trPr>
        <w:tc>
          <w:tcPr>
            <w:tcW w:w="1805" w:type="dxa"/>
            <w:tcBorders>
              <w:bottom w:val="single" w:sz="2" w:space="0" w:color="DDDDDD"/>
            </w:tcBorders>
          </w:tcPr>
          <w:p>
            <w:pPr>
              <w:pStyle w:val="Normal"/>
              <w:spacing w:lineRule="auto" w:line="252" w:before="0" w:after="0"/>
              <w:ind w:hanging="0"/>
              <w:rPr/>
            </w:pPr>
            <w:r>
              <w:rPr>
                <w:sz w:val="19"/>
                <w:szCs w:val="19"/>
              </w:rPr>
              <w:t>Videovigilancia</w:t>
            </w:r>
          </w:p>
        </w:tc>
        <w:tc>
          <w:tcPr>
            <w:tcW w:w="4011" w:type="dxa"/>
            <w:tcBorders>
              <w:bottom w:val="single" w:sz="2" w:space="0" w:color="DDDDDD"/>
            </w:tcBorders>
          </w:tcPr>
          <w:p>
            <w:pPr>
              <w:pStyle w:val="Normal"/>
              <w:spacing w:lineRule="auto" w:line="252" w:before="0" w:after="0"/>
              <w:ind w:hanging="0"/>
              <w:rPr/>
            </w:pPr>
            <w:r>
              <w:rPr>
                <w:sz w:val="19"/>
                <w:szCs w:val="19"/>
              </w:rPr>
              <w:t>Grabador de 4 canales con dos cámaras IP; firmware de 2019</w:t>
            </w:r>
          </w:p>
        </w:tc>
        <w:tc>
          <w:tcPr>
            <w:tcW w:w="3210" w:type="dxa"/>
            <w:tcBorders>
              <w:bottom w:val="single" w:sz="2" w:space="0" w:color="DDDDDD"/>
            </w:tcBorders>
          </w:tcPr>
          <w:p>
            <w:pPr>
              <w:pStyle w:val="Normal"/>
              <w:spacing w:lineRule="auto" w:line="252" w:before="0" w:after="0"/>
              <w:ind w:hanging="0"/>
              <w:rPr/>
            </w:pPr>
            <w:r>
              <w:rPr>
                <w:sz w:val="19"/>
                <w:szCs w:val="19"/>
              </w:rPr>
              <w:t>Expuesto a internet con credenciales de fábrica; sin cartel informativo</w:t>
            </w:r>
          </w:p>
        </w:tc>
      </w:tr>
      <w:tr>
        <w:trPr>
          <w:cantSplit w:val="true"/>
        </w:trPr>
        <w:tc>
          <w:tcPr>
            <w:tcW w:w="1805" w:type="dxa"/>
            <w:tcBorders>
              <w:bottom w:val="single" w:sz="6" w:space="0" w:color="808080"/>
            </w:tcBorders>
          </w:tcPr>
          <w:p>
            <w:pPr>
              <w:pStyle w:val="Normal"/>
              <w:spacing w:lineRule="auto" w:line="252" w:before="0" w:after="0"/>
              <w:ind w:hanging="0"/>
              <w:rPr/>
            </w:pPr>
            <w:r>
              <w:rPr>
                <w:sz w:val="19"/>
                <w:szCs w:val="19"/>
              </w:rPr>
              <w:t>Alimentación</w:t>
            </w:r>
          </w:p>
        </w:tc>
        <w:tc>
          <w:tcPr>
            <w:tcW w:w="4011" w:type="dxa"/>
            <w:tcBorders>
              <w:bottom w:val="single" w:sz="6" w:space="0" w:color="808080"/>
            </w:tcBorders>
          </w:tcPr>
          <w:p>
            <w:pPr>
              <w:pStyle w:val="Normal"/>
              <w:spacing w:lineRule="auto" w:line="252" w:before="0" w:after="0"/>
              <w:ind w:hanging="0"/>
              <w:rPr/>
            </w:pPr>
            <w:r>
              <w:rPr>
                <w:sz w:val="19"/>
                <w:szCs w:val="19"/>
              </w:rPr>
              <w:t>Regletas domésticas; no hay SAI</w:t>
            </w:r>
          </w:p>
        </w:tc>
        <w:tc>
          <w:tcPr>
            <w:tcW w:w="3210" w:type="dxa"/>
            <w:tcBorders>
              <w:bottom w:val="single" w:sz="6" w:space="0" w:color="808080"/>
            </w:tcBorders>
          </w:tcPr>
          <w:p>
            <w:pPr>
              <w:pStyle w:val="Normal"/>
              <w:spacing w:lineRule="auto" w:line="252" w:before="0" w:after="0"/>
              <w:ind w:hanging="0"/>
              <w:rPr/>
            </w:pPr>
            <w:r>
              <w:rPr>
                <w:sz w:val="19"/>
                <w:szCs w:val="19"/>
              </w:rPr>
              <w:t>Un corte de luz apaga el TPV de golpe</w:t>
            </w:r>
          </w:p>
        </w:tc>
      </w:tr>
    </w:tbl>
    <w:p>
      <w:pPr>
        <w:pStyle w:val="Normal"/>
        <w:spacing w:lineRule="auto" w:line="276" w:before="80" w:after="240"/>
        <w:ind w:hanging="0"/>
        <w:rPr/>
      </w:pPr>
      <w:r>
        <w:rPr>
          <w:i/>
          <w:iCs/>
          <w:sz w:val="20"/>
          <w:szCs w:val="20"/>
        </w:rPr>
        <w:t>Nota.</w:t>
      </w:r>
      <w:r>
        <w:rPr>
          <w:sz w:val="20"/>
          <w:szCs w:val="20"/>
        </w:rPr>
        <w:t xml:space="preserve"> Inventario del escenario ficticio.</w:t>
      </w:r>
    </w:p>
    <w:p>
      <w:pPr>
        <w:pStyle w:val="Normal"/>
        <w:keepNext w:val="true"/>
        <w:spacing w:lineRule="auto" w:line="480" w:before="240" w:after="0"/>
        <w:ind w:hanging="0"/>
        <w:rPr/>
      </w:pPr>
      <w:r>
        <w:rPr>
          <w:b/>
          <w:bCs/>
        </w:rPr>
        <w:t>Figura 2</w:t>
      </w:r>
    </w:p>
    <w:p>
      <w:pPr>
        <w:pStyle w:val="Normal"/>
        <w:keepNext w:val="true"/>
        <w:spacing w:lineRule="auto" w:line="480" w:before="0" w:after="120"/>
        <w:ind w:hanging="0"/>
        <w:rPr/>
      </w:pPr>
      <w:r>
        <w:rPr>
          <w:i/>
          <w:iCs/>
        </w:rPr>
        <w:t>Esquema de la red actual del local</w:t>
      </w:r>
    </w:p>
    <w:p>
      <w:pPr>
        <w:pStyle w:val="Normal"/>
        <w:keepNext w:val="true"/>
        <w:spacing w:lineRule="auto" w:line="240"/>
        <w:ind w:hanging="0"/>
        <w:jc w:val="center"/>
        <w:rPr/>
      </w:pPr>
      <w:r>
        <w:rPr/>
        <w:drawing>
          <wp:inline distT="0" distB="0" distL="0" distR="0">
            <wp:extent cx="4286250" cy="2790825"/>
            <wp:effectExtent l="0" t="0" r="0" b="0"/>
            <wp:docPr id="2" name="red_actual.png" descr="Esquema de la red actual del local&#10;Esquema de la red actual del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d_actual.png" descr="Esquema de la red actual del local&#10;Esquema de la red actual del local"/>
                    <pic:cNvPicPr>
                      <a:picLocks noChangeAspect="1" noChangeArrowheads="1"/>
                    </pic:cNvPicPr>
                  </pic:nvPicPr>
                  <pic:blipFill>
                    <a:blip r:embed="rId3"/>
                    <a:stretch>
                      <a:fillRect/>
                    </a:stretch>
                  </pic:blipFill>
                  <pic:spPr bwMode="auto">
                    <a:xfrm>
                      <a:off x="0" y="0"/>
                      <a:ext cx="4286250" cy="2790825"/>
                    </a:xfrm>
                    <a:prstGeom prst="rect">
                      <a:avLst/>
                    </a:prstGeom>
                    <a:noFill/>
                  </pic:spPr>
                </pic:pic>
              </a:graphicData>
            </a:graphic>
          </wp:inline>
        </w:drawing>
      </w:r>
    </w:p>
    <w:p>
      <w:pPr>
        <w:pStyle w:val="Normal"/>
        <w:spacing w:lineRule="auto" w:line="276" w:before="80" w:after="240"/>
        <w:ind w:hanging="0"/>
        <w:rPr/>
      </w:pPr>
      <w:r>
        <w:rPr>
          <w:i/>
          <w:iCs/>
          <w:sz w:val="20"/>
          <w:szCs w:val="20"/>
        </w:rPr>
        <w:t>Nota.</w:t>
      </w:r>
      <w:r>
        <w:rPr>
          <w:sz w:val="20"/>
          <w:szCs w:val="20"/>
        </w:rPr>
        <w:t xml:space="preserve"> Elaboración propia. Solo el PC del TPV y el grabador van por cable; todo lo demás se conecta por wifi al mismo SSID.</w:t>
      </w:r>
    </w:p>
    <w:p>
      <w:pPr>
        <w:pStyle w:val="Normal"/>
        <w:rPr/>
      </w:pPr>
      <w:r>
        <w:rPr/>
        <w:t>Tres hechos resumen el diagnóstico técnico. Primero, la información de la comanda no entra en ningún sistema hasta el cobro, de modo que durante el servicio el local no sabe qué mesa espera ni cuánto tarda la cocina. Segundo, el único equipo que guarda datos del negocio funciona con un sistema operativo sin soporte, en un disco que falla y sin copias. Tercero, toda la actividad comparte una red plana con los teléfonos de los clientes y con un grabador expuesto en internet. Ninguno de los tres problemas exige tecnología cara; exigen que alguien diseñe la infraestructura, que es lo que este proyecto se propone.</w:t>
      </w:r>
      <w:r>
        <w:br w:type="page"/>
      </w:r>
    </w:p>
    <w:p>
      <w:pPr>
        <w:pStyle w:val="Heading1"/>
        <w:rPr/>
      </w:pPr>
      <w:bookmarkStart w:id="5" w:name="__RefHeading___Toc1968_3382994897"/>
      <w:bookmarkEnd w:id="5"/>
      <w:r>
        <w:rPr/>
        <w:t>2. Empresa de referencia</w:t>
      </w:r>
    </w:p>
    <w:p>
      <w:pPr>
        <w:pStyle w:val="Normal"/>
        <w:rPr/>
      </w:pPr>
      <w:r>
        <w:rPr/>
        <w:t xml:space="preserve">Para situar a Burglar King se ha buscado una empresa real del mismo producto y del mismo territorio que haya resuelto bien lo que Burglar King quiere resolver. La elegida es </w:t>
      </w:r>
      <w:r>
        <w:rPr>
          <w:b/>
          <w:bCs/>
        </w:rPr>
        <w:t>Hundred Burgers</w:t>
      </w:r>
      <w:r>
        <w:rPr/>
        <w:t xml:space="preserve">, la cadena de hamburguesas fundada en València en 2020. Como contrapunto se ha mirado también a </w:t>
      </w:r>
      <w:r>
        <w:rPr>
          <w:b/>
          <w:bCs/>
        </w:rPr>
        <w:t>Goiko</w:t>
      </w:r>
      <w:r>
        <w:rPr/>
        <w:t xml:space="preserve">, la cadena que creó el segmento de la hamburguesa </w:t>
      </w:r>
      <w:r>
        <w:rPr>
          <w:i/>
          <w:iCs/>
        </w:rPr>
        <w:t>gourmet</w:t>
      </w:r>
      <w:r>
        <w:rPr/>
        <w:t xml:space="preserve"> en España y que en 2025 ha sufrido la caída del mercado. Entre las dos marcan los límites del negocio: lo que funciona y lo que deja de funcionar.</w:t>
      </w:r>
    </w:p>
    <w:p>
      <w:pPr>
        <w:pStyle w:val="Heading2"/>
        <w:rPr/>
      </w:pPr>
      <w:bookmarkStart w:id="6" w:name="__RefHeading___Toc1970_3382994897"/>
      <w:bookmarkEnd w:id="6"/>
      <w:r>
        <w:rPr/>
        <w:t>2.1. Hundred Burgers</w:t>
      </w:r>
    </w:p>
    <w:p>
      <w:pPr>
        <w:pStyle w:val="Normal"/>
        <w:rPr/>
      </w:pPr>
      <w:r>
        <w:rPr/>
        <w:t>Hundred Burgers nació en 2020 en València con una idea sencilla: hacer muy pocas cosas y hacerlas con el mejor producto posible. En 2024 obtuvo el primer puesto del ranking The World's Best Burgers, y con siete locales empleaba a más de 200 personas (Economía 3, 2024). En octubre de 2025 el fondo Buenavista Equity Partners tomó el 80 % del capital; en ese momento la cadena tenía ocho locales entre València y Madrid e ingresos superiores a 25 millones de euros anuales, con un plan de 10 a 15 aperturas en cinco años y los fundadores al frente del negocio (Buenavista Equity Partners, 2025). El ticket medio ronda los 20 euros y el reparto a domicilio aporta en torno al 35 % de los ingresos (El Confidencial Digital, 2025).</w:t>
      </w:r>
    </w:p>
    <w:p>
      <w:pPr>
        <w:pStyle w:val="Heading2"/>
        <w:rPr/>
      </w:pPr>
      <w:bookmarkStart w:id="7" w:name="__RefHeading___Toc1972_3382994897"/>
      <w:bookmarkEnd w:id="7"/>
      <w:r>
        <w:rPr/>
        <w:t>2.2. Goiko, el contrapunto</w:t>
      </w:r>
    </w:p>
    <w:p>
      <w:pPr>
        <w:pStyle w:val="Normal"/>
        <w:rPr/>
      </w:pPr>
      <w:r>
        <w:rPr/>
        <w:t>Goiko es el ejemplo de lo que ocurre cuando el crecimiento va por delante de la demanda. Con 117 restaurantes propios a cierre de 2024, en 2025 facturó 109 millones de euros, un 11,2 % menos que el año anterior, y sus pérdidas se dispararon un 161 % hasta los 36,4 millones; la plantilla media bajó a 1.737 personas y las cuentas atribuyen la caída a la «disminución del tráfico» y a «menores niveles de consumo» (Forbes España, 2026). El segmento de la hamburguesa en España ha crecido mucho en pocos años y ya no admite a todos los que entran.</w:t>
      </w:r>
    </w:p>
    <w:p>
      <w:pPr>
        <w:pStyle w:val="Heading2"/>
        <w:rPr/>
      </w:pPr>
      <w:bookmarkStart w:id="8" w:name="__RefHeading___Toc1974_3382994897"/>
      <w:bookmarkEnd w:id="8"/>
      <w:r>
        <w:rPr/>
        <w:t>2.3. Lo que Burglar King toma de la referencia</w:t>
      </w:r>
    </w:p>
    <w:p>
      <w:pPr>
        <w:pStyle w:val="Normal"/>
        <w:keepNext w:val="true"/>
        <w:spacing w:lineRule="auto" w:line="480" w:before="240" w:after="0"/>
        <w:ind w:hanging="0"/>
        <w:rPr/>
      </w:pPr>
      <w:r>
        <w:rPr>
          <w:b/>
          <w:bCs/>
        </w:rPr>
        <w:t>Tabla 5</w:t>
      </w:r>
    </w:p>
    <w:p>
      <w:pPr>
        <w:pStyle w:val="Normal"/>
        <w:keepNext w:val="true"/>
        <w:spacing w:lineRule="auto" w:line="480" w:before="0" w:after="120"/>
        <w:ind w:hanging="0"/>
        <w:rPr/>
      </w:pPr>
      <w:r>
        <w:rPr>
          <w:i/>
          <w:iCs/>
        </w:rPr>
        <w:t>Comparación de Burglar King con las dos empresas de referencia</w:t>
      </w:r>
    </w:p>
    <w:tbl>
      <w:tblPr>
        <w:tblW w:w="9026" w:type="dxa"/>
        <w:jc w:val="left"/>
        <w:tblInd w:w="0" w:type="dxa"/>
        <w:tblLayout w:type="fixed"/>
        <w:tblCellMar>
          <w:top w:w="60" w:type="dxa"/>
          <w:left w:w="100" w:type="dxa"/>
          <w:bottom w:w="60" w:type="dxa"/>
          <w:right w:w="100" w:type="dxa"/>
        </w:tblCellMar>
      </w:tblPr>
      <w:tblGrid>
        <w:gridCol w:w="1899"/>
        <w:gridCol w:w="2400"/>
        <w:gridCol w:w="2400"/>
        <w:gridCol w:w="2326"/>
      </w:tblGrid>
      <w:tr>
        <w:trPr>
          <w:tblHeader w:val="true"/>
          <w:cantSplit w:val="true"/>
        </w:trPr>
        <w:tc>
          <w:tcPr>
            <w:tcW w:w="18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Variable</w:t>
            </w:r>
          </w:p>
        </w:tc>
        <w:tc>
          <w:tcPr>
            <w:tcW w:w="240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Burglar King (ficticia)</w:t>
            </w:r>
          </w:p>
        </w:tc>
        <w:tc>
          <w:tcPr>
            <w:tcW w:w="240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Hundred Burgers</w:t>
            </w:r>
          </w:p>
        </w:tc>
        <w:tc>
          <w:tcPr>
            <w:tcW w:w="2326"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Goiko</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Origen y año</w:t>
            </w:r>
          </w:p>
        </w:tc>
        <w:tc>
          <w:tcPr>
            <w:tcW w:w="2400" w:type="dxa"/>
            <w:tcBorders>
              <w:bottom w:val="single" w:sz="2" w:space="0" w:color="DDDDDD"/>
            </w:tcBorders>
          </w:tcPr>
          <w:p>
            <w:pPr>
              <w:pStyle w:val="Normal"/>
              <w:spacing w:lineRule="auto" w:line="252" w:before="0" w:after="0"/>
              <w:ind w:hanging="0"/>
              <w:rPr/>
            </w:pPr>
            <w:r>
              <w:rPr>
                <w:sz w:val="19"/>
                <w:szCs w:val="19"/>
              </w:rPr>
              <w:t>Burjassot, 2022</w:t>
            </w:r>
          </w:p>
        </w:tc>
        <w:tc>
          <w:tcPr>
            <w:tcW w:w="2400" w:type="dxa"/>
            <w:tcBorders>
              <w:bottom w:val="single" w:sz="2" w:space="0" w:color="DDDDDD"/>
            </w:tcBorders>
          </w:tcPr>
          <w:p>
            <w:pPr>
              <w:pStyle w:val="Normal"/>
              <w:spacing w:lineRule="auto" w:line="252" w:before="0" w:after="0"/>
              <w:ind w:hanging="0"/>
              <w:rPr/>
            </w:pPr>
            <w:r>
              <w:rPr>
                <w:sz w:val="19"/>
                <w:szCs w:val="19"/>
              </w:rPr>
              <w:t>València, 2020</w:t>
            </w:r>
          </w:p>
        </w:tc>
        <w:tc>
          <w:tcPr>
            <w:tcW w:w="2326" w:type="dxa"/>
            <w:tcBorders>
              <w:bottom w:val="single" w:sz="2" w:space="0" w:color="DDDDDD"/>
            </w:tcBorders>
          </w:tcPr>
          <w:p>
            <w:pPr>
              <w:pStyle w:val="Normal"/>
              <w:spacing w:lineRule="auto" w:line="252" w:before="0" w:after="0"/>
              <w:ind w:hanging="0"/>
              <w:rPr/>
            </w:pPr>
            <w:r>
              <w:rPr>
                <w:sz w:val="19"/>
                <w:szCs w:val="19"/>
              </w:rPr>
              <w:t>Madrid, 2013</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Locales</w:t>
            </w:r>
          </w:p>
        </w:tc>
        <w:tc>
          <w:tcPr>
            <w:tcW w:w="2400" w:type="dxa"/>
            <w:tcBorders>
              <w:bottom w:val="single" w:sz="2" w:space="0" w:color="DDDDDD"/>
            </w:tcBorders>
          </w:tcPr>
          <w:p>
            <w:pPr>
              <w:pStyle w:val="Normal"/>
              <w:spacing w:lineRule="auto" w:line="252" w:before="0" w:after="0"/>
              <w:ind w:hanging="0"/>
              <w:rPr/>
            </w:pPr>
            <w:r>
              <w:rPr>
                <w:sz w:val="19"/>
                <w:szCs w:val="19"/>
              </w:rPr>
              <w:t>1</w:t>
            </w:r>
          </w:p>
        </w:tc>
        <w:tc>
          <w:tcPr>
            <w:tcW w:w="2400" w:type="dxa"/>
            <w:tcBorders>
              <w:bottom w:val="single" w:sz="2" w:space="0" w:color="DDDDDD"/>
            </w:tcBorders>
          </w:tcPr>
          <w:p>
            <w:pPr>
              <w:pStyle w:val="Normal"/>
              <w:spacing w:lineRule="auto" w:line="252" w:before="0" w:after="0"/>
              <w:ind w:hanging="0"/>
              <w:rPr/>
            </w:pPr>
            <w:r>
              <w:rPr>
                <w:sz w:val="19"/>
                <w:szCs w:val="19"/>
              </w:rPr>
              <w:t>8 (València y Madrid)</w:t>
            </w:r>
          </w:p>
        </w:tc>
        <w:tc>
          <w:tcPr>
            <w:tcW w:w="2326" w:type="dxa"/>
            <w:tcBorders>
              <w:bottom w:val="single" w:sz="2" w:space="0" w:color="DDDDDD"/>
            </w:tcBorders>
          </w:tcPr>
          <w:p>
            <w:pPr>
              <w:pStyle w:val="Normal"/>
              <w:spacing w:lineRule="auto" w:line="252" w:before="0" w:after="0"/>
              <w:ind w:hanging="0"/>
              <w:rPr/>
            </w:pPr>
            <w:r>
              <w:rPr>
                <w:sz w:val="19"/>
                <w:szCs w:val="19"/>
              </w:rPr>
              <w:t>117 (cierre de 2024)</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Plantilla</w:t>
            </w:r>
          </w:p>
        </w:tc>
        <w:tc>
          <w:tcPr>
            <w:tcW w:w="2400" w:type="dxa"/>
            <w:tcBorders>
              <w:bottom w:val="single" w:sz="2" w:space="0" w:color="DDDDDD"/>
            </w:tcBorders>
          </w:tcPr>
          <w:p>
            <w:pPr>
              <w:pStyle w:val="Normal"/>
              <w:spacing w:lineRule="auto" w:line="252" w:before="0" w:after="0"/>
              <w:ind w:hanging="0"/>
              <w:rPr/>
            </w:pPr>
            <w:r>
              <w:rPr>
                <w:sz w:val="19"/>
                <w:szCs w:val="19"/>
              </w:rPr>
              <w:t>4</w:t>
            </w:r>
          </w:p>
        </w:tc>
        <w:tc>
          <w:tcPr>
            <w:tcW w:w="2400" w:type="dxa"/>
            <w:tcBorders>
              <w:bottom w:val="single" w:sz="2" w:space="0" w:color="DDDDDD"/>
            </w:tcBorders>
          </w:tcPr>
          <w:p>
            <w:pPr>
              <w:pStyle w:val="Normal"/>
              <w:spacing w:lineRule="auto" w:line="252" w:before="0" w:after="0"/>
              <w:ind w:hanging="0"/>
              <w:rPr/>
            </w:pPr>
            <w:r>
              <w:rPr>
                <w:sz w:val="19"/>
                <w:szCs w:val="19"/>
              </w:rPr>
              <w:t>Más de 200 (2024)</w:t>
            </w:r>
          </w:p>
        </w:tc>
        <w:tc>
          <w:tcPr>
            <w:tcW w:w="2326" w:type="dxa"/>
            <w:tcBorders>
              <w:bottom w:val="single" w:sz="2" w:space="0" w:color="DDDDDD"/>
            </w:tcBorders>
          </w:tcPr>
          <w:p>
            <w:pPr>
              <w:pStyle w:val="Normal"/>
              <w:spacing w:lineRule="auto" w:line="252" w:before="0" w:after="0"/>
              <w:ind w:hanging="0"/>
              <w:rPr/>
            </w:pPr>
            <w:r>
              <w:rPr>
                <w:sz w:val="19"/>
                <w:szCs w:val="19"/>
              </w:rPr>
              <w:t>1.737 de media (2025)</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Ingresos anuales</w:t>
            </w:r>
          </w:p>
        </w:tc>
        <w:tc>
          <w:tcPr>
            <w:tcW w:w="2400" w:type="dxa"/>
            <w:tcBorders>
              <w:bottom w:val="single" w:sz="2" w:space="0" w:color="DDDDDD"/>
            </w:tcBorders>
          </w:tcPr>
          <w:p>
            <w:pPr>
              <w:pStyle w:val="Normal"/>
              <w:spacing w:lineRule="auto" w:line="252" w:before="0" w:after="0"/>
              <w:ind w:hanging="0"/>
              <w:rPr/>
            </w:pPr>
            <w:r>
              <w:rPr>
                <w:sz w:val="19"/>
                <w:szCs w:val="19"/>
              </w:rPr>
              <w:t>Unos 540.000 € sin IVA (estimación)</w:t>
            </w:r>
          </w:p>
        </w:tc>
        <w:tc>
          <w:tcPr>
            <w:tcW w:w="2400" w:type="dxa"/>
            <w:tcBorders>
              <w:bottom w:val="single" w:sz="2" w:space="0" w:color="DDDDDD"/>
            </w:tcBorders>
          </w:tcPr>
          <w:p>
            <w:pPr>
              <w:pStyle w:val="Normal"/>
              <w:spacing w:lineRule="auto" w:line="252" w:before="0" w:after="0"/>
              <w:ind w:hanging="0"/>
              <w:rPr/>
            </w:pPr>
            <w:r>
              <w:rPr>
                <w:sz w:val="19"/>
                <w:szCs w:val="19"/>
              </w:rPr>
              <w:t>Más de 25 millones de €</w:t>
            </w:r>
          </w:p>
        </w:tc>
        <w:tc>
          <w:tcPr>
            <w:tcW w:w="2326" w:type="dxa"/>
            <w:tcBorders>
              <w:bottom w:val="single" w:sz="2" w:space="0" w:color="DDDDDD"/>
            </w:tcBorders>
          </w:tcPr>
          <w:p>
            <w:pPr>
              <w:pStyle w:val="Normal"/>
              <w:spacing w:lineRule="auto" w:line="252" w:before="0" w:after="0"/>
              <w:ind w:hanging="0"/>
              <w:rPr/>
            </w:pPr>
            <w:r>
              <w:rPr>
                <w:sz w:val="19"/>
                <w:szCs w:val="19"/>
              </w:rPr>
              <w:t>109 millones de € (−11,2 %)</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Ticket medio</w:t>
            </w:r>
          </w:p>
        </w:tc>
        <w:tc>
          <w:tcPr>
            <w:tcW w:w="2400" w:type="dxa"/>
            <w:tcBorders>
              <w:bottom w:val="single" w:sz="2" w:space="0" w:color="DDDDDD"/>
            </w:tcBorders>
          </w:tcPr>
          <w:p>
            <w:pPr>
              <w:pStyle w:val="Normal"/>
              <w:spacing w:lineRule="auto" w:line="252" w:before="0" w:after="0"/>
              <w:ind w:hanging="0"/>
              <w:rPr/>
            </w:pPr>
            <w:r>
              <w:rPr>
                <w:sz w:val="19"/>
                <w:szCs w:val="19"/>
              </w:rPr>
              <w:t>15-25 € en sala; 15 € para llevar</w:t>
            </w:r>
          </w:p>
        </w:tc>
        <w:tc>
          <w:tcPr>
            <w:tcW w:w="2400" w:type="dxa"/>
            <w:tcBorders>
              <w:bottom w:val="single" w:sz="2" w:space="0" w:color="DDDDDD"/>
            </w:tcBorders>
          </w:tcPr>
          <w:p>
            <w:pPr>
              <w:pStyle w:val="Normal"/>
              <w:spacing w:lineRule="auto" w:line="252" w:before="0" w:after="0"/>
              <w:ind w:hanging="0"/>
              <w:rPr/>
            </w:pPr>
            <w:r>
              <w:rPr>
                <w:sz w:val="19"/>
                <w:szCs w:val="19"/>
              </w:rPr>
              <w:t>Unos 20 €</w:t>
            </w:r>
          </w:p>
        </w:tc>
        <w:tc>
          <w:tcPr>
            <w:tcW w:w="2326" w:type="dxa"/>
            <w:tcBorders>
              <w:bottom w:val="single" w:sz="2" w:space="0" w:color="DDDDDD"/>
            </w:tcBorders>
          </w:tcPr>
          <w:p>
            <w:pPr>
              <w:pStyle w:val="Normal"/>
              <w:spacing w:lineRule="auto" w:line="252" w:before="0" w:after="0"/>
              <w:ind w:hanging="0"/>
              <w:rPr/>
            </w:pPr>
            <w:r>
              <w:rPr>
                <w:sz w:val="19"/>
                <w:szCs w:val="19"/>
              </w:rPr>
              <w:t>Sin dato público</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Peso del reparto</w:t>
            </w:r>
          </w:p>
        </w:tc>
        <w:tc>
          <w:tcPr>
            <w:tcW w:w="2400" w:type="dxa"/>
            <w:tcBorders>
              <w:bottom w:val="single" w:sz="2" w:space="0" w:color="DDDDDD"/>
            </w:tcBorders>
          </w:tcPr>
          <w:p>
            <w:pPr>
              <w:pStyle w:val="Normal"/>
              <w:spacing w:lineRule="auto" w:line="252" w:before="0" w:after="0"/>
              <w:ind w:hanging="0"/>
              <w:rPr/>
            </w:pPr>
            <w:r>
              <w:rPr>
                <w:sz w:val="19"/>
                <w:szCs w:val="19"/>
              </w:rPr>
              <w:t>Un 18 % de las ventas</w:t>
            </w:r>
          </w:p>
        </w:tc>
        <w:tc>
          <w:tcPr>
            <w:tcW w:w="2400" w:type="dxa"/>
            <w:tcBorders>
              <w:bottom w:val="single" w:sz="2" w:space="0" w:color="DDDDDD"/>
            </w:tcBorders>
          </w:tcPr>
          <w:p>
            <w:pPr>
              <w:pStyle w:val="Normal"/>
              <w:spacing w:lineRule="auto" w:line="252" w:before="0" w:after="0"/>
              <w:ind w:hanging="0"/>
              <w:rPr/>
            </w:pPr>
            <w:r>
              <w:rPr>
                <w:sz w:val="19"/>
                <w:szCs w:val="19"/>
              </w:rPr>
              <w:t>Un 35 % de los ingresos</w:t>
            </w:r>
          </w:p>
        </w:tc>
        <w:tc>
          <w:tcPr>
            <w:tcW w:w="2326" w:type="dxa"/>
            <w:tcBorders>
              <w:bottom w:val="single" w:sz="2" w:space="0" w:color="DDDDDD"/>
            </w:tcBorders>
          </w:tcPr>
          <w:p>
            <w:pPr>
              <w:pStyle w:val="Normal"/>
              <w:spacing w:lineRule="auto" w:line="252" w:before="0" w:after="0"/>
              <w:ind w:hanging="0"/>
              <w:rPr/>
            </w:pPr>
            <w:r>
              <w:rPr>
                <w:sz w:val="19"/>
                <w:szCs w:val="19"/>
              </w:rPr>
              <w:t>Sin dato público reciente</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Carta</w:t>
            </w:r>
          </w:p>
        </w:tc>
        <w:tc>
          <w:tcPr>
            <w:tcW w:w="2400" w:type="dxa"/>
            <w:tcBorders>
              <w:bottom w:val="single" w:sz="2" w:space="0" w:color="DDDDDD"/>
            </w:tcBorders>
          </w:tcPr>
          <w:p>
            <w:pPr>
              <w:pStyle w:val="Normal"/>
              <w:spacing w:lineRule="auto" w:line="252" w:before="0" w:after="0"/>
              <w:ind w:hanging="0"/>
              <w:rPr/>
            </w:pPr>
            <w:r>
              <w:rPr>
                <w:sz w:val="19"/>
                <w:szCs w:val="19"/>
              </w:rPr>
              <w:t>Corta: 8 hamburguesas, 4 acompañamientos</w:t>
            </w:r>
          </w:p>
        </w:tc>
        <w:tc>
          <w:tcPr>
            <w:tcW w:w="2400" w:type="dxa"/>
            <w:tcBorders>
              <w:bottom w:val="single" w:sz="2" w:space="0" w:color="DDDDDD"/>
            </w:tcBorders>
          </w:tcPr>
          <w:p>
            <w:pPr>
              <w:pStyle w:val="Normal"/>
              <w:spacing w:lineRule="auto" w:line="252" w:before="0" w:after="0"/>
              <w:ind w:hanging="0"/>
              <w:rPr/>
            </w:pPr>
            <w:r>
              <w:rPr>
                <w:sz w:val="19"/>
                <w:szCs w:val="19"/>
              </w:rPr>
              <w:t>Muy corta: pocas hamburguesas y patatas</w:t>
            </w:r>
          </w:p>
        </w:tc>
        <w:tc>
          <w:tcPr>
            <w:tcW w:w="2326" w:type="dxa"/>
            <w:tcBorders>
              <w:bottom w:val="single" w:sz="2" w:space="0" w:color="DDDDDD"/>
            </w:tcBorders>
          </w:tcPr>
          <w:p>
            <w:pPr>
              <w:pStyle w:val="Normal"/>
              <w:spacing w:lineRule="auto" w:line="252" w:before="0" w:after="0"/>
              <w:ind w:hanging="0"/>
              <w:rPr/>
            </w:pPr>
            <w:r>
              <w:rPr>
                <w:sz w:val="19"/>
                <w:szCs w:val="19"/>
              </w:rPr>
              <w:t>Amplia, con muchas referencias</w:t>
            </w:r>
          </w:p>
        </w:tc>
      </w:tr>
      <w:tr>
        <w:trPr>
          <w:cantSplit w:val="true"/>
        </w:trPr>
        <w:tc>
          <w:tcPr>
            <w:tcW w:w="1899" w:type="dxa"/>
            <w:tcBorders>
              <w:bottom w:val="single" w:sz="6" w:space="0" w:color="808080"/>
            </w:tcBorders>
          </w:tcPr>
          <w:p>
            <w:pPr>
              <w:pStyle w:val="Normal"/>
              <w:spacing w:lineRule="auto" w:line="252" w:before="0" w:after="0"/>
              <w:ind w:hanging="0"/>
              <w:rPr/>
            </w:pPr>
            <w:r>
              <w:rPr>
                <w:sz w:val="19"/>
                <w:szCs w:val="19"/>
              </w:rPr>
              <w:t>Propiedad</w:t>
            </w:r>
          </w:p>
        </w:tc>
        <w:tc>
          <w:tcPr>
            <w:tcW w:w="2400" w:type="dxa"/>
            <w:tcBorders>
              <w:bottom w:val="single" w:sz="6" w:space="0" w:color="808080"/>
            </w:tcBorders>
          </w:tcPr>
          <w:p>
            <w:pPr>
              <w:pStyle w:val="Normal"/>
              <w:spacing w:lineRule="auto" w:line="252" w:before="0" w:after="0"/>
              <w:ind w:hanging="0"/>
              <w:rPr/>
            </w:pPr>
            <w:r>
              <w:rPr>
                <w:sz w:val="19"/>
                <w:szCs w:val="19"/>
              </w:rPr>
              <w:t>Socio gerente</w:t>
            </w:r>
          </w:p>
        </w:tc>
        <w:tc>
          <w:tcPr>
            <w:tcW w:w="2400" w:type="dxa"/>
            <w:tcBorders>
              <w:bottom w:val="single" w:sz="6" w:space="0" w:color="808080"/>
            </w:tcBorders>
          </w:tcPr>
          <w:p>
            <w:pPr>
              <w:pStyle w:val="Normal"/>
              <w:spacing w:lineRule="auto" w:line="252" w:before="0" w:after="0"/>
              <w:ind w:hanging="0"/>
              <w:rPr/>
            </w:pPr>
            <w:r>
              <w:rPr>
                <w:sz w:val="19"/>
                <w:szCs w:val="19"/>
              </w:rPr>
              <w:t>Fondo (80 %) y fundadores (20 %)</w:t>
            </w:r>
          </w:p>
        </w:tc>
        <w:tc>
          <w:tcPr>
            <w:tcW w:w="2326" w:type="dxa"/>
            <w:tcBorders>
              <w:bottom w:val="single" w:sz="6" w:space="0" w:color="808080"/>
            </w:tcBorders>
          </w:tcPr>
          <w:p>
            <w:pPr>
              <w:pStyle w:val="Normal"/>
              <w:spacing w:lineRule="auto" w:line="252" w:before="0" w:after="0"/>
              <w:ind w:hanging="0"/>
              <w:rPr/>
            </w:pPr>
            <w:r>
              <w:rPr>
                <w:sz w:val="19"/>
                <w:szCs w:val="19"/>
              </w:rPr>
              <w:t>Fondo (Capza desde finales de 2025)</w:t>
            </w:r>
          </w:p>
        </w:tc>
      </w:tr>
    </w:tbl>
    <w:p>
      <w:pPr>
        <w:pStyle w:val="Normal"/>
        <w:spacing w:lineRule="auto" w:line="276" w:before="80" w:after="240"/>
        <w:ind w:hanging="0"/>
        <w:rPr/>
      </w:pPr>
      <w:r>
        <w:rPr>
          <w:i/>
          <w:iCs/>
          <w:sz w:val="20"/>
          <w:szCs w:val="20"/>
        </w:rPr>
        <w:t>Nota.</w:t>
      </w:r>
      <w:r>
        <w:rPr>
          <w:sz w:val="20"/>
          <w:szCs w:val="20"/>
        </w:rPr>
        <w:t xml:space="preserve"> Datos de Hundred Burgers según Economía 3 (2024), Buenavista Equity Partners (2025) y El Confidencial Digital (2025); datos de Goiko según Forbes España (2026). Los de Burglar King son del escenario y se desarrollan en el apartado 4.</w:t>
      </w:r>
    </w:p>
    <w:p>
      <w:pPr>
        <w:pStyle w:val="Normal"/>
        <w:rPr/>
      </w:pPr>
      <w:r>
        <w:rPr/>
        <w:t>De Hundred Burgers, Burglar King toma tres decisiones. La primera es la carta corta: pocas referencias, bien ejecutadas, que simplifican las compras, reducen la merma y permiten que un solo cocinero saque el servicio. La segunda es el peso del reparto y de la comida para llevar, que en Hundred supone un tercio de los ingresos y que exige que el pedido entre en cocina sin que nadie lo copie a mano. La tercera es la forma de crecer: Hundred ha abierto locales solo cuando el anterior funcionaba, con un flujo de pedido ya digital desde el primer día. De Goiko, Burglar King toma la advertencia: el mercado de la hamburguesa está saturado, el cliente ha reducido su consumo y un negocio de este tipo solo sobrevive con los costes muy controlados. Esa es la razón por la que el apartado 4 dedica tanto espacio a las cifras.</w:t>
      </w:r>
      <w:r>
        <w:br w:type="page"/>
      </w:r>
    </w:p>
    <w:p>
      <w:pPr>
        <w:pStyle w:val="Heading1"/>
        <w:rPr/>
      </w:pPr>
      <w:bookmarkStart w:id="9" w:name="__RefHeading___Toc1976_3382994897"/>
      <w:bookmarkEnd w:id="9"/>
      <w:r>
        <w:rPr/>
        <w:t>3. Análisis del entorno económico</w:t>
      </w:r>
    </w:p>
    <w:p>
      <w:pPr>
        <w:pStyle w:val="Normal"/>
        <w:rPr/>
      </w:pPr>
      <w:r>
        <w:rPr/>
        <w:t>El entorno de la empresa se analiza en dos planos. El macroentorno son los factores generales que la empresa no controla pero que condicionan su actividad: se estudia con el método PESTEL (factores políticos, económicos, sociales, tecnológicos, ambientales y legales). El microentorno son los actores con los que la empresa se relaciona directamente: clientes, proveedores y competidores. Las fuentes se han valorado con el criterio CRAAP que propone la guía del módulo (actualidad, relevancia, autoridad, precisión y propósito), y por eso las cifras que proceden de estudios encargados por fabricantes o plataformas se presentan como indicios y no como estadística (IES Conselleria, 2025b).</w:t>
      </w:r>
    </w:p>
    <w:p>
      <w:pPr>
        <w:pStyle w:val="Heading2"/>
        <w:rPr/>
      </w:pPr>
      <w:bookmarkStart w:id="10" w:name="__RefHeading___Toc1978_3382994897"/>
      <w:bookmarkEnd w:id="10"/>
      <w:r>
        <w:rPr/>
        <w:t>3.1. Factores macroeconómicos</w:t>
      </w:r>
    </w:p>
    <w:p>
      <w:pPr>
        <w:pStyle w:val="Normal"/>
        <w:keepNext w:val="true"/>
        <w:spacing w:lineRule="auto" w:line="480" w:before="240" w:after="0"/>
        <w:ind w:hanging="0"/>
        <w:rPr/>
      </w:pPr>
      <w:r>
        <w:rPr>
          <w:b/>
          <w:bCs/>
        </w:rPr>
        <w:t>Tabla 6</w:t>
      </w:r>
    </w:p>
    <w:p>
      <w:pPr>
        <w:pStyle w:val="Normal"/>
        <w:keepNext w:val="true"/>
        <w:spacing w:lineRule="auto" w:line="480" w:before="0" w:after="120"/>
        <w:ind w:hanging="0"/>
        <w:rPr/>
      </w:pPr>
      <w:r>
        <w:rPr>
          <w:i/>
          <w:iCs/>
        </w:rPr>
        <w:t>Análisis PESTEL de Burglar King</w:t>
      </w:r>
    </w:p>
    <w:tbl>
      <w:tblPr>
        <w:tblW w:w="9026" w:type="dxa"/>
        <w:jc w:val="left"/>
        <w:tblInd w:w="0" w:type="dxa"/>
        <w:tblLayout w:type="fixed"/>
        <w:tblCellMar>
          <w:top w:w="60" w:type="dxa"/>
          <w:left w:w="100" w:type="dxa"/>
          <w:bottom w:w="60" w:type="dxa"/>
          <w:right w:w="100" w:type="dxa"/>
        </w:tblCellMar>
      </w:tblPr>
      <w:tblGrid>
        <w:gridCol w:w="1504"/>
        <w:gridCol w:w="4011"/>
        <w:gridCol w:w="3511"/>
      </w:tblGrid>
      <w:tr>
        <w:trPr>
          <w:tblHeader w:val="true"/>
          <w:cantSplit w:val="true"/>
        </w:trPr>
        <w:tc>
          <w:tcPr>
            <w:tcW w:w="1504"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Factor</w:t>
            </w:r>
          </w:p>
        </w:tc>
        <w:tc>
          <w:tcPr>
            <w:tcW w:w="4011"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Hecho relevante</w:t>
            </w:r>
          </w:p>
        </w:tc>
        <w:tc>
          <w:tcPr>
            <w:tcW w:w="3511"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Influencia en la empresa</w:t>
            </w:r>
          </w:p>
        </w:tc>
      </w:tr>
      <w:tr>
        <w:trPr>
          <w:cantSplit w:val="true"/>
        </w:trPr>
        <w:tc>
          <w:tcPr>
            <w:tcW w:w="1504" w:type="dxa"/>
            <w:tcBorders>
              <w:bottom w:val="single" w:sz="2" w:space="0" w:color="DDDDDD"/>
            </w:tcBorders>
          </w:tcPr>
          <w:p>
            <w:pPr>
              <w:pStyle w:val="Normal"/>
              <w:spacing w:lineRule="auto" w:line="252" w:before="0" w:after="0"/>
              <w:ind w:hanging="0"/>
              <w:rPr/>
            </w:pPr>
            <w:r>
              <w:rPr>
                <w:sz w:val="19"/>
                <w:szCs w:val="19"/>
              </w:rPr>
              <w:t>Político</w:t>
            </w:r>
          </w:p>
        </w:tc>
        <w:tc>
          <w:tcPr>
            <w:tcW w:w="4011" w:type="dxa"/>
            <w:tcBorders>
              <w:bottom w:val="single" w:sz="2" w:space="0" w:color="DDDDDD"/>
            </w:tcBorders>
          </w:tcPr>
          <w:p>
            <w:pPr>
              <w:pStyle w:val="Normal"/>
              <w:spacing w:lineRule="auto" w:line="252" w:before="0" w:after="0"/>
              <w:ind w:hanging="0"/>
              <w:rPr/>
            </w:pPr>
            <w:r>
              <w:rPr>
                <w:sz w:val="19"/>
                <w:szCs w:val="19"/>
              </w:rPr>
              <w:t>Calendario de Verifactu aplazado al 1/1/2027 para sociedades y al 1/7/2027 para el resto (Garrigues, 2025); fin del Kit Digital en 2025 y ayudas autonómicas de digitalización (idealista/news, 2026)</w:t>
            </w:r>
          </w:p>
        </w:tc>
        <w:tc>
          <w:tcPr>
            <w:tcW w:w="3511" w:type="dxa"/>
            <w:tcBorders>
              <w:bottom w:val="single" w:sz="2" w:space="0" w:color="DDDDDD"/>
            </w:tcBorders>
          </w:tcPr>
          <w:p>
            <w:pPr>
              <w:pStyle w:val="Normal"/>
              <w:spacing w:lineRule="auto" w:line="252" w:before="0" w:after="0"/>
              <w:ind w:hanging="0"/>
              <w:rPr/>
            </w:pPr>
            <w:r>
              <w:rPr>
                <w:sz w:val="19"/>
                <w:szCs w:val="19"/>
              </w:rPr>
              <w:t>La empresa, al ser una sociedad, deberá tener un sistema de facturación adaptado antes del 1/1/2027; las ayudas ya no se pueden dar por hechas</w:t>
            </w:r>
          </w:p>
        </w:tc>
      </w:tr>
      <w:tr>
        <w:trPr>
          <w:cantSplit w:val="true"/>
        </w:trPr>
        <w:tc>
          <w:tcPr>
            <w:tcW w:w="1504" w:type="dxa"/>
            <w:tcBorders>
              <w:bottom w:val="single" w:sz="2" w:space="0" w:color="DDDDDD"/>
            </w:tcBorders>
          </w:tcPr>
          <w:p>
            <w:pPr>
              <w:pStyle w:val="Normal"/>
              <w:spacing w:lineRule="auto" w:line="252" w:before="0" w:after="0"/>
              <w:ind w:hanging="0"/>
              <w:rPr/>
            </w:pPr>
            <w:r>
              <w:rPr>
                <w:sz w:val="19"/>
                <w:szCs w:val="19"/>
              </w:rPr>
              <w:t>Económico</w:t>
            </w:r>
          </w:p>
        </w:tc>
        <w:tc>
          <w:tcPr>
            <w:tcW w:w="4011" w:type="dxa"/>
            <w:tcBorders>
              <w:bottom w:val="single" w:sz="2" w:space="0" w:color="DDDDDD"/>
            </w:tcBorders>
          </w:tcPr>
          <w:p>
            <w:pPr>
              <w:pStyle w:val="Normal"/>
              <w:spacing w:lineRule="auto" w:line="252" w:before="0" w:after="0"/>
              <w:ind w:hanging="0"/>
              <w:rPr/>
            </w:pPr>
            <w:r>
              <w:rPr>
                <w:sz w:val="19"/>
                <w:szCs w:val="19"/>
              </w:rPr>
              <w:t>El sector factura más (crecimiento del 2 % al 4 %), pero la restauración gana menos: rentabilidad del −0,9 % en 2025 (Hosteltur, 2026); el SMI sube a 1.221 € en 14 pagas (Real Decreto 126/2026)</w:t>
            </w:r>
          </w:p>
        </w:tc>
        <w:tc>
          <w:tcPr>
            <w:tcW w:w="3511" w:type="dxa"/>
            <w:tcBorders>
              <w:bottom w:val="single" w:sz="2" w:space="0" w:color="DDDDDD"/>
            </w:tcBorders>
          </w:tcPr>
          <w:p>
            <w:pPr>
              <w:pStyle w:val="Normal"/>
              <w:spacing w:lineRule="auto" w:line="252" w:before="0" w:after="0"/>
              <w:ind w:hanging="0"/>
              <w:rPr/>
            </w:pPr>
            <w:r>
              <w:rPr>
                <w:sz w:val="19"/>
                <w:szCs w:val="19"/>
              </w:rPr>
              <w:t>Los costes de personal y de producto suben más que el ticket; cualquier inversión debe justificarse por lo que ahorra</w:t>
            </w:r>
          </w:p>
        </w:tc>
      </w:tr>
      <w:tr>
        <w:trPr>
          <w:cantSplit w:val="true"/>
        </w:trPr>
        <w:tc>
          <w:tcPr>
            <w:tcW w:w="1504" w:type="dxa"/>
            <w:tcBorders>
              <w:bottom w:val="single" w:sz="2" w:space="0" w:color="DDDDDD"/>
            </w:tcBorders>
          </w:tcPr>
          <w:p>
            <w:pPr>
              <w:pStyle w:val="Normal"/>
              <w:spacing w:lineRule="auto" w:line="252" w:before="0" w:after="0"/>
              <w:ind w:hanging="0"/>
              <w:rPr/>
            </w:pPr>
            <w:r>
              <w:rPr>
                <w:sz w:val="19"/>
                <w:szCs w:val="19"/>
              </w:rPr>
              <w:t>Social</w:t>
            </w:r>
          </w:p>
        </w:tc>
        <w:tc>
          <w:tcPr>
            <w:tcW w:w="4011" w:type="dxa"/>
            <w:tcBorders>
              <w:bottom w:val="single" w:sz="2" w:space="0" w:color="DDDDDD"/>
            </w:tcBorders>
          </w:tcPr>
          <w:p>
            <w:pPr>
              <w:pStyle w:val="Normal"/>
              <w:spacing w:lineRule="auto" w:line="252" w:before="0" w:after="0"/>
              <w:ind w:hanging="0"/>
              <w:rPr/>
            </w:pPr>
            <w:r>
              <w:rPr>
                <w:sz w:val="19"/>
                <w:szCs w:val="19"/>
              </w:rPr>
              <w:t>Población universitaria; entre el 65 % y el 70 % de los pagos ya son digitales, según un fabricante (El Independiente, 2026); el 62 % de los españoles descarta un restaurante por una mala reseña (L'Express Franchise, 2026)</w:t>
            </w:r>
          </w:p>
        </w:tc>
        <w:tc>
          <w:tcPr>
            <w:tcW w:w="3511" w:type="dxa"/>
            <w:tcBorders>
              <w:bottom w:val="single" w:sz="2" w:space="0" w:color="DDDDDD"/>
            </w:tcBorders>
          </w:tcPr>
          <w:p>
            <w:pPr>
              <w:pStyle w:val="Normal"/>
              <w:spacing w:lineRule="auto" w:line="252" w:before="0" w:after="0"/>
              <w:ind w:hanging="0"/>
              <w:rPr/>
            </w:pPr>
            <w:r>
              <w:rPr>
                <w:sz w:val="19"/>
                <w:szCs w:val="19"/>
              </w:rPr>
              <w:t>El cobro con tarjeta y móvil debe funcionar en toda la superficie; la reputación en línea es parte del producto</w:t>
            </w:r>
          </w:p>
        </w:tc>
      </w:tr>
      <w:tr>
        <w:trPr>
          <w:cantSplit w:val="true"/>
        </w:trPr>
        <w:tc>
          <w:tcPr>
            <w:tcW w:w="1504" w:type="dxa"/>
            <w:tcBorders>
              <w:bottom w:val="single" w:sz="2" w:space="0" w:color="DDDDDD"/>
            </w:tcBorders>
          </w:tcPr>
          <w:p>
            <w:pPr>
              <w:pStyle w:val="Normal"/>
              <w:spacing w:lineRule="auto" w:line="252" w:before="0" w:after="0"/>
              <w:ind w:hanging="0"/>
              <w:rPr/>
            </w:pPr>
            <w:r>
              <w:rPr>
                <w:sz w:val="19"/>
                <w:szCs w:val="19"/>
              </w:rPr>
              <w:t>Tecnológico</w:t>
            </w:r>
          </w:p>
        </w:tc>
        <w:tc>
          <w:tcPr>
            <w:tcW w:w="4011" w:type="dxa"/>
            <w:tcBorders>
              <w:bottom w:val="single" w:sz="2" w:space="0" w:color="DDDDDD"/>
            </w:tcBorders>
          </w:tcPr>
          <w:p>
            <w:pPr>
              <w:pStyle w:val="Normal"/>
              <w:spacing w:lineRule="auto" w:line="252" w:before="0" w:after="0"/>
              <w:ind w:hanging="0"/>
              <w:rPr/>
            </w:pPr>
            <w:r>
              <w:rPr>
                <w:sz w:val="19"/>
                <w:szCs w:val="19"/>
              </w:rPr>
              <w:t>Fin del soporte de Windows 10 (Microsoft, 2025); la digitalización del sector se ha concentrado en el cobro y no en la cocina (Riches Manuel y Roca, 2026)</w:t>
            </w:r>
          </w:p>
        </w:tc>
        <w:tc>
          <w:tcPr>
            <w:tcW w:w="3511" w:type="dxa"/>
            <w:tcBorders>
              <w:bottom w:val="single" w:sz="2" w:space="0" w:color="DDDDDD"/>
            </w:tcBorders>
          </w:tcPr>
          <w:p>
            <w:pPr>
              <w:pStyle w:val="Normal"/>
              <w:spacing w:lineRule="auto" w:line="252" w:before="0" w:after="0"/>
              <w:ind w:hanging="0"/>
              <w:rPr/>
            </w:pPr>
            <w:r>
              <w:rPr>
                <w:sz w:val="19"/>
                <w:szCs w:val="19"/>
              </w:rPr>
              <w:t>Hay que renovar el puesto de caja; la oportunidad está entre la comanda y el plato</w:t>
            </w:r>
          </w:p>
        </w:tc>
      </w:tr>
      <w:tr>
        <w:trPr>
          <w:cantSplit w:val="true"/>
        </w:trPr>
        <w:tc>
          <w:tcPr>
            <w:tcW w:w="1504" w:type="dxa"/>
            <w:tcBorders>
              <w:bottom w:val="single" w:sz="2" w:space="0" w:color="DDDDDD"/>
            </w:tcBorders>
          </w:tcPr>
          <w:p>
            <w:pPr>
              <w:pStyle w:val="Normal"/>
              <w:spacing w:lineRule="auto" w:line="252" w:before="0" w:after="0"/>
              <w:ind w:hanging="0"/>
              <w:rPr/>
            </w:pPr>
            <w:r>
              <w:rPr>
                <w:sz w:val="19"/>
                <w:szCs w:val="19"/>
              </w:rPr>
              <w:t>Ambiental</w:t>
            </w:r>
          </w:p>
        </w:tc>
        <w:tc>
          <w:tcPr>
            <w:tcW w:w="4011" w:type="dxa"/>
            <w:tcBorders>
              <w:bottom w:val="single" w:sz="2" w:space="0" w:color="DDDDDD"/>
            </w:tcBorders>
          </w:tcPr>
          <w:p>
            <w:pPr>
              <w:pStyle w:val="Normal"/>
              <w:spacing w:lineRule="auto" w:line="252" w:before="0" w:after="0"/>
              <w:ind w:hanging="0"/>
              <w:rPr/>
            </w:pPr>
            <w:r>
              <w:rPr>
                <w:sz w:val="19"/>
                <w:szCs w:val="19"/>
              </w:rPr>
              <w:t>Restricción del bisfenol A en el papel térmico (Reglamento [UE] 2016/2235); Ley 7/2022 de residuos y gestión de RAEE (Real Decreto 110/2015)</w:t>
            </w:r>
          </w:p>
        </w:tc>
        <w:tc>
          <w:tcPr>
            <w:tcW w:w="3511" w:type="dxa"/>
            <w:tcBorders>
              <w:bottom w:val="single" w:sz="2" w:space="0" w:color="DDDDDD"/>
            </w:tcBorders>
          </w:tcPr>
          <w:p>
            <w:pPr>
              <w:pStyle w:val="Normal"/>
              <w:spacing w:lineRule="auto" w:line="252" w:before="0" w:after="0"/>
              <w:ind w:hanging="0"/>
              <w:rPr/>
            </w:pPr>
            <w:r>
              <w:rPr>
                <w:sz w:val="19"/>
                <w:szCs w:val="19"/>
              </w:rPr>
              <w:t>Ticket en pantalla y papel solo a petición; envases para llevar sin plástico de un solo uso; retirada correcta de los equipos viejos</w:t>
            </w:r>
          </w:p>
        </w:tc>
      </w:tr>
      <w:tr>
        <w:trPr>
          <w:cantSplit w:val="true"/>
        </w:trPr>
        <w:tc>
          <w:tcPr>
            <w:tcW w:w="1504" w:type="dxa"/>
            <w:tcBorders>
              <w:bottom w:val="single" w:sz="6" w:space="0" w:color="808080"/>
            </w:tcBorders>
          </w:tcPr>
          <w:p>
            <w:pPr>
              <w:pStyle w:val="Normal"/>
              <w:spacing w:lineRule="auto" w:line="252" w:before="0" w:after="0"/>
              <w:ind w:hanging="0"/>
              <w:rPr/>
            </w:pPr>
            <w:r>
              <w:rPr>
                <w:sz w:val="19"/>
                <w:szCs w:val="19"/>
              </w:rPr>
              <w:t>Legal</w:t>
            </w:r>
          </w:p>
        </w:tc>
        <w:tc>
          <w:tcPr>
            <w:tcW w:w="4011" w:type="dxa"/>
            <w:tcBorders>
              <w:bottom w:val="single" w:sz="6" w:space="0" w:color="808080"/>
            </w:tcBorders>
          </w:tcPr>
          <w:p>
            <w:pPr>
              <w:pStyle w:val="Normal"/>
              <w:spacing w:lineRule="auto" w:line="252" w:before="0" w:after="0"/>
              <w:ind w:hanging="0"/>
              <w:rPr/>
            </w:pPr>
            <w:r>
              <w:rPr>
                <w:sz w:val="19"/>
                <w:szCs w:val="19"/>
              </w:rPr>
              <w:t>Ley antifraude, Verifactu, RGPD y LOPDGDD, información de alérgenos, registro de jornada, convenio provincial de hostelería</w:t>
            </w:r>
          </w:p>
        </w:tc>
        <w:tc>
          <w:tcPr>
            <w:tcW w:w="3511" w:type="dxa"/>
            <w:tcBorders>
              <w:bottom w:val="single" w:sz="6" w:space="0" w:color="808080"/>
            </w:tcBorders>
          </w:tcPr>
          <w:p>
            <w:pPr>
              <w:pStyle w:val="Normal"/>
              <w:spacing w:lineRule="auto" w:line="252" w:before="0" w:after="0"/>
              <w:ind w:hanging="0"/>
              <w:rPr/>
            </w:pPr>
            <w:r>
              <w:rPr>
                <w:sz w:val="19"/>
                <w:szCs w:val="19"/>
              </w:rPr>
              <w:t>Requisitos de trazabilidad de ventas, protección de datos, identificación individual y tablas salariales de obligado cumplimiento</w:t>
            </w:r>
          </w:p>
        </w:tc>
      </w:tr>
    </w:tbl>
    <w:p>
      <w:pPr>
        <w:pStyle w:val="Normal"/>
        <w:spacing w:lineRule="auto" w:line="276" w:before="80" w:after="240"/>
        <w:ind w:hanging="0"/>
        <w:rPr/>
      </w:pPr>
      <w:r>
        <w:rPr>
          <w:i/>
          <w:iCs/>
          <w:sz w:val="20"/>
          <w:szCs w:val="20"/>
        </w:rPr>
        <w:t>Nota.</w:t>
      </w:r>
      <w:r>
        <w:rPr>
          <w:sz w:val="20"/>
          <w:szCs w:val="20"/>
        </w:rPr>
        <w:t xml:space="preserve"> Elaboración propia con las fuentes citadas.</w:t>
      </w:r>
    </w:p>
    <w:p>
      <w:pPr>
        <w:pStyle w:val="Normal"/>
        <w:rPr/>
      </w:pPr>
      <w:r>
        <w:rPr>
          <w:b/>
          <w:bCs/>
        </w:rPr>
        <w:t>Factores políticos y legales.</w:t>
      </w:r>
      <w:r>
        <w:rPr/>
        <w:t xml:space="preserve"> Buena parte de la demanda de tecnología en la hostelería no nace del deseo de modernizarse, sino de obligaciones legales. La Ley 11/2021 prohíbe el software de facturación capaz de ocultar o alterar ventas, y el Real Decreto 1007/2023 (reglamento Verifactu) exige que cada factura quede registrada, encadenada y sea trazable. Su entrada en vigor se aplazó por el Real Decreto-ley 15/2025: será el 1 de enero de 2027 para las sociedades y el 1 de julio de 2027 para el resto (Garrigues, 2025). Como Burglar King es una sociedad limitada, su plazo es el primero. En protección de datos, el RGPD y la Ley Orgánica 3/2018 obligan a tratar los datos personales con medidas de seguridad adecuadas; su artículo 22 regula la videovigilancia, con cartel informativo y conservación máxima de un mes. A esto se suman la información obligatoria sobre los catorce alérgenos (Reglamento [UE] 1169/2011 y Real Decreto 126/2015) y el registro diario de jornada (artículo 34.9 del Estatuto de los Trabajadores).</w:t>
      </w:r>
    </w:p>
    <w:p>
      <w:pPr>
        <w:pStyle w:val="Normal"/>
        <w:rPr/>
      </w:pPr>
      <w:r>
        <w:rPr>
          <w:b/>
          <w:bCs/>
        </w:rPr>
        <w:t>Factores económicos.</w:t>
      </w:r>
      <w:r>
        <w:rPr/>
        <w:t xml:space="preserve"> La hostelería española reúne 280.403 establecimientos (Profesional Horeca, 2025) y da empleo a 1,89 millones de personas, el 8,6 % del empleo total (Hosteltur, 2026). En la Comunitat Valenciana hay 31.186 bares y restaurantes, uno por cada 174 habitantes, y 13.698 en la provincia de València (El Periòdic, 2025). Es un mercado muy competido y con márgenes estrechos. El dato que más condiciona el proyecto es la tendencia opuesta entre facturación y beneficio: el sector vende más pero gana menos, con una rentabilidad negativa en la restauración en 2025 (Hosteltur, 2026). Por el lado de los costes, el salario mínimo interprofesional de 2026 es de 1.221 euros mensuales en 14 pagas, 17.094 euros anuales, un 3,1 % más que en 2025 (Real Decreto 126/2026), y el convenio provincial de hostelería, vencido el 31 de diciembre de 2025, sigue aplicándose en ultraactividad mientras se negocia el nuevo (Turnozo, 2026). El caso de Goiko, con una caída de ventas del 11,2 % en 2025, muestra que el segmento de la hamburguesa no es ajeno a esta presión (Forbes España, 2026).</w:t>
      </w:r>
    </w:p>
    <w:p>
      <w:pPr>
        <w:pStyle w:val="Normal"/>
        <w:rPr/>
      </w:pPr>
      <w:r>
        <w:rPr>
          <w:b/>
          <w:bCs/>
        </w:rPr>
        <w:t>Factores sociales.</w:t>
      </w:r>
      <w:r>
        <w:rPr/>
        <w:t xml:space="preserve"> El cliente de Burglar King es joven, paga con tarjeta o con el móvil, espera conexión wifi y decide dónde comer mirando el teléfono. Un fabricante de TPV sitúa entre el 65 % y el 70 % los pagos digitales en la hostelería española (El Independiente, 2026), y un estudio de TheFork indica que el 62 % de los españoles descarta un restaurante por una mala reseña en línea, por delante del precio (24 %), y que el 73 % lee las opiniones de otros comensales antes de reservar (L'Express Franchise, 2026). Son estudios de empresas con interés comercial, pero coinciden con lo que se observa en el local.</w:t>
      </w:r>
    </w:p>
    <w:p>
      <w:pPr>
        <w:pStyle w:val="Normal"/>
        <w:rPr/>
      </w:pPr>
      <w:r>
        <w:rPr>
          <w:b/>
          <w:bCs/>
        </w:rPr>
        <w:t>Factores tecnológicos.</w:t>
      </w:r>
      <w:r>
        <w:rPr/>
        <w:t xml:space="preserve"> El fin del soporte de Windows 10 en octubre de 2025 (Microsoft, 2025) deja sin actualizaciones de seguridad a buena parte de los TPV instalados en el sector. Al mismo tiempo, el 84,5 % de las empresas españolas tiene sitio web y el 26,6 % vende por comercio electrónico (INE, 2025b), pero en la hostelería esa digitalización se ha concentrado en el cobro (datáfono, TPV, carta con código QR) mientras que la producción sigue funcionando con papel y a voz (Riches Manuel y Roca, 2026). El hardware necesario para cerrar esa brecha se ha abaratado hasta precios asumibles para un local pequeño.</w:t>
      </w:r>
    </w:p>
    <w:p>
      <w:pPr>
        <w:pStyle w:val="Normal"/>
        <w:rPr/>
      </w:pPr>
      <w:r>
        <w:rPr>
          <w:b/>
          <w:bCs/>
        </w:rPr>
        <w:t>Factores ambientales.</w:t>
      </w:r>
      <w:r>
        <w:rPr/>
        <w:t xml:space="preserve"> El Reglamento (UE) 2016/2235 restringe el bisfenol A en el papel térmico de los tickets, y la Ley 7/2022 de residuos grava los envases de plástico de un solo uso, que son precisamente los de la comida para llevar. Un sistema que muestre el ticket en pantalla y solo lo imprima a petición reduce residuos y gasto, y la elección de envases de cartón evita el impuesto. Los equipos que se sustituyan deben gestionarse como residuos de aparatos eléctricos y electrónicos (Real Decreto 110/2015).</w:t>
      </w:r>
    </w:p>
    <w:p>
      <w:pPr>
        <w:pStyle w:val="Heading2"/>
        <w:rPr/>
      </w:pPr>
      <w:bookmarkStart w:id="11" w:name="__RefHeading___Toc1980_3382994897"/>
      <w:bookmarkEnd w:id="11"/>
      <w:r>
        <w:rPr/>
        <w:t>3.2. Factores microeconómicos</w:t>
      </w:r>
    </w:p>
    <w:p>
      <w:pPr>
        <w:pStyle w:val="Normal"/>
        <w:rPr/>
      </w:pPr>
      <w:r>
        <w:rPr>
          <w:b/>
          <w:bCs/>
        </w:rPr>
        <w:t>Clientes.</w:t>
      </w:r>
      <w:r>
        <w:rPr/>
        <w:t xml:space="preserve"> La tabla 7 recoge los segmentos de clientes del local y lo que cada uno exige. Todos tienen algo en común: el servicio se concentra en franjas cortas, por lo que el local no puede permitirse que la tecnología falle en hora punta ni que un pedido de reparto se quede olvidado en la tableta.</w:t>
      </w:r>
    </w:p>
    <w:p>
      <w:pPr>
        <w:pStyle w:val="Normal"/>
        <w:keepNext w:val="true"/>
        <w:spacing w:lineRule="auto" w:line="480" w:before="240" w:after="0"/>
        <w:ind w:hanging="0"/>
        <w:rPr/>
      </w:pPr>
      <w:r>
        <w:rPr>
          <w:b/>
          <w:bCs/>
        </w:rPr>
        <w:t>Tabla 7</w:t>
      </w:r>
    </w:p>
    <w:p>
      <w:pPr>
        <w:pStyle w:val="Normal"/>
        <w:keepNext w:val="true"/>
        <w:spacing w:lineRule="auto" w:line="480" w:before="0" w:after="120"/>
        <w:ind w:hanging="0"/>
        <w:rPr/>
      </w:pPr>
      <w:r>
        <w:rPr>
          <w:i/>
          <w:iCs/>
        </w:rPr>
        <w:t>Segmentos de clientes y lo que exigen</w:t>
      </w:r>
    </w:p>
    <w:tbl>
      <w:tblPr>
        <w:tblW w:w="9026" w:type="dxa"/>
        <w:jc w:val="left"/>
        <w:tblInd w:w="0" w:type="dxa"/>
        <w:tblLayout w:type="fixed"/>
        <w:tblCellMar>
          <w:top w:w="60" w:type="dxa"/>
          <w:left w:w="100" w:type="dxa"/>
          <w:bottom w:w="60" w:type="dxa"/>
          <w:right w:w="100" w:type="dxa"/>
        </w:tblCellMar>
      </w:tblPr>
      <w:tblGrid>
        <w:gridCol w:w="2299"/>
        <w:gridCol w:w="2601"/>
        <w:gridCol w:w="2999"/>
        <w:gridCol w:w="1126"/>
      </w:tblGrid>
      <w:tr>
        <w:trPr>
          <w:tblHeader w:val="true"/>
          <w:cantSplit w:val="true"/>
        </w:trPr>
        <w:tc>
          <w:tcPr>
            <w:tcW w:w="22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Segmento</w:t>
            </w:r>
          </w:p>
        </w:tc>
        <w:tc>
          <w:tcPr>
            <w:tcW w:w="2601"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Cuándo viene</w:t>
            </w:r>
          </w:p>
        </w:tc>
        <w:tc>
          <w:tcPr>
            <w:tcW w:w="29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Qué exige</w:t>
            </w:r>
          </w:p>
        </w:tc>
        <w:tc>
          <w:tcPr>
            <w:tcW w:w="1126"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Peso estimado</w:t>
            </w:r>
          </w:p>
        </w:tc>
      </w:tr>
      <w:tr>
        <w:trPr>
          <w:cantSplit w:val="true"/>
        </w:trPr>
        <w:tc>
          <w:tcPr>
            <w:tcW w:w="2299" w:type="dxa"/>
            <w:tcBorders>
              <w:bottom w:val="single" w:sz="2" w:space="0" w:color="DDDDDD"/>
            </w:tcBorders>
          </w:tcPr>
          <w:p>
            <w:pPr>
              <w:pStyle w:val="Normal"/>
              <w:spacing w:lineRule="auto" w:line="252" w:before="0" w:after="0"/>
              <w:ind w:hanging="0"/>
              <w:rPr/>
            </w:pPr>
            <w:r>
              <w:rPr>
                <w:sz w:val="19"/>
                <w:szCs w:val="19"/>
              </w:rPr>
              <w:t>Estudiantes universitarios</w:t>
            </w:r>
          </w:p>
        </w:tc>
        <w:tc>
          <w:tcPr>
            <w:tcW w:w="2601" w:type="dxa"/>
            <w:tcBorders>
              <w:bottom w:val="single" w:sz="2" w:space="0" w:color="DDDDDD"/>
            </w:tcBorders>
          </w:tcPr>
          <w:p>
            <w:pPr>
              <w:pStyle w:val="Normal"/>
              <w:spacing w:lineRule="auto" w:line="252" w:before="0" w:after="0"/>
              <w:ind w:hanging="0"/>
              <w:rPr/>
            </w:pPr>
            <w:r>
              <w:rPr>
                <w:sz w:val="19"/>
                <w:szCs w:val="19"/>
              </w:rPr>
              <w:t>Mediodía entre semana; noches de jueves a sábado</w:t>
            </w:r>
          </w:p>
        </w:tc>
        <w:tc>
          <w:tcPr>
            <w:tcW w:w="2999" w:type="dxa"/>
            <w:tcBorders>
              <w:bottom w:val="single" w:sz="2" w:space="0" w:color="DDDDDD"/>
            </w:tcBorders>
          </w:tcPr>
          <w:p>
            <w:pPr>
              <w:pStyle w:val="Normal"/>
              <w:spacing w:lineRule="auto" w:line="252" w:before="0" w:after="0"/>
              <w:ind w:hanging="0"/>
              <w:rPr/>
            </w:pPr>
            <w:r>
              <w:rPr>
                <w:sz w:val="19"/>
                <w:szCs w:val="19"/>
              </w:rPr>
              <w:t>Rapidez, precio, pago con móvil, wifi, carta con alérgenos</w:t>
            </w:r>
          </w:p>
        </w:tc>
        <w:tc>
          <w:tcPr>
            <w:tcW w:w="1126" w:type="dxa"/>
            <w:tcBorders>
              <w:bottom w:val="single" w:sz="2" w:space="0" w:color="DDDDDD"/>
            </w:tcBorders>
          </w:tcPr>
          <w:p>
            <w:pPr>
              <w:pStyle w:val="Normal"/>
              <w:spacing w:lineRule="auto" w:line="252" w:before="0" w:after="0"/>
              <w:ind w:hanging="0"/>
              <w:rPr/>
            </w:pPr>
            <w:r>
              <w:rPr>
                <w:sz w:val="19"/>
                <w:szCs w:val="19"/>
              </w:rPr>
              <w:t>45 %</w:t>
            </w:r>
          </w:p>
        </w:tc>
      </w:tr>
      <w:tr>
        <w:trPr>
          <w:cantSplit w:val="true"/>
        </w:trPr>
        <w:tc>
          <w:tcPr>
            <w:tcW w:w="2299" w:type="dxa"/>
            <w:tcBorders>
              <w:bottom w:val="single" w:sz="2" w:space="0" w:color="DDDDDD"/>
            </w:tcBorders>
          </w:tcPr>
          <w:p>
            <w:pPr>
              <w:pStyle w:val="Normal"/>
              <w:spacing w:lineRule="auto" w:line="252" w:before="0" w:after="0"/>
              <w:ind w:hanging="0"/>
              <w:rPr/>
            </w:pPr>
            <w:r>
              <w:rPr>
                <w:sz w:val="19"/>
                <w:szCs w:val="19"/>
              </w:rPr>
              <w:t>Familias y vecinos del barrio</w:t>
            </w:r>
          </w:p>
        </w:tc>
        <w:tc>
          <w:tcPr>
            <w:tcW w:w="2601" w:type="dxa"/>
            <w:tcBorders>
              <w:bottom w:val="single" w:sz="2" w:space="0" w:color="DDDDDD"/>
            </w:tcBorders>
          </w:tcPr>
          <w:p>
            <w:pPr>
              <w:pStyle w:val="Normal"/>
              <w:spacing w:lineRule="auto" w:line="252" w:before="0" w:after="0"/>
              <w:ind w:hanging="0"/>
              <w:rPr/>
            </w:pPr>
            <w:r>
              <w:rPr>
                <w:sz w:val="19"/>
                <w:szCs w:val="19"/>
              </w:rPr>
              <w:t>Fines de semana</w:t>
            </w:r>
          </w:p>
        </w:tc>
        <w:tc>
          <w:tcPr>
            <w:tcW w:w="2999" w:type="dxa"/>
            <w:tcBorders>
              <w:bottom w:val="single" w:sz="2" w:space="0" w:color="DDDDDD"/>
            </w:tcBorders>
          </w:tcPr>
          <w:p>
            <w:pPr>
              <w:pStyle w:val="Normal"/>
              <w:spacing w:lineRule="auto" w:line="252" w:before="0" w:after="0"/>
              <w:ind w:hanging="0"/>
              <w:rPr/>
            </w:pPr>
            <w:r>
              <w:rPr>
                <w:sz w:val="19"/>
                <w:szCs w:val="19"/>
              </w:rPr>
              <w:t>Mesa reservada, cuenta dividida, atención sin esperas</w:t>
            </w:r>
          </w:p>
        </w:tc>
        <w:tc>
          <w:tcPr>
            <w:tcW w:w="1126" w:type="dxa"/>
            <w:tcBorders>
              <w:bottom w:val="single" w:sz="2" w:space="0" w:color="DDDDDD"/>
            </w:tcBorders>
          </w:tcPr>
          <w:p>
            <w:pPr>
              <w:pStyle w:val="Normal"/>
              <w:spacing w:lineRule="auto" w:line="252" w:before="0" w:after="0"/>
              <w:ind w:hanging="0"/>
              <w:rPr/>
            </w:pPr>
            <w:r>
              <w:rPr>
                <w:sz w:val="19"/>
                <w:szCs w:val="19"/>
              </w:rPr>
              <w:t>27 %</w:t>
            </w:r>
          </w:p>
        </w:tc>
      </w:tr>
      <w:tr>
        <w:trPr>
          <w:cantSplit w:val="true"/>
        </w:trPr>
        <w:tc>
          <w:tcPr>
            <w:tcW w:w="2299" w:type="dxa"/>
            <w:tcBorders>
              <w:bottom w:val="single" w:sz="2" w:space="0" w:color="DDDDDD"/>
            </w:tcBorders>
          </w:tcPr>
          <w:p>
            <w:pPr>
              <w:pStyle w:val="Normal"/>
              <w:spacing w:lineRule="auto" w:line="252" w:before="0" w:after="0"/>
              <w:ind w:hanging="0"/>
              <w:rPr/>
            </w:pPr>
            <w:r>
              <w:rPr>
                <w:sz w:val="19"/>
                <w:szCs w:val="19"/>
              </w:rPr>
              <w:t>Para llevar</w:t>
            </w:r>
          </w:p>
        </w:tc>
        <w:tc>
          <w:tcPr>
            <w:tcW w:w="2601" w:type="dxa"/>
            <w:tcBorders>
              <w:bottom w:val="single" w:sz="2" w:space="0" w:color="DDDDDD"/>
            </w:tcBorders>
          </w:tcPr>
          <w:p>
            <w:pPr>
              <w:pStyle w:val="Normal"/>
              <w:spacing w:lineRule="auto" w:line="252" w:before="0" w:after="0"/>
              <w:ind w:hanging="0"/>
              <w:rPr/>
            </w:pPr>
            <w:r>
              <w:rPr>
                <w:sz w:val="19"/>
                <w:szCs w:val="19"/>
              </w:rPr>
              <w:t>Todo el horario, con picos a la hora de cenar</w:t>
            </w:r>
          </w:p>
        </w:tc>
        <w:tc>
          <w:tcPr>
            <w:tcW w:w="2999" w:type="dxa"/>
            <w:tcBorders>
              <w:bottom w:val="single" w:sz="2" w:space="0" w:color="DDDDDD"/>
            </w:tcBorders>
          </w:tcPr>
          <w:p>
            <w:pPr>
              <w:pStyle w:val="Normal"/>
              <w:spacing w:lineRule="auto" w:line="252" w:before="0" w:after="0"/>
              <w:ind w:hanging="0"/>
              <w:rPr/>
            </w:pPr>
            <w:r>
              <w:rPr>
                <w:sz w:val="19"/>
                <w:szCs w:val="19"/>
              </w:rPr>
              <w:t>Saber cuándo está listo su pedido sin preguntar</w:t>
            </w:r>
          </w:p>
        </w:tc>
        <w:tc>
          <w:tcPr>
            <w:tcW w:w="1126" w:type="dxa"/>
            <w:tcBorders>
              <w:bottom w:val="single" w:sz="2" w:space="0" w:color="DDDDDD"/>
            </w:tcBorders>
          </w:tcPr>
          <w:p>
            <w:pPr>
              <w:pStyle w:val="Normal"/>
              <w:spacing w:lineRule="auto" w:line="252" w:before="0" w:after="0"/>
              <w:ind w:hanging="0"/>
              <w:rPr/>
            </w:pPr>
            <w:r>
              <w:rPr>
                <w:sz w:val="19"/>
                <w:szCs w:val="19"/>
              </w:rPr>
              <w:t>10 %</w:t>
            </w:r>
          </w:p>
        </w:tc>
      </w:tr>
      <w:tr>
        <w:trPr>
          <w:cantSplit w:val="true"/>
        </w:trPr>
        <w:tc>
          <w:tcPr>
            <w:tcW w:w="2299" w:type="dxa"/>
            <w:tcBorders>
              <w:bottom w:val="single" w:sz="6" w:space="0" w:color="808080"/>
            </w:tcBorders>
          </w:tcPr>
          <w:p>
            <w:pPr>
              <w:pStyle w:val="Normal"/>
              <w:spacing w:lineRule="auto" w:line="252" w:before="0" w:after="0"/>
              <w:ind w:hanging="0"/>
              <w:rPr/>
            </w:pPr>
            <w:r>
              <w:rPr>
                <w:sz w:val="19"/>
                <w:szCs w:val="19"/>
              </w:rPr>
              <w:t>Reparto a domicilio</w:t>
            </w:r>
          </w:p>
        </w:tc>
        <w:tc>
          <w:tcPr>
            <w:tcW w:w="2601" w:type="dxa"/>
            <w:tcBorders>
              <w:bottom w:val="single" w:sz="6" w:space="0" w:color="808080"/>
            </w:tcBorders>
          </w:tcPr>
          <w:p>
            <w:pPr>
              <w:pStyle w:val="Normal"/>
              <w:spacing w:lineRule="auto" w:line="252" w:before="0" w:after="0"/>
              <w:ind w:hanging="0"/>
              <w:rPr/>
            </w:pPr>
            <w:r>
              <w:rPr>
                <w:sz w:val="19"/>
                <w:szCs w:val="19"/>
              </w:rPr>
              <w:t>Noches y fines de semana</w:t>
            </w:r>
          </w:p>
        </w:tc>
        <w:tc>
          <w:tcPr>
            <w:tcW w:w="2999" w:type="dxa"/>
            <w:tcBorders>
              <w:bottom w:val="single" w:sz="6" w:space="0" w:color="808080"/>
            </w:tcBorders>
          </w:tcPr>
          <w:p>
            <w:pPr>
              <w:pStyle w:val="Normal"/>
              <w:spacing w:lineRule="auto" w:line="252" w:before="0" w:after="0"/>
              <w:ind w:hanging="0"/>
              <w:rPr/>
            </w:pPr>
            <w:r>
              <w:rPr>
                <w:sz w:val="19"/>
                <w:szCs w:val="19"/>
              </w:rPr>
              <w:t>Que el pedido de la plataforma no se pierda ni se retrase</w:t>
            </w:r>
          </w:p>
        </w:tc>
        <w:tc>
          <w:tcPr>
            <w:tcW w:w="1126" w:type="dxa"/>
            <w:tcBorders>
              <w:bottom w:val="single" w:sz="6" w:space="0" w:color="808080"/>
            </w:tcBorders>
          </w:tcPr>
          <w:p>
            <w:pPr>
              <w:pStyle w:val="Normal"/>
              <w:spacing w:lineRule="auto" w:line="252" w:before="0" w:after="0"/>
              <w:ind w:hanging="0"/>
              <w:rPr/>
            </w:pPr>
            <w:r>
              <w:rPr>
                <w:sz w:val="19"/>
                <w:szCs w:val="19"/>
              </w:rPr>
              <w:t>18 %</w:t>
            </w:r>
          </w:p>
        </w:tc>
      </w:tr>
    </w:tbl>
    <w:p>
      <w:pPr>
        <w:pStyle w:val="Normal"/>
        <w:spacing w:lineRule="auto" w:line="276" w:before="80" w:after="240"/>
        <w:ind w:hanging="0"/>
        <w:rPr/>
      </w:pPr>
      <w:r>
        <w:rPr>
          <w:i/>
          <w:iCs/>
          <w:sz w:val="20"/>
          <w:szCs w:val="20"/>
        </w:rPr>
        <w:t>Nota.</w:t>
      </w:r>
      <w:r>
        <w:rPr>
          <w:sz w:val="20"/>
          <w:szCs w:val="20"/>
        </w:rPr>
        <w:t xml:space="preserve"> Elaboración propia a partir del escenario. El peso es la parte estimada de las ventas.</w:t>
      </w:r>
    </w:p>
    <w:p>
      <w:pPr>
        <w:pStyle w:val="Normal"/>
        <w:rPr/>
      </w:pPr>
      <w:r>
        <w:rPr>
          <w:b/>
          <w:bCs/>
        </w:rPr>
        <w:t>Proveedores.</w:t>
      </w:r>
      <w:r>
        <w:rPr/>
        <w:t xml:space="preserve"> Burglar King tiene dos tipos de proveedores: los de su actividad y los de su tecnología. Los de alimentación y bebida son, sobre todo, </w:t>
      </w:r>
      <w:r>
        <w:rPr>
          <w:i/>
          <w:iCs/>
        </w:rPr>
        <w:t>cash and carry</w:t>
      </w:r>
      <w:r>
        <w:rPr/>
        <w:t xml:space="preserve"> como Makro o GM Cash, que dominan el abastecimiento de la hostelería independiente (Makro España, 2026; GM Cash, 2026), más una carnicería local para la carne picada y un obrador para el pan. Los tecnológicos son los que más importan para el proyecto, porque de ellos depende la infraestructura (tabla 8).</w:t>
      </w:r>
    </w:p>
    <w:p>
      <w:pPr>
        <w:pStyle w:val="Normal"/>
        <w:keepNext w:val="true"/>
        <w:spacing w:lineRule="auto" w:line="480" w:before="240" w:after="0"/>
        <w:ind w:hanging="0"/>
        <w:rPr/>
      </w:pPr>
      <w:r>
        <w:rPr>
          <w:b/>
          <w:bCs/>
        </w:rPr>
        <w:t>Tabla 8</w:t>
      </w:r>
    </w:p>
    <w:p>
      <w:pPr>
        <w:pStyle w:val="Normal"/>
        <w:keepNext w:val="true"/>
        <w:spacing w:lineRule="auto" w:line="480" w:before="0" w:after="120"/>
        <w:ind w:hanging="0"/>
        <w:rPr/>
      </w:pPr>
      <w:r>
        <w:rPr>
          <w:i/>
          <w:iCs/>
        </w:rPr>
        <w:t>Proveedores y grado de dependencia</w:t>
      </w:r>
    </w:p>
    <w:tbl>
      <w:tblPr>
        <w:tblW w:w="9026" w:type="dxa"/>
        <w:jc w:val="left"/>
        <w:tblInd w:w="0" w:type="dxa"/>
        <w:tblLayout w:type="fixed"/>
        <w:tblCellMar>
          <w:top w:w="60" w:type="dxa"/>
          <w:left w:w="100" w:type="dxa"/>
          <w:bottom w:w="60" w:type="dxa"/>
          <w:right w:w="100" w:type="dxa"/>
        </w:tblCellMar>
      </w:tblPr>
      <w:tblGrid>
        <w:gridCol w:w="2199"/>
        <w:gridCol w:w="2400"/>
        <w:gridCol w:w="1400"/>
        <w:gridCol w:w="3026"/>
      </w:tblGrid>
      <w:tr>
        <w:trPr>
          <w:tblHeader w:val="true"/>
          <w:cantSplit w:val="true"/>
        </w:trPr>
        <w:tc>
          <w:tcPr>
            <w:tcW w:w="21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Proveedor</w:t>
            </w:r>
          </w:p>
        </w:tc>
        <w:tc>
          <w:tcPr>
            <w:tcW w:w="240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Qué aporta</w:t>
            </w:r>
          </w:p>
        </w:tc>
        <w:tc>
          <w:tcPr>
            <w:tcW w:w="140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Dependencia</w:t>
            </w:r>
          </w:p>
        </w:tc>
        <w:tc>
          <w:tcPr>
            <w:tcW w:w="3026"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Observación</w:t>
            </w:r>
          </w:p>
        </w:tc>
      </w:tr>
      <w:tr>
        <w:trPr>
          <w:cantSplit w:val="true"/>
        </w:trPr>
        <w:tc>
          <w:tcPr>
            <w:tcW w:w="2199" w:type="dxa"/>
            <w:tcBorders>
              <w:bottom w:val="single" w:sz="2" w:space="0" w:color="DDDDDD"/>
            </w:tcBorders>
          </w:tcPr>
          <w:p>
            <w:pPr>
              <w:pStyle w:val="Normal"/>
              <w:spacing w:lineRule="auto" w:line="252" w:before="0" w:after="0"/>
              <w:ind w:hanging="0"/>
              <w:rPr/>
            </w:pPr>
            <w:r>
              <w:rPr>
                <w:sz w:val="19"/>
                <w:szCs w:val="19"/>
              </w:rPr>
              <w:t>Cash and carry y carnicería</w:t>
            </w:r>
          </w:p>
        </w:tc>
        <w:tc>
          <w:tcPr>
            <w:tcW w:w="2400" w:type="dxa"/>
            <w:tcBorders>
              <w:bottom w:val="single" w:sz="2" w:space="0" w:color="DDDDDD"/>
            </w:tcBorders>
          </w:tcPr>
          <w:p>
            <w:pPr>
              <w:pStyle w:val="Normal"/>
              <w:spacing w:lineRule="auto" w:line="252" w:before="0" w:after="0"/>
              <w:ind w:hanging="0"/>
              <w:rPr/>
            </w:pPr>
            <w:r>
              <w:rPr>
                <w:sz w:val="19"/>
                <w:szCs w:val="19"/>
              </w:rPr>
              <w:t>Materia prima; entregas dos veces por semana</w:t>
            </w:r>
          </w:p>
        </w:tc>
        <w:tc>
          <w:tcPr>
            <w:tcW w:w="1400" w:type="dxa"/>
            <w:tcBorders>
              <w:bottom w:val="single" w:sz="2" w:space="0" w:color="DDDDDD"/>
            </w:tcBorders>
          </w:tcPr>
          <w:p>
            <w:pPr>
              <w:pStyle w:val="Normal"/>
              <w:spacing w:lineRule="auto" w:line="252" w:before="0" w:after="0"/>
              <w:ind w:hanging="0"/>
              <w:rPr/>
            </w:pPr>
            <w:r>
              <w:rPr>
                <w:sz w:val="19"/>
                <w:szCs w:val="19"/>
              </w:rPr>
              <w:t>Media</w:t>
            </w:r>
          </w:p>
        </w:tc>
        <w:tc>
          <w:tcPr>
            <w:tcW w:w="3026" w:type="dxa"/>
            <w:tcBorders>
              <w:bottom w:val="single" w:sz="2" w:space="0" w:color="DDDDDD"/>
            </w:tcBorders>
          </w:tcPr>
          <w:p>
            <w:pPr>
              <w:pStyle w:val="Normal"/>
              <w:spacing w:lineRule="auto" w:line="252" w:before="0" w:after="0"/>
              <w:ind w:hanging="0"/>
              <w:rPr/>
            </w:pPr>
            <w:r>
              <w:rPr>
                <w:sz w:val="19"/>
                <w:szCs w:val="19"/>
              </w:rPr>
              <w:t>Precios de mayorista; sin histórico de compras relacionado con lo vendido</w:t>
            </w:r>
          </w:p>
        </w:tc>
      </w:tr>
      <w:tr>
        <w:trPr>
          <w:cantSplit w:val="true"/>
        </w:trPr>
        <w:tc>
          <w:tcPr>
            <w:tcW w:w="2199" w:type="dxa"/>
            <w:tcBorders>
              <w:bottom w:val="single" w:sz="2" w:space="0" w:color="DDDDDD"/>
            </w:tcBorders>
          </w:tcPr>
          <w:p>
            <w:pPr>
              <w:pStyle w:val="Normal"/>
              <w:spacing w:lineRule="auto" w:line="252" w:before="0" w:after="0"/>
              <w:ind w:hanging="0"/>
              <w:rPr/>
            </w:pPr>
            <w:r>
              <w:rPr>
                <w:sz w:val="19"/>
                <w:szCs w:val="19"/>
              </w:rPr>
              <w:t>Operadora de telecomunicaciones</w:t>
            </w:r>
          </w:p>
        </w:tc>
        <w:tc>
          <w:tcPr>
            <w:tcW w:w="2400" w:type="dxa"/>
            <w:tcBorders>
              <w:bottom w:val="single" w:sz="2" w:space="0" w:color="DDDDDD"/>
            </w:tcBorders>
          </w:tcPr>
          <w:p>
            <w:pPr>
              <w:pStyle w:val="Normal"/>
              <w:spacing w:lineRule="auto" w:line="252" w:before="0" w:after="0"/>
              <w:ind w:hanging="0"/>
              <w:rPr/>
            </w:pPr>
            <w:r>
              <w:rPr>
                <w:sz w:val="19"/>
                <w:szCs w:val="19"/>
              </w:rPr>
              <w:t>Fibra, router y línea fija</w:t>
            </w:r>
          </w:p>
        </w:tc>
        <w:tc>
          <w:tcPr>
            <w:tcW w:w="1400" w:type="dxa"/>
            <w:tcBorders>
              <w:bottom w:val="single" w:sz="2" w:space="0" w:color="DDDDDD"/>
            </w:tcBorders>
          </w:tcPr>
          <w:p>
            <w:pPr>
              <w:pStyle w:val="Normal"/>
              <w:spacing w:lineRule="auto" w:line="252" w:before="0" w:after="0"/>
              <w:ind w:hanging="0"/>
              <w:rPr/>
            </w:pPr>
            <w:r>
              <w:rPr>
                <w:sz w:val="19"/>
                <w:szCs w:val="19"/>
              </w:rPr>
              <w:t>Alta</w:t>
            </w:r>
          </w:p>
        </w:tc>
        <w:tc>
          <w:tcPr>
            <w:tcW w:w="3026" w:type="dxa"/>
            <w:tcBorders>
              <w:bottom w:val="single" w:sz="2" w:space="0" w:color="DDDDDD"/>
            </w:tcBorders>
          </w:tcPr>
          <w:p>
            <w:pPr>
              <w:pStyle w:val="Normal"/>
              <w:spacing w:lineRule="auto" w:line="252" w:before="0" w:after="0"/>
              <w:ind w:hanging="0"/>
              <w:rPr/>
            </w:pPr>
            <w:r>
              <w:rPr>
                <w:sz w:val="19"/>
                <w:szCs w:val="19"/>
              </w:rPr>
              <w:t>Una única línea; el router no lo controla el local</w:t>
            </w:r>
          </w:p>
        </w:tc>
      </w:tr>
      <w:tr>
        <w:trPr>
          <w:cantSplit w:val="true"/>
        </w:trPr>
        <w:tc>
          <w:tcPr>
            <w:tcW w:w="2199" w:type="dxa"/>
            <w:tcBorders>
              <w:bottom w:val="single" w:sz="2" w:space="0" w:color="DDDDDD"/>
            </w:tcBorders>
          </w:tcPr>
          <w:p>
            <w:pPr>
              <w:pStyle w:val="Normal"/>
              <w:spacing w:lineRule="auto" w:line="252" w:before="0" w:after="0"/>
              <w:ind w:hanging="0"/>
              <w:rPr/>
            </w:pPr>
            <w:r>
              <w:rPr>
                <w:sz w:val="19"/>
                <w:szCs w:val="19"/>
              </w:rPr>
              <w:t>Banco</w:t>
            </w:r>
          </w:p>
        </w:tc>
        <w:tc>
          <w:tcPr>
            <w:tcW w:w="2400" w:type="dxa"/>
            <w:tcBorders>
              <w:bottom w:val="single" w:sz="2" w:space="0" w:color="DDDDDD"/>
            </w:tcBorders>
          </w:tcPr>
          <w:p>
            <w:pPr>
              <w:pStyle w:val="Normal"/>
              <w:spacing w:lineRule="auto" w:line="252" w:before="0" w:after="0"/>
              <w:ind w:hanging="0"/>
              <w:rPr/>
            </w:pPr>
            <w:r>
              <w:rPr>
                <w:sz w:val="19"/>
                <w:szCs w:val="19"/>
              </w:rPr>
              <w:t>Datáfono en alquiler y banca en línea</w:t>
            </w:r>
          </w:p>
        </w:tc>
        <w:tc>
          <w:tcPr>
            <w:tcW w:w="1400" w:type="dxa"/>
            <w:tcBorders>
              <w:bottom w:val="single" w:sz="2" w:space="0" w:color="DDDDDD"/>
            </w:tcBorders>
          </w:tcPr>
          <w:p>
            <w:pPr>
              <w:pStyle w:val="Normal"/>
              <w:spacing w:lineRule="auto" w:line="252" w:before="0" w:after="0"/>
              <w:ind w:hanging="0"/>
              <w:rPr/>
            </w:pPr>
            <w:r>
              <w:rPr>
                <w:sz w:val="19"/>
                <w:szCs w:val="19"/>
              </w:rPr>
              <w:t>Alta</w:t>
            </w:r>
          </w:p>
        </w:tc>
        <w:tc>
          <w:tcPr>
            <w:tcW w:w="3026" w:type="dxa"/>
            <w:tcBorders>
              <w:bottom w:val="single" w:sz="2" w:space="0" w:color="DDDDDD"/>
            </w:tcBorders>
          </w:tcPr>
          <w:p>
            <w:pPr>
              <w:pStyle w:val="Normal"/>
              <w:spacing w:lineRule="auto" w:line="252" w:before="0" w:after="0"/>
              <w:ind w:hanging="0"/>
              <w:rPr/>
            </w:pPr>
            <w:r>
              <w:rPr>
                <w:sz w:val="19"/>
                <w:szCs w:val="19"/>
              </w:rPr>
              <w:t>El datáfono necesita red estable en toda la superficie</w:t>
            </w:r>
          </w:p>
        </w:tc>
      </w:tr>
      <w:tr>
        <w:trPr>
          <w:cantSplit w:val="true"/>
        </w:trPr>
        <w:tc>
          <w:tcPr>
            <w:tcW w:w="2199" w:type="dxa"/>
            <w:tcBorders>
              <w:bottom w:val="single" w:sz="2" w:space="0" w:color="DDDDDD"/>
            </w:tcBorders>
          </w:tcPr>
          <w:p>
            <w:pPr>
              <w:pStyle w:val="Normal"/>
              <w:spacing w:lineRule="auto" w:line="252" w:before="0" w:after="0"/>
              <w:ind w:hanging="0"/>
              <w:rPr/>
            </w:pPr>
            <w:r>
              <w:rPr>
                <w:sz w:val="19"/>
                <w:szCs w:val="19"/>
              </w:rPr>
              <w:t>Fabricante del TPV actual</w:t>
            </w:r>
          </w:p>
        </w:tc>
        <w:tc>
          <w:tcPr>
            <w:tcW w:w="2400" w:type="dxa"/>
            <w:tcBorders>
              <w:bottom w:val="single" w:sz="2" w:space="0" w:color="DDDDDD"/>
            </w:tcBorders>
          </w:tcPr>
          <w:p>
            <w:pPr>
              <w:pStyle w:val="Normal"/>
              <w:spacing w:lineRule="auto" w:line="252" w:before="0" w:after="0"/>
              <w:ind w:hanging="0"/>
              <w:rPr/>
            </w:pPr>
            <w:r>
              <w:rPr>
                <w:sz w:val="19"/>
                <w:szCs w:val="19"/>
              </w:rPr>
              <w:t>Licencia perpetua de 2016</w:t>
            </w:r>
          </w:p>
        </w:tc>
        <w:tc>
          <w:tcPr>
            <w:tcW w:w="1400" w:type="dxa"/>
            <w:tcBorders>
              <w:bottom w:val="single" w:sz="2" w:space="0" w:color="DDDDDD"/>
            </w:tcBorders>
          </w:tcPr>
          <w:p>
            <w:pPr>
              <w:pStyle w:val="Normal"/>
              <w:spacing w:lineRule="auto" w:line="252" w:before="0" w:after="0"/>
              <w:ind w:hanging="0"/>
              <w:rPr/>
            </w:pPr>
            <w:r>
              <w:rPr>
                <w:sz w:val="19"/>
                <w:szCs w:val="19"/>
              </w:rPr>
              <w:t>Alta</w:t>
            </w:r>
          </w:p>
        </w:tc>
        <w:tc>
          <w:tcPr>
            <w:tcW w:w="3026" w:type="dxa"/>
            <w:tcBorders>
              <w:bottom w:val="single" w:sz="2" w:space="0" w:color="DDDDDD"/>
            </w:tcBorders>
          </w:tcPr>
          <w:p>
            <w:pPr>
              <w:pStyle w:val="Normal"/>
              <w:spacing w:lineRule="auto" w:line="252" w:before="0" w:after="0"/>
              <w:ind w:hanging="0"/>
              <w:rPr/>
            </w:pPr>
            <w:r>
              <w:rPr>
                <w:sz w:val="19"/>
                <w:szCs w:val="19"/>
              </w:rPr>
              <w:t>Sin contrato de mantenimiento ni adaptación a Verifactu</w:t>
            </w:r>
          </w:p>
        </w:tc>
      </w:tr>
      <w:tr>
        <w:trPr>
          <w:cantSplit w:val="true"/>
        </w:trPr>
        <w:tc>
          <w:tcPr>
            <w:tcW w:w="2199" w:type="dxa"/>
            <w:tcBorders>
              <w:bottom w:val="single" w:sz="2" w:space="0" w:color="DDDDDD"/>
            </w:tcBorders>
          </w:tcPr>
          <w:p>
            <w:pPr>
              <w:pStyle w:val="Normal"/>
              <w:spacing w:lineRule="auto" w:line="252" w:before="0" w:after="0"/>
              <w:ind w:hanging="0"/>
              <w:rPr/>
            </w:pPr>
            <w:r>
              <w:rPr>
                <w:sz w:val="19"/>
                <w:szCs w:val="19"/>
              </w:rPr>
              <w:t>Plataformas de reparto</w:t>
            </w:r>
          </w:p>
        </w:tc>
        <w:tc>
          <w:tcPr>
            <w:tcW w:w="2400" w:type="dxa"/>
            <w:tcBorders>
              <w:bottom w:val="single" w:sz="2" w:space="0" w:color="DDDDDD"/>
            </w:tcBorders>
          </w:tcPr>
          <w:p>
            <w:pPr>
              <w:pStyle w:val="Normal"/>
              <w:spacing w:lineRule="auto" w:line="252" w:before="0" w:after="0"/>
              <w:ind w:hanging="0"/>
              <w:rPr/>
            </w:pPr>
            <w:r>
              <w:rPr>
                <w:sz w:val="19"/>
                <w:szCs w:val="19"/>
              </w:rPr>
              <w:t>Pedidos a domicilio y una tableta</w:t>
            </w:r>
          </w:p>
        </w:tc>
        <w:tc>
          <w:tcPr>
            <w:tcW w:w="1400" w:type="dxa"/>
            <w:tcBorders>
              <w:bottom w:val="single" w:sz="2" w:space="0" w:color="DDDDDD"/>
            </w:tcBorders>
          </w:tcPr>
          <w:p>
            <w:pPr>
              <w:pStyle w:val="Normal"/>
              <w:spacing w:lineRule="auto" w:line="252" w:before="0" w:after="0"/>
              <w:ind w:hanging="0"/>
              <w:rPr/>
            </w:pPr>
            <w:r>
              <w:rPr>
                <w:sz w:val="19"/>
                <w:szCs w:val="19"/>
              </w:rPr>
              <w:t>Media</w:t>
            </w:r>
          </w:p>
        </w:tc>
        <w:tc>
          <w:tcPr>
            <w:tcW w:w="3026" w:type="dxa"/>
            <w:tcBorders>
              <w:bottom w:val="single" w:sz="2" w:space="0" w:color="DDDDDD"/>
            </w:tcBorders>
          </w:tcPr>
          <w:p>
            <w:pPr>
              <w:pStyle w:val="Normal"/>
              <w:spacing w:lineRule="auto" w:line="252" w:before="0" w:after="0"/>
              <w:ind w:hanging="0"/>
              <w:rPr/>
            </w:pPr>
            <w:r>
              <w:rPr>
                <w:sz w:val="19"/>
                <w:szCs w:val="19"/>
              </w:rPr>
              <w:t>Comisión del 15 % al 30 % del pedido (Qamarero, 2025); los pedidos no llegan al TPV</w:t>
            </w:r>
          </w:p>
        </w:tc>
      </w:tr>
      <w:tr>
        <w:trPr>
          <w:cantSplit w:val="true"/>
        </w:trPr>
        <w:tc>
          <w:tcPr>
            <w:tcW w:w="2199" w:type="dxa"/>
            <w:tcBorders>
              <w:bottom w:val="single" w:sz="6" w:space="0" w:color="808080"/>
            </w:tcBorders>
          </w:tcPr>
          <w:p>
            <w:pPr>
              <w:pStyle w:val="Normal"/>
              <w:spacing w:lineRule="auto" w:line="252" w:before="0" w:after="0"/>
              <w:ind w:hanging="0"/>
              <w:rPr/>
            </w:pPr>
            <w:r>
              <w:rPr>
                <w:sz w:val="19"/>
                <w:szCs w:val="19"/>
              </w:rPr>
              <w:t>Gestoría</w:t>
            </w:r>
          </w:p>
        </w:tc>
        <w:tc>
          <w:tcPr>
            <w:tcW w:w="2400" w:type="dxa"/>
            <w:tcBorders>
              <w:bottom w:val="single" w:sz="6" w:space="0" w:color="808080"/>
            </w:tcBorders>
          </w:tcPr>
          <w:p>
            <w:pPr>
              <w:pStyle w:val="Normal"/>
              <w:spacing w:lineRule="auto" w:line="252" w:before="0" w:after="0"/>
              <w:ind w:hanging="0"/>
              <w:rPr/>
            </w:pPr>
            <w:r>
              <w:rPr>
                <w:sz w:val="19"/>
                <w:szCs w:val="19"/>
              </w:rPr>
              <w:t>Contabilidad, nóminas e impuestos</w:t>
            </w:r>
          </w:p>
        </w:tc>
        <w:tc>
          <w:tcPr>
            <w:tcW w:w="1400" w:type="dxa"/>
            <w:tcBorders>
              <w:bottom w:val="single" w:sz="6" w:space="0" w:color="808080"/>
            </w:tcBorders>
          </w:tcPr>
          <w:p>
            <w:pPr>
              <w:pStyle w:val="Normal"/>
              <w:spacing w:lineRule="auto" w:line="252" w:before="0" w:after="0"/>
              <w:ind w:hanging="0"/>
              <w:rPr/>
            </w:pPr>
            <w:r>
              <w:rPr>
                <w:sz w:val="19"/>
                <w:szCs w:val="19"/>
              </w:rPr>
              <w:t>Media</w:t>
            </w:r>
          </w:p>
        </w:tc>
        <w:tc>
          <w:tcPr>
            <w:tcW w:w="3026" w:type="dxa"/>
            <w:tcBorders>
              <w:bottom w:val="single" w:sz="6" w:space="0" w:color="808080"/>
            </w:tcBorders>
          </w:tcPr>
          <w:p>
            <w:pPr>
              <w:pStyle w:val="Normal"/>
              <w:spacing w:lineRule="auto" w:line="252" w:before="0" w:after="0"/>
              <w:ind w:hanging="0"/>
              <w:rPr/>
            </w:pPr>
            <w:r>
              <w:rPr>
                <w:sz w:val="19"/>
                <w:szCs w:val="19"/>
              </w:rPr>
              <w:t>Recibe la documentación por correo personal</w:t>
            </w:r>
          </w:p>
        </w:tc>
      </w:tr>
    </w:tbl>
    <w:p>
      <w:pPr>
        <w:pStyle w:val="Normal"/>
        <w:spacing w:lineRule="auto" w:line="276" w:before="80" w:after="240"/>
        <w:ind w:hanging="0"/>
        <w:rPr/>
      </w:pPr>
      <w:r>
        <w:rPr>
          <w:i/>
          <w:iCs/>
          <w:sz w:val="20"/>
          <w:szCs w:val="20"/>
        </w:rPr>
        <w:t>Nota.</w:t>
      </w:r>
      <w:r>
        <w:rPr>
          <w:sz w:val="20"/>
          <w:szCs w:val="20"/>
        </w:rPr>
        <w:t xml:space="preserve"> Elaboración propia a partir del escenario.</w:t>
      </w:r>
    </w:p>
    <w:p>
      <w:pPr>
        <w:pStyle w:val="Normal"/>
        <w:rPr/>
      </w:pPr>
      <w:r>
        <w:rPr>
          <w:b/>
          <w:bCs/>
        </w:rPr>
        <w:t>Competencia.</w:t>
      </w:r>
      <w:r>
        <w:rPr/>
        <w:t xml:space="preserve"> En el plano del negocio, Burglar King compite con otras hamburgueserías y locales de comida rápida del barrio, con las cadenas de los centros comerciales cercanos y con las cocinas que solo venden por plataformas de reparto. Las cadenas tienen sistemas integrados en los que la comanda llega a la cocina en pantalla y el cliente ve en un monitor cuándo está listo su pedido: esa es la experiencia con la que el cliente compara. En el plano tecnológico, la competencia son las soluciones que el local podría contratar en lugar del proyecto. El estudio de mercado del equipo (Riches Manuel y Roca, 2026) distingue tres capas: el software español clásico de licencia por terminal sobre Windows; las plataformas en la nube de suscripción por terminal o por local; y las soluciones gratuitas que cobran por complementos y por los datos. Casi todas cobran por terminal o por pantalla, y esa es la oportunidad que el proyecto aprovecha: que añadir pantallas no suponga pagar más licencias.</w:t>
      </w:r>
      <w:r>
        <w:br w:type="page"/>
      </w:r>
    </w:p>
    <w:p>
      <w:pPr>
        <w:pStyle w:val="Heading1"/>
        <w:rPr/>
      </w:pPr>
      <w:bookmarkStart w:id="12" w:name="__RefHeading___Toc1982_3382994897"/>
      <w:bookmarkEnd w:id="12"/>
      <w:r>
        <w:rPr/>
        <w:t>4. Modelo de negocio y finanzas</w:t>
      </w:r>
    </w:p>
    <w:p>
      <w:pPr>
        <w:pStyle w:val="Normal"/>
        <w:rPr/>
      </w:pPr>
      <w:r>
        <w:rPr/>
        <w:t>El modelo de negocio de Burglar King es el de una hamburguesería de carta corta con cuatro canales de venta. La tabla 9 lo resume con las cifras del escenario, que se han construido para ser coherentes con los ratios habituales del sector: coste de producto entre el 28 % y el 35 % de las ventas, personal entre el 30 % y el 35 % en servicio en mesa, alquiler por debajo del 10 % y gastos generales entre el 13 % y el 20 % (Tourinews, 2025; Hostelería Madrid, s.f.).</w:t>
      </w:r>
    </w:p>
    <w:p>
      <w:pPr>
        <w:pStyle w:val="Normal"/>
        <w:keepNext w:val="true"/>
        <w:spacing w:lineRule="auto" w:line="480" w:before="240" w:after="0"/>
        <w:ind w:hanging="0"/>
        <w:rPr/>
      </w:pPr>
      <w:r>
        <w:rPr>
          <w:b/>
          <w:bCs/>
        </w:rPr>
        <w:t>Tabla 9</w:t>
      </w:r>
    </w:p>
    <w:p>
      <w:pPr>
        <w:pStyle w:val="Normal"/>
        <w:keepNext w:val="true"/>
        <w:spacing w:lineRule="auto" w:line="480" w:before="0" w:after="120"/>
        <w:ind w:hanging="0"/>
        <w:rPr/>
      </w:pPr>
      <w:r>
        <w:rPr>
          <w:i/>
          <w:iCs/>
        </w:rPr>
        <w:t>Modelo de negocio: ventas mensuales estimadas</w:t>
      </w:r>
    </w:p>
    <w:tbl>
      <w:tblPr>
        <w:tblW w:w="9026" w:type="dxa"/>
        <w:jc w:val="left"/>
        <w:tblInd w:w="0" w:type="dxa"/>
        <w:tblLayout w:type="fixed"/>
        <w:tblCellMar>
          <w:top w:w="60" w:type="dxa"/>
          <w:left w:w="100" w:type="dxa"/>
          <w:bottom w:w="60" w:type="dxa"/>
          <w:right w:w="100" w:type="dxa"/>
        </w:tblCellMar>
      </w:tblPr>
      <w:tblGrid>
        <w:gridCol w:w="2299"/>
        <w:gridCol w:w="2501"/>
        <w:gridCol w:w="2100"/>
        <w:gridCol w:w="2125"/>
      </w:tblGrid>
      <w:tr>
        <w:trPr>
          <w:tblHeader w:val="true"/>
          <w:cantSplit w:val="true"/>
        </w:trPr>
        <w:tc>
          <w:tcPr>
            <w:tcW w:w="22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Canal</w:t>
            </w:r>
          </w:p>
        </w:tc>
        <w:tc>
          <w:tcPr>
            <w:tcW w:w="2501"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Comensales o pedidos al mes</w:t>
            </w:r>
          </w:p>
        </w:tc>
        <w:tc>
          <w:tcPr>
            <w:tcW w:w="210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Ticket medio (sin IVA)</w:t>
            </w:r>
          </w:p>
        </w:tc>
        <w:tc>
          <w:tcPr>
            <w:tcW w:w="2125"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Ventas al mes</w:t>
            </w:r>
          </w:p>
        </w:tc>
      </w:tr>
      <w:tr>
        <w:trPr>
          <w:cantSplit w:val="true"/>
        </w:trPr>
        <w:tc>
          <w:tcPr>
            <w:tcW w:w="2299" w:type="dxa"/>
            <w:tcBorders>
              <w:bottom w:val="single" w:sz="2" w:space="0" w:color="DDDDDD"/>
            </w:tcBorders>
          </w:tcPr>
          <w:p>
            <w:pPr>
              <w:pStyle w:val="Normal"/>
              <w:spacing w:lineRule="auto" w:line="252" w:before="0" w:after="0"/>
              <w:ind w:hanging="0"/>
              <w:rPr/>
            </w:pPr>
            <w:r>
              <w:rPr>
                <w:sz w:val="19"/>
                <w:szCs w:val="19"/>
              </w:rPr>
              <w:t>Sala y terraza</w:t>
            </w:r>
          </w:p>
        </w:tc>
        <w:tc>
          <w:tcPr>
            <w:tcW w:w="2501" w:type="dxa"/>
            <w:tcBorders>
              <w:bottom w:val="single" w:sz="2" w:space="0" w:color="DDDDDD"/>
            </w:tcBorders>
          </w:tcPr>
          <w:p>
            <w:pPr>
              <w:pStyle w:val="Normal"/>
              <w:spacing w:lineRule="auto" w:line="252" w:before="0" w:after="0"/>
              <w:ind w:hanging="0"/>
              <w:rPr/>
            </w:pPr>
            <w:r>
              <w:rPr>
                <w:sz w:val="19"/>
                <w:szCs w:val="19"/>
              </w:rPr>
              <w:t>1.500 comensales</w:t>
            </w:r>
          </w:p>
        </w:tc>
        <w:tc>
          <w:tcPr>
            <w:tcW w:w="2100" w:type="dxa"/>
            <w:tcBorders>
              <w:bottom w:val="single" w:sz="2" w:space="0" w:color="DDDDDD"/>
            </w:tcBorders>
          </w:tcPr>
          <w:p>
            <w:pPr>
              <w:pStyle w:val="Normal"/>
              <w:spacing w:lineRule="auto" w:line="252" w:before="0" w:after="0"/>
              <w:ind w:hanging="0"/>
              <w:rPr/>
            </w:pPr>
            <w:r>
              <w:rPr>
                <w:sz w:val="19"/>
                <w:szCs w:val="19"/>
              </w:rPr>
              <w:t>19,50 €</w:t>
            </w:r>
          </w:p>
        </w:tc>
        <w:tc>
          <w:tcPr>
            <w:tcW w:w="2125" w:type="dxa"/>
            <w:tcBorders>
              <w:bottom w:val="single" w:sz="2" w:space="0" w:color="DDDDDD"/>
            </w:tcBorders>
          </w:tcPr>
          <w:p>
            <w:pPr>
              <w:pStyle w:val="Normal"/>
              <w:spacing w:lineRule="auto" w:line="252" w:before="0" w:after="0"/>
              <w:ind w:hanging="0"/>
              <w:rPr/>
            </w:pPr>
            <w:r>
              <w:rPr>
                <w:sz w:val="19"/>
                <w:szCs w:val="19"/>
              </w:rPr>
              <w:t>29.250 €</w:t>
            </w:r>
          </w:p>
        </w:tc>
      </w:tr>
      <w:tr>
        <w:trPr>
          <w:cantSplit w:val="true"/>
        </w:trPr>
        <w:tc>
          <w:tcPr>
            <w:tcW w:w="2299" w:type="dxa"/>
            <w:tcBorders>
              <w:bottom w:val="single" w:sz="2" w:space="0" w:color="DDDDDD"/>
            </w:tcBorders>
          </w:tcPr>
          <w:p>
            <w:pPr>
              <w:pStyle w:val="Normal"/>
              <w:spacing w:lineRule="auto" w:line="252" w:before="0" w:after="0"/>
              <w:ind w:hanging="0"/>
              <w:rPr/>
            </w:pPr>
            <w:r>
              <w:rPr>
                <w:sz w:val="19"/>
                <w:szCs w:val="19"/>
              </w:rPr>
              <w:t>Barra</w:t>
            </w:r>
          </w:p>
        </w:tc>
        <w:tc>
          <w:tcPr>
            <w:tcW w:w="2501" w:type="dxa"/>
            <w:tcBorders>
              <w:bottom w:val="single" w:sz="2" w:space="0" w:color="DDDDDD"/>
            </w:tcBorders>
          </w:tcPr>
          <w:p>
            <w:pPr>
              <w:pStyle w:val="Normal"/>
              <w:spacing w:lineRule="auto" w:line="252" w:before="0" w:after="0"/>
              <w:ind w:hanging="0"/>
              <w:rPr/>
            </w:pPr>
            <w:r>
              <w:rPr>
                <w:sz w:val="19"/>
                <w:szCs w:val="19"/>
              </w:rPr>
              <w:t>300 comensales</w:t>
            </w:r>
          </w:p>
        </w:tc>
        <w:tc>
          <w:tcPr>
            <w:tcW w:w="2100" w:type="dxa"/>
            <w:tcBorders>
              <w:bottom w:val="single" w:sz="2" w:space="0" w:color="DDDDDD"/>
            </w:tcBorders>
          </w:tcPr>
          <w:p>
            <w:pPr>
              <w:pStyle w:val="Normal"/>
              <w:spacing w:lineRule="auto" w:line="252" w:before="0" w:after="0"/>
              <w:ind w:hanging="0"/>
              <w:rPr/>
            </w:pPr>
            <w:r>
              <w:rPr>
                <w:sz w:val="19"/>
                <w:szCs w:val="19"/>
              </w:rPr>
              <w:t>10,00 €</w:t>
            </w:r>
          </w:p>
        </w:tc>
        <w:tc>
          <w:tcPr>
            <w:tcW w:w="2125" w:type="dxa"/>
            <w:tcBorders>
              <w:bottom w:val="single" w:sz="2" w:space="0" w:color="DDDDDD"/>
            </w:tcBorders>
          </w:tcPr>
          <w:p>
            <w:pPr>
              <w:pStyle w:val="Normal"/>
              <w:spacing w:lineRule="auto" w:line="252" w:before="0" w:after="0"/>
              <w:ind w:hanging="0"/>
              <w:rPr/>
            </w:pPr>
            <w:r>
              <w:rPr>
                <w:sz w:val="19"/>
                <w:szCs w:val="19"/>
              </w:rPr>
              <w:t>3.000 €</w:t>
            </w:r>
          </w:p>
        </w:tc>
      </w:tr>
      <w:tr>
        <w:trPr>
          <w:cantSplit w:val="true"/>
        </w:trPr>
        <w:tc>
          <w:tcPr>
            <w:tcW w:w="2299" w:type="dxa"/>
            <w:tcBorders>
              <w:bottom w:val="single" w:sz="2" w:space="0" w:color="DDDDDD"/>
            </w:tcBorders>
          </w:tcPr>
          <w:p>
            <w:pPr>
              <w:pStyle w:val="Normal"/>
              <w:spacing w:lineRule="auto" w:line="252" w:before="0" w:after="0"/>
              <w:ind w:hanging="0"/>
              <w:rPr/>
            </w:pPr>
            <w:r>
              <w:rPr>
                <w:sz w:val="19"/>
                <w:szCs w:val="19"/>
              </w:rPr>
              <w:t>Para llevar</w:t>
            </w:r>
          </w:p>
        </w:tc>
        <w:tc>
          <w:tcPr>
            <w:tcW w:w="2501" w:type="dxa"/>
            <w:tcBorders>
              <w:bottom w:val="single" w:sz="2" w:space="0" w:color="DDDDDD"/>
            </w:tcBorders>
          </w:tcPr>
          <w:p>
            <w:pPr>
              <w:pStyle w:val="Normal"/>
              <w:spacing w:lineRule="auto" w:line="252" w:before="0" w:after="0"/>
              <w:ind w:hanging="0"/>
              <w:rPr/>
            </w:pPr>
            <w:r>
              <w:rPr>
                <w:sz w:val="19"/>
                <w:szCs w:val="19"/>
              </w:rPr>
              <w:t>300 pedidos</w:t>
            </w:r>
          </w:p>
        </w:tc>
        <w:tc>
          <w:tcPr>
            <w:tcW w:w="2100" w:type="dxa"/>
            <w:tcBorders>
              <w:bottom w:val="single" w:sz="2" w:space="0" w:color="DDDDDD"/>
            </w:tcBorders>
          </w:tcPr>
          <w:p>
            <w:pPr>
              <w:pStyle w:val="Normal"/>
              <w:spacing w:lineRule="auto" w:line="252" w:before="0" w:after="0"/>
              <w:ind w:hanging="0"/>
              <w:rPr/>
            </w:pPr>
            <w:r>
              <w:rPr>
                <w:sz w:val="19"/>
                <w:szCs w:val="19"/>
              </w:rPr>
              <w:t>15,00 €</w:t>
            </w:r>
          </w:p>
        </w:tc>
        <w:tc>
          <w:tcPr>
            <w:tcW w:w="2125" w:type="dxa"/>
            <w:tcBorders>
              <w:bottom w:val="single" w:sz="2" w:space="0" w:color="DDDDDD"/>
            </w:tcBorders>
          </w:tcPr>
          <w:p>
            <w:pPr>
              <w:pStyle w:val="Normal"/>
              <w:spacing w:lineRule="auto" w:line="252" w:before="0" w:after="0"/>
              <w:ind w:hanging="0"/>
              <w:rPr/>
            </w:pPr>
            <w:r>
              <w:rPr>
                <w:sz w:val="19"/>
                <w:szCs w:val="19"/>
              </w:rPr>
              <w:t>4.500 €</w:t>
            </w:r>
          </w:p>
        </w:tc>
      </w:tr>
      <w:tr>
        <w:trPr>
          <w:cantSplit w:val="true"/>
        </w:trPr>
        <w:tc>
          <w:tcPr>
            <w:tcW w:w="2299" w:type="dxa"/>
            <w:tcBorders>
              <w:bottom w:val="single" w:sz="2" w:space="0" w:color="DDDDDD"/>
            </w:tcBorders>
          </w:tcPr>
          <w:p>
            <w:pPr>
              <w:pStyle w:val="Normal"/>
              <w:spacing w:lineRule="auto" w:line="252" w:before="0" w:after="0"/>
              <w:ind w:hanging="0"/>
              <w:rPr/>
            </w:pPr>
            <w:r>
              <w:rPr>
                <w:sz w:val="19"/>
                <w:szCs w:val="19"/>
              </w:rPr>
              <w:t>Reparto a domicilio</w:t>
            </w:r>
          </w:p>
        </w:tc>
        <w:tc>
          <w:tcPr>
            <w:tcW w:w="2501" w:type="dxa"/>
            <w:tcBorders>
              <w:bottom w:val="single" w:sz="2" w:space="0" w:color="DDDDDD"/>
            </w:tcBorders>
          </w:tcPr>
          <w:p>
            <w:pPr>
              <w:pStyle w:val="Normal"/>
              <w:spacing w:lineRule="auto" w:line="252" w:before="0" w:after="0"/>
              <w:ind w:hanging="0"/>
              <w:rPr/>
            </w:pPr>
            <w:r>
              <w:rPr>
                <w:sz w:val="19"/>
                <w:szCs w:val="19"/>
              </w:rPr>
              <w:t>550 pedidos</w:t>
            </w:r>
          </w:p>
        </w:tc>
        <w:tc>
          <w:tcPr>
            <w:tcW w:w="2100" w:type="dxa"/>
            <w:tcBorders>
              <w:bottom w:val="single" w:sz="2" w:space="0" w:color="DDDDDD"/>
            </w:tcBorders>
          </w:tcPr>
          <w:p>
            <w:pPr>
              <w:pStyle w:val="Normal"/>
              <w:spacing w:lineRule="auto" w:line="252" w:before="0" w:after="0"/>
              <w:ind w:hanging="0"/>
              <w:rPr/>
            </w:pPr>
            <w:r>
              <w:rPr>
                <w:sz w:val="19"/>
                <w:szCs w:val="19"/>
              </w:rPr>
              <w:t>15,00 €</w:t>
            </w:r>
          </w:p>
        </w:tc>
        <w:tc>
          <w:tcPr>
            <w:tcW w:w="2125" w:type="dxa"/>
            <w:tcBorders>
              <w:bottom w:val="single" w:sz="2" w:space="0" w:color="DDDDDD"/>
            </w:tcBorders>
          </w:tcPr>
          <w:p>
            <w:pPr>
              <w:pStyle w:val="Normal"/>
              <w:spacing w:lineRule="auto" w:line="252" w:before="0" w:after="0"/>
              <w:ind w:hanging="0"/>
              <w:rPr/>
            </w:pPr>
            <w:r>
              <w:rPr>
                <w:sz w:val="19"/>
                <w:szCs w:val="19"/>
              </w:rPr>
              <w:t>8.250 €</w:t>
            </w:r>
          </w:p>
        </w:tc>
      </w:tr>
      <w:tr>
        <w:trPr>
          <w:cantSplit w:val="true"/>
        </w:trPr>
        <w:tc>
          <w:tcPr>
            <w:tcW w:w="2299" w:type="dxa"/>
            <w:tcBorders>
              <w:bottom w:val="single" w:sz="6" w:space="0" w:color="808080"/>
            </w:tcBorders>
          </w:tcPr>
          <w:p>
            <w:pPr>
              <w:pStyle w:val="Normal"/>
              <w:spacing w:lineRule="auto" w:line="252" w:before="0" w:after="0"/>
              <w:ind w:hanging="0"/>
              <w:rPr/>
            </w:pPr>
            <w:r>
              <w:rPr>
                <w:sz w:val="19"/>
                <w:szCs w:val="19"/>
              </w:rPr>
              <w:t>Total</w:t>
            </w:r>
          </w:p>
        </w:tc>
        <w:tc>
          <w:tcPr>
            <w:tcW w:w="2501" w:type="dxa"/>
            <w:tcBorders>
              <w:bottom w:val="single" w:sz="6" w:space="0" w:color="808080"/>
            </w:tcBorders>
          </w:tcPr>
          <w:p>
            <w:pPr>
              <w:pStyle w:val="Normal"/>
              <w:spacing w:lineRule="auto" w:line="252" w:before="0" w:after="0"/>
              <w:ind w:hanging="0"/>
              <w:rPr/>
            </w:pPr>
            <w:r>
              <w:rPr>
                <w:sz w:val="19"/>
                <w:szCs w:val="19"/>
              </w:rPr>
              <w:t>2.650</w:t>
            </w:r>
          </w:p>
        </w:tc>
        <w:tc>
          <w:tcPr>
            <w:tcW w:w="2100" w:type="dxa"/>
            <w:tcBorders>
              <w:bottom w:val="single" w:sz="6" w:space="0" w:color="808080"/>
            </w:tcBorders>
          </w:tcPr>
          <w:p>
            <w:pPr>
              <w:pStyle w:val="Normal"/>
              <w:spacing w:lineRule="auto" w:line="252" w:before="0" w:after="0"/>
              <w:ind w:hanging="0"/>
              <w:rPr/>
            </w:pPr>
            <w:r>
              <w:rPr>
                <w:sz w:val="19"/>
                <w:szCs w:val="19"/>
              </w:rPr>
              <w:t>16,98 €</w:t>
            </w:r>
          </w:p>
        </w:tc>
        <w:tc>
          <w:tcPr>
            <w:tcW w:w="2125" w:type="dxa"/>
            <w:tcBorders>
              <w:bottom w:val="single" w:sz="6" w:space="0" w:color="808080"/>
            </w:tcBorders>
          </w:tcPr>
          <w:p>
            <w:pPr>
              <w:pStyle w:val="Normal"/>
              <w:spacing w:lineRule="auto" w:line="252" w:before="0" w:after="0"/>
              <w:ind w:hanging="0"/>
              <w:rPr/>
            </w:pPr>
            <w:r>
              <w:rPr>
                <w:sz w:val="19"/>
                <w:szCs w:val="19"/>
              </w:rPr>
              <w:t>45.000 €</w:t>
            </w:r>
          </w:p>
        </w:tc>
      </w:tr>
    </w:tbl>
    <w:p>
      <w:pPr>
        <w:pStyle w:val="Normal"/>
        <w:spacing w:lineRule="auto" w:line="276" w:before="80" w:after="240"/>
        <w:ind w:hanging="0"/>
        <w:rPr/>
      </w:pPr>
      <w:r>
        <w:rPr>
          <w:i/>
          <w:iCs/>
          <w:sz w:val="20"/>
          <w:szCs w:val="20"/>
        </w:rPr>
        <w:t>Nota.</w:t>
      </w:r>
      <w:r>
        <w:rPr>
          <w:sz w:val="20"/>
          <w:szCs w:val="20"/>
        </w:rPr>
        <w:t xml:space="preserve"> Elaboración propia. 26 días de apertura al mes; los importes excluyen el IVA del 10 % de la hostelería (Ley 37/1992). Unos 540.000 euros anuales, lo que factura un local de 44 plazas con dos turnos y reparto.</w:t>
      </w:r>
    </w:p>
    <w:p>
      <w:pPr>
        <w:pStyle w:val="Normal"/>
        <w:rPr/>
      </w:pPr>
      <w:r>
        <w:rPr/>
        <w:t>Con esas ventas, la cuenta de resultados mensual estimada queda como muestra la tabla 10 y la figura 3. El resultado antes de impuestos ronda el 16 % de las ventas, un margen holgado para un local bien gestionado, pero que se evapora con dos meses flojos; la rentabilidad media del sector fue negativa en 2025 (Hosteltur, 2026). El tipo del impuesto sobre sociedades para microempresas en 2026 es del 19 % hasta 50.000 euros de base imponible y del 21 % para el resto (Ley 7/2024).</w:t>
      </w:r>
    </w:p>
    <w:p>
      <w:pPr>
        <w:pStyle w:val="Normal"/>
        <w:keepNext w:val="true"/>
        <w:spacing w:lineRule="auto" w:line="480" w:before="240" w:after="0"/>
        <w:ind w:hanging="0"/>
        <w:rPr/>
      </w:pPr>
      <w:r>
        <w:rPr>
          <w:b/>
          <w:bCs/>
        </w:rPr>
        <w:t>Tabla 10</w:t>
      </w:r>
    </w:p>
    <w:p>
      <w:pPr>
        <w:pStyle w:val="Normal"/>
        <w:keepNext w:val="true"/>
        <w:spacing w:lineRule="auto" w:line="480" w:before="0" w:after="120"/>
        <w:ind w:hanging="0"/>
        <w:rPr/>
      </w:pPr>
      <w:r>
        <w:rPr>
          <w:i/>
          <w:iCs/>
        </w:rPr>
        <w:t>Cuenta de resultados mensual estimada</w:t>
      </w:r>
    </w:p>
    <w:tbl>
      <w:tblPr>
        <w:tblW w:w="9026" w:type="dxa"/>
        <w:jc w:val="left"/>
        <w:tblInd w:w="0" w:type="dxa"/>
        <w:tblLayout w:type="fixed"/>
        <w:tblCellMar>
          <w:top w:w="60" w:type="dxa"/>
          <w:left w:w="100" w:type="dxa"/>
          <w:bottom w:w="60" w:type="dxa"/>
          <w:right w:w="100" w:type="dxa"/>
        </w:tblCellMar>
      </w:tblPr>
      <w:tblGrid>
        <w:gridCol w:w="3799"/>
        <w:gridCol w:w="1800"/>
        <w:gridCol w:w="1701"/>
        <w:gridCol w:w="1725"/>
      </w:tblGrid>
      <w:tr>
        <w:trPr>
          <w:tblHeader w:val="true"/>
          <w:cantSplit w:val="true"/>
        </w:trPr>
        <w:tc>
          <w:tcPr>
            <w:tcW w:w="37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Partida</w:t>
            </w:r>
          </w:p>
        </w:tc>
        <w:tc>
          <w:tcPr>
            <w:tcW w:w="180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Importe al mes</w:t>
            </w:r>
          </w:p>
        </w:tc>
        <w:tc>
          <w:tcPr>
            <w:tcW w:w="1701"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 de las ventas</w:t>
            </w:r>
          </w:p>
        </w:tc>
        <w:tc>
          <w:tcPr>
            <w:tcW w:w="1725"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Apartado</w:t>
            </w:r>
          </w:p>
        </w:tc>
      </w:tr>
      <w:tr>
        <w:trPr>
          <w:cantSplit w:val="true"/>
        </w:trPr>
        <w:tc>
          <w:tcPr>
            <w:tcW w:w="3799" w:type="dxa"/>
            <w:tcBorders>
              <w:bottom w:val="single" w:sz="2" w:space="0" w:color="DDDDDD"/>
            </w:tcBorders>
          </w:tcPr>
          <w:p>
            <w:pPr>
              <w:pStyle w:val="Normal"/>
              <w:spacing w:lineRule="auto" w:line="252" w:before="0" w:after="0"/>
              <w:ind w:hanging="0"/>
              <w:rPr/>
            </w:pPr>
            <w:r>
              <w:rPr>
                <w:sz w:val="19"/>
                <w:szCs w:val="19"/>
              </w:rPr>
              <w:t>Ventas (sin IVA)</w:t>
            </w:r>
          </w:p>
        </w:tc>
        <w:tc>
          <w:tcPr>
            <w:tcW w:w="1800" w:type="dxa"/>
            <w:tcBorders>
              <w:bottom w:val="single" w:sz="2" w:space="0" w:color="DDDDDD"/>
            </w:tcBorders>
          </w:tcPr>
          <w:p>
            <w:pPr>
              <w:pStyle w:val="Normal"/>
              <w:spacing w:lineRule="auto" w:line="252" w:before="0" w:after="0"/>
              <w:ind w:hanging="0"/>
              <w:rPr/>
            </w:pPr>
            <w:r>
              <w:rPr>
                <w:sz w:val="19"/>
                <w:szCs w:val="19"/>
              </w:rPr>
              <w:t>45.000 €</w:t>
            </w:r>
          </w:p>
        </w:tc>
        <w:tc>
          <w:tcPr>
            <w:tcW w:w="1701" w:type="dxa"/>
            <w:tcBorders>
              <w:bottom w:val="single" w:sz="2" w:space="0" w:color="DDDDDD"/>
            </w:tcBorders>
          </w:tcPr>
          <w:p>
            <w:pPr>
              <w:pStyle w:val="Normal"/>
              <w:spacing w:lineRule="auto" w:line="252" w:before="0" w:after="0"/>
              <w:ind w:hanging="0"/>
              <w:rPr/>
            </w:pPr>
            <w:r>
              <w:rPr>
                <w:sz w:val="19"/>
                <w:szCs w:val="19"/>
              </w:rPr>
              <w:t>100 %</w:t>
            </w:r>
          </w:p>
        </w:tc>
        <w:tc>
          <w:tcPr>
            <w:tcW w:w="1725" w:type="dxa"/>
            <w:tcBorders>
              <w:bottom w:val="single" w:sz="2" w:space="0" w:color="DDDDDD"/>
            </w:tcBorders>
          </w:tcPr>
          <w:p>
            <w:pPr>
              <w:pStyle w:val="Normal"/>
              <w:spacing w:lineRule="auto" w:line="252" w:before="0" w:after="0"/>
              <w:ind w:hanging="0"/>
              <w:rPr/>
            </w:pPr>
            <w:r>
              <w:rPr>
                <w:sz w:val="19"/>
                <w:szCs w:val="19"/>
              </w:rPr>
              <w:t>4</w:t>
            </w:r>
          </w:p>
        </w:tc>
      </w:tr>
      <w:tr>
        <w:trPr>
          <w:cantSplit w:val="true"/>
        </w:trPr>
        <w:tc>
          <w:tcPr>
            <w:tcW w:w="3799" w:type="dxa"/>
            <w:tcBorders>
              <w:bottom w:val="single" w:sz="2" w:space="0" w:color="DDDDDD"/>
            </w:tcBorders>
          </w:tcPr>
          <w:p>
            <w:pPr>
              <w:pStyle w:val="Normal"/>
              <w:spacing w:lineRule="auto" w:line="252" w:before="0" w:after="0"/>
              <w:ind w:hanging="0"/>
              <w:rPr/>
            </w:pPr>
            <w:r>
              <w:rPr>
                <w:sz w:val="19"/>
                <w:szCs w:val="19"/>
              </w:rPr>
              <w:t>Materia prima (comida y bebida)</w:t>
            </w:r>
          </w:p>
        </w:tc>
        <w:tc>
          <w:tcPr>
            <w:tcW w:w="1800" w:type="dxa"/>
            <w:tcBorders>
              <w:bottom w:val="single" w:sz="2" w:space="0" w:color="DDDDDD"/>
            </w:tcBorders>
          </w:tcPr>
          <w:p>
            <w:pPr>
              <w:pStyle w:val="Normal"/>
              <w:spacing w:lineRule="auto" w:line="252" w:before="0" w:after="0"/>
              <w:ind w:hanging="0"/>
              <w:rPr/>
            </w:pPr>
            <w:r>
              <w:rPr>
                <w:sz w:val="19"/>
                <w:szCs w:val="19"/>
              </w:rPr>
              <w:t>−</w:t>
            </w:r>
            <w:r>
              <w:rPr>
                <w:sz w:val="19"/>
                <w:szCs w:val="19"/>
              </w:rPr>
              <w:t>14.400 €</w:t>
            </w:r>
          </w:p>
        </w:tc>
        <w:tc>
          <w:tcPr>
            <w:tcW w:w="1701" w:type="dxa"/>
            <w:tcBorders>
              <w:bottom w:val="single" w:sz="2" w:space="0" w:color="DDDDDD"/>
            </w:tcBorders>
          </w:tcPr>
          <w:p>
            <w:pPr>
              <w:pStyle w:val="Normal"/>
              <w:spacing w:lineRule="auto" w:line="252" w:before="0" w:after="0"/>
              <w:ind w:hanging="0"/>
              <w:rPr/>
            </w:pPr>
            <w:r>
              <w:rPr>
                <w:sz w:val="19"/>
                <w:szCs w:val="19"/>
              </w:rPr>
              <w:t>32 %</w:t>
            </w:r>
          </w:p>
        </w:tc>
        <w:tc>
          <w:tcPr>
            <w:tcW w:w="1725" w:type="dxa"/>
            <w:tcBorders>
              <w:bottom w:val="single" w:sz="2" w:space="0" w:color="DDDDDD"/>
            </w:tcBorders>
          </w:tcPr>
          <w:p>
            <w:pPr>
              <w:pStyle w:val="Normal"/>
              <w:spacing w:lineRule="auto" w:line="252" w:before="0" w:after="0"/>
              <w:ind w:hanging="0"/>
              <w:rPr/>
            </w:pPr>
            <w:r>
              <w:rPr>
                <w:sz w:val="19"/>
                <w:szCs w:val="19"/>
              </w:rPr>
              <w:t>4.3</w:t>
            </w:r>
          </w:p>
        </w:tc>
      </w:tr>
      <w:tr>
        <w:trPr>
          <w:cantSplit w:val="true"/>
        </w:trPr>
        <w:tc>
          <w:tcPr>
            <w:tcW w:w="3799" w:type="dxa"/>
            <w:tcBorders>
              <w:bottom w:val="single" w:sz="2" w:space="0" w:color="DDDDDD"/>
            </w:tcBorders>
          </w:tcPr>
          <w:p>
            <w:pPr>
              <w:pStyle w:val="Normal"/>
              <w:spacing w:lineRule="auto" w:line="252" w:before="0" w:after="0"/>
              <w:ind w:hanging="0"/>
              <w:rPr/>
            </w:pPr>
            <w:r>
              <w:rPr>
                <w:sz w:val="19"/>
                <w:szCs w:val="19"/>
              </w:rPr>
              <w:t>Personal (sueldos, cotizaciones y autónomo)</w:t>
            </w:r>
          </w:p>
        </w:tc>
        <w:tc>
          <w:tcPr>
            <w:tcW w:w="1800" w:type="dxa"/>
            <w:tcBorders>
              <w:bottom w:val="single" w:sz="2" w:space="0" w:color="DDDDDD"/>
            </w:tcBorders>
          </w:tcPr>
          <w:p>
            <w:pPr>
              <w:pStyle w:val="Normal"/>
              <w:spacing w:lineRule="auto" w:line="252" w:before="0" w:after="0"/>
              <w:ind w:hanging="0"/>
              <w:rPr/>
            </w:pPr>
            <w:r>
              <w:rPr>
                <w:sz w:val="19"/>
                <w:szCs w:val="19"/>
              </w:rPr>
              <w:t>−</w:t>
            </w:r>
            <w:r>
              <w:rPr>
                <w:sz w:val="19"/>
                <w:szCs w:val="19"/>
              </w:rPr>
              <w:t>14.800 €</w:t>
            </w:r>
          </w:p>
        </w:tc>
        <w:tc>
          <w:tcPr>
            <w:tcW w:w="1701" w:type="dxa"/>
            <w:tcBorders>
              <w:bottom w:val="single" w:sz="2" w:space="0" w:color="DDDDDD"/>
            </w:tcBorders>
          </w:tcPr>
          <w:p>
            <w:pPr>
              <w:pStyle w:val="Normal"/>
              <w:spacing w:lineRule="auto" w:line="252" w:before="0" w:after="0"/>
              <w:ind w:hanging="0"/>
              <w:rPr/>
            </w:pPr>
            <w:r>
              <w:rPr>
                <w:sz w:val="19"/>
                <w:szCs w:val="19"/>
              </w:rPr>
              <w:t>33 %</w:t>
            </w:r>
          </w:p>
        </w:tc>
        <w:tc>
          <w:tcPr>
            <w:tcW w:w="1725" w:type="dxa"/>
            <w:tcBorders>
              <w:bottom w:val="single" w:sz="2" w:space="0" w:color="DDDDDD"/>
            </w:tcBorders>
          </w:tcPr>
          <w:p>
            <w:pPr>
              <w:pStyle w:val="Normal"/>
              <w:spacing w:lineRule="auto" w:line="252" w:before="0" w:after="0"/>
              <w:ind w:hanging="0"/>
              <w:rPr/>
            </w:pPr>
            <w:r>
              <w:rPr>
                <w:sz w:val="19"/>
                <w:szCs w:val="19"/>
              </w:rPr>
              <w:t>4.2</w:t>
            </w:r>
          </w:p>
        </w:tc>
      </w:tr>
      <w:tr>
        <w:trPr>
          <w:cantSplit w:val="true"/>
        </w:trPr>
        <w:tc>
          <w:tcPr>
            <w:tcW w:w="3799" w:type="dxa"/>
            <w:tcBorders>
              <w:bottom w:val="single" w:sz="2" w:space="0" w:color="DDDDDD"/>
            </w:tcBorders>
          </w:tcPr>
          <w:p>
            <w:pPr>
              <w:pStyle w:val="Normal"/>
              <w:spacing w:lineRule="auto" w:line="252" w:before="0" w:after="0"/>
              <w:ind w:hanging="0"/>
              <w:rPr/>
            </w:pPr>
            <w:r>
              <w:rPr>
                <w:sz w:val="19"/>
                <w:szCs w:val="19"/>
              </w:rPr>
              <w:t>Alquiler del local</w:t>
            </w:r>
          </w:p>
        </w:tc>
        <w:tc>
          <w:tcPr>
            <w:tcW w:w="1800" w:type="dxa"/>
            <w:tcBorders>
              <w:bottom w:val="single" w:sz="2" w:space="0" w:color="DDDDDD"/>
            </w:tcBorders>
          </w:tcPr>
          <w:p>
            <w:pPr>
              <w:pStyle w:val="Normal"/>
              <w:spacing w:lineRule="auto" w:line="252" w:before="0" w:after="0"/>
              <w:ind w:hanging="0"/>
              <w:rPr/>
            </w:pPr>
            <w:r>
              <w:rPr>
                <w:sz w:val="19"/>
                <w:szCs w:val="19"/>
              </w:rPr>
              <w:t>−</w:t>
            </w:r>
            <w:r>
              <w:rPr>
                <w:sz w:val="19"/>
                <w:szCs w:val="19"/>
              </w:rPr>
              <w:t>1.000 €</w:t>
            </w:r>
          </w:p>
        </w:tc>
        <w:tc>
          <w:tcPr>
            <w:tcW w:w="1701" w:type="dxa"/>
            <w:tcBorders>
              <w:bottom w:val="single" w:sz="2" w:space="0" w:color="DDDDDD"/>
            </w:tcBorders>
          </w:tcPr>
          <w:p>
            <w:pPr>
              <w:pStyle w:val="Normal"/>
              <w:spacing w:lineRule="auto" w:line="252" w:before="0" w:after="0"/>
              <w:ind w:hanging="0"/>
              <w:rPr/>
            </w:pPr>
            <w:r>
              <w:rPr>
                <w:sz w:val="19"/>
                <w:szCs w:val="19"/>
              </w:rPr>
              <w:t>2 %</w:t>
            </w:r>
          </w:p>
        </w:tc>
        <w:tc>
          <w:tcPr>
            <w:tcW w:w="1725" w:type="dxa"/>
            <w:tcBorders>
              <w:bottom w:val="single" w:sz="2" w:space="0" w:color="DDDDDD"/>
            </w:tcBorders>
          </w:tcPr>
          <w:p>
            <w:pPr>
              <w:pStyle w:val="Normal"/>
              <w:spacing w:lineRule="auto" w:line="252" w:before="0" w:after="0"/>
              <w:ind w:hanging="0"/>
              <w:rPr/>
            </w:pPr>
            <w:r>
              <w:rPr>
                <w:sz w:val="19"/>
                <w:szCs w:val="19"/>
              </w:rPr>
              <w:t>4.4</w:t>
            </w:r>
          </w:p>
        </w:tc>
      </w:tr>
      <w:tr>
        <w:trPr>
          <w:cantSplit w:val="true"/>
        </w:trPr>
        <w:tc>
          <w:tcPr>
            <w:tcW w:w="3799" w:type="dxa"/>
            <w:tcBorders>
              <w:bottom w:val="single" w:sz="2" w:space="0" w:color="DDDDDD"/>
            </w:tcBorders>
          </w:tcPr>
          <w:p>
            <w:pPr>
              <w:pStyle w:val="Normal"/>
              <w:spacing w:lineRule="auto" w:line="252" w:before="0" w:after="0"/>
              <w:ind w:hanging="0"/>
              <w:rPr/>
            </w:pPr>
            <w:r>
              <w:rPr>
                <w:sz w:val="19"/>
                <w:szCs w:val="19"/>
              </w:rPr>
              <w:t>Suministros, consumibles, seguros, gestoría y mantenimiento</w:t>
            </w:r>
          </w:p>
        </w:tc>
        <w:tc>
          <w:tcPr>
            <w:tcW w:w="1800" w:type="dxa"/>
            <w:tcBorders>
              <w:bottom w:val="single" w:sz="2" w:space="0" w:color="DDDDDD"/>
            </w:tcBorders>
          </w:tcPr>
          <w:p>
            <w:pPr>
              <w:pStyle w:val="Normal"/>
              <w:spacing w:lineRule="auto" w:line="252" w:before="0" w:after="0"/>
              <w:ind w:hanging="0"/>
              <w:rPr/>
            </w:pPr>
            <w:r>
              <w:rPr>
                <w:sz w:val="19"/>
                <w:szCs w:val="19"/>
              </w:rPr>
              <w:t>−</w:t>
            </w:r>
            <w:r>
              <w:rPr>
                <w:sz w:val="19"/>
                <w:szCs w:val="19"/>
              </w:rPr>
              <w:t>3.600 €</w:t>
            </w:r>
          </w:p>
        </w:tc>
        <w:tc>
          <w:tcPr>
            <w:tcW w:w="1701" w:type="dxa"/>
            <w:tcBorders>
              <w:bottom w:val="single" w:sz="2" w:space="0" w:color="DDDDDD"/>
            </w:tcBorders>
          </w:tcPr>
          <w:p>
            <w:pPr>
              <w:pStyle w:val="Normal"/>
              <w:spacing w:lineRule="auto" w:line="252" w:before="0" w:after="0"/>
              <w:ind w:hanging="0"/>
              <w:rPr/>
            </w:pPr>
            <w:r>
              <w:rPr>
                <w:sz w:val="19"/>
                <w:szCs w:val="19"/>
              </w:rPr>
              <w:t>8 %</w:t>
            </w:r>
          </w:p>
        </w:tc>
        <w:tc>
          <w:tcPr>
            <w:tcW w:w="1725" w:type="dxa"/>
            <w:tcBorders>
              <w:bottom w:val="single" w:sz="2" w:space="0" w:color="DDDDDD"/>
            </w:tcBorders>
          </w:tcPr>
          <w:p>
            <w:pPr>
              <w:pStyle w:val="Normal"/>
              <w:spacing w:lineRule="auto" w:line="252" w:before="0" w:after="0"/>
              <w:ind w:hanging="0"/>
              <w:rPr/>
            </w:pPr>
            <w:r>
              <w:rPr>
                <w:sz w:val="19"/>
                <w:szCs w:val="19"/>
              </w:rPr>
              <w:t>4.3</w:t>
            </w:r>
          </w:p>
        </w:tc>
      </w:tr>
      <w:tr>
        <w:trPr>
          <w:cantSplit w:val="true"/>
        </w:trPr>
        <w:tc>
          <w:tcPr>
            <w:tcW w:w="3799" w:type="dxa"/>
            <w:tcBorders>
              <w:bottom w:val="single" w:sz="2" w:space="0" w:color="DDDDDD"/>
            </w:tcBorders>
          </w:tcPr>
          <w:p>
            <w:pPr>
              <w:pStyle w:val="Normal"/>
              <w:spacing w:lineRule="auto" w:line="252" w:before="0" w:after="0"/>
              <w:ind w:hanging="0"/>
              <w:rPr/>
            </w:pPr>
            <w:r>
              <w:rPr>
                <w:sz w:val="19"/>
                <w:szCs w:val="19"/>
              </w:rPr>
              <w:t>Comisiones de las plataformas de reparto</w:t>
            </w:r>
          </w:p>
        </w:tc>
        <w:tc>
          <w:tcPr>
            <w:tcW w:w="1800" w:type="dxa"/>
            <w:tcBorders>
              <w:bottom w:val="single" w:sz="2" w:space="0" w:color="DDDDDD"/>
            </w:tcBorders>
          </w:tcPr>
          <w:p>
            <w:pPr>
              <w:pStyle w:val="Normal"/>
              <w:spacing w:lineRule="auto" w:line="252" w:before="0" w:after="0"/>
              <w:ind w:hanging="0"/>
              <w:rPr/>
            </w:pPr>
            <w:r>
              <w:rPr>
                <w:sz w:val="19"/>
                <w:szCs w:val="19"/>
              </w:rPr>
              <w:t>−</w:t>
            </w:r>
            <w:r>
              <w:rPr>
                <w:sz w:val="19"/>
                <w:szCs w:val="19"/>
              </w:rPr>
              <w:t>2.100 €</w:t>
            </w:r>
          </w:p>
        </w:tc>
        <w:tc>
          <w:tcPr>
            <w:tcW w:w="1701" w:type="dxa"/>
            <w:tcBorders>
              <w:bottom w:val="single" w:sz="2" w:space="0" w:color="DDDDDD"/>
            </w:tcBorders>
          </w:tcPr>
          <w:p>
            <w:pPr>
              <w:pStyle w:val="Normal"/>
              <w:spacing w:lineRule="auto" w:line="252" w:before="0" w:after="0"/>
              <w:ind w:hanging="0"/>
              <w:rPr/>
            </w:pPr>
            <w:r>
              <w:rPr>
                <w:sz w:val="19"/>
                <w:szCs w:val="19"/>
              </w:rPr>
              <w:t>5 %</w:t>
            </w:r>
          </w:p>
        </w:tc>
        <w:tc>
          <w:tcPr>
            <w:tcW w:w="1725" w:type="dxa"/>
            <w:tcBorders>
              <w:bottom w:val="single" w:sz="2" w:space="0" w:color="DDDDDD"/>
            </w:tcBorders>
          </w:tcPr>
          <w:p>
            <w:pPr>
              <w:pStyle w:val="Normal"/>
              <w:spacing w:lineRule="auto" w:line="252" w:before="0" w:after="0"/>
              <w:ind w:hanging="0"/>
              <w:rPr/>
            </w:pPr>
            <w:r>
              <w:rPr>
                <w:sz w:val="19"/>
                <w:szCs w:val="19"/>
              </w:rPr>
              <w:t>5</w:t>
            </w:r>
          </w:p>
        </w:tc>
      </w:tr>
      <w:tr>
        <w:trPr>
          <w:cantSplit w:val="true"/>
        </w:trPr>
        <w:tc>
          <w:tcPr>
            <w:tcW w:w="3799" w:type="dxa"/>
            <w:tcBorders>
              <w:bottom w:val="single" w:sz="2" w:space="0" w:color="DDDDDD"/>
            </w:tcBorders>
          </w:tcPr>
          <w:p>
            <w:pPr>
              <w:pStyle w:val="Normal"/>
              <w:spacing w:lineRule="auto" w:line="252" w:before="0" w:after="0"/>
              <w:ind w:hanging="0"/>
              <w:rPr/>
            </w:pPr>
            <w:r>
              <w:rPr>
                <w:sz w:val="19"/>
                <w:szCs w:val="19"/>
              </w:rPr>
              <w:t>Publicidad</w:t>
            </w:r>
          </w:p>
        </w:tc>
        <w:tc>
          <w:tcPr>
            <w:tcW w:w="1800" w:type="dxa"/>
            <w:tcBorders>
              <w:bottom w:val="single" w:sz="2" w:space="0" w:color="DDDDDD"/>
            </w:tcBorders>
          </w:tcPr>
          <w:p>
            <w:pPr>
              <w:pStyle w:val="Normal"/>
              <w:spacing w:lineRule="auto" w:line="252" w:before="0" w:after="0"/>
              <w:ind w:hanging="0"/>
              <w:rPr/>
            </w:pPr>
            <w:r>
              <w:rPr>
                <w:sz w:val="19"/>
                <w:szCs w:val="19"/>
              </w:rPr>
              <w:t>−</w:t>
            </w:r>
            <w:r>
              <w:rPr>
                <w:sz w:val="19"/>
                <w:szCs w:val="19"/>
              </w:rPr>
              <w:t>450 €</w:t>
            </w:r>
          </w:p>
        </w:tc>
        <w:tc>
          <w:tcPr>
            <w:tcW w:w="1701" w:type="dxa"/>
            <w:tcBorders>
              <w:bottom w:val="single" w:sz="2" w:space="0" w:color="DDDDDD"/>
            </w:tcBorders>
          </w:tcPr>
          <w:p>
            <w:pPr>
              <w:pStyle w:val="Normal"/>
              <w:spacing w:lineRule="auto" w:line="252" w:before="0" w:after="0"/>
              <w:ind w:hanging="0"/>
              <w:rPr/>
            </w:pPr>
            <w:r>
              <w:rPr>
                <w:sz w:val="19"/>
                <w:szCs w:val="19"/>
              </w:rPr>
              <w:t>1 %</w:t>
            </w:r>
          </w:p>
        </w:tc>
        <w:tc>
          <w:tcPr>
            <w:tcW w:w="1725" w:type="dxa"/>
            <w:tcBorders>
              <w:bottom w:val="single" w:sz="2" w:space="0" w:color="DDDDDD"/>
            </w:tcBorders>
          </w:tcPr>
          <w:p>
            <w:pPr>
              <w:pStyle w:val="Normal"/>
              <w:spacing w:lineRule="auto" w:line="252" w:before="0" w:after="0"/>
              <w:ind w:hanging="0"/>
              <w:rPr/>
            </w:pPr>
            <w:r>
              <w:rPr>
                <w:sz w:val="19"/>
                <w:szCs w:val="19"/>
              </w:rPr>
              <w:t>6</w:t>
            </w:r>
          </w:p>
        </w:tc>
      </w:tr>
      <w:tr>
        <w:trPr>
          <w:cantSplit w:val="true"/>
        </w:trPr>
        <w:tc>
          <w:tcPr>
            <w:tcW w:w="3799" w:type="dxa"/>
            <w:tcBorders>
              <w:bottom w:val="single" w:sz="2" w:space="0" w:color="DDDDDD"/>
            </w:tcBorders>
          </w:tcPr>
          <w:p>
            <w:pPr>
              <w:pStyle w:val="Normal"/>
              <w:spacing w:lineRule="auto" w:line="252" w:before="0" w:after="0"/>
              <w:ind w:hanging="0"/>
              <w:rPr/>
            </w:pPr>
            <w:r>
              <w:rPr>
                <w:sz w:val="19"/>
                <w:szCs w:val="19"/>
              </w:rPr>
              <w:t>Amortización y financiación</w:t>
            </w:r>
          </w:p>
        </w:tc>
        <w:tc>
          <w:tcPr>
            <w:tcW w:w="1800" w:type="dxa"/>
            <w:tcBorders>
              <w:bottom w:val="single" w:sz="2" w:space="0" w:color="DDDDDD"/>
            </w:tcBorders>
          </w:tcPr>
          <w:p>
            <w:pPr>
              <w:pStyle w:val="Normal"/>
              <w:spacing w:lineRule="auto" w:line="252" w:before="0" w:after="0"/>
              <w:ind w:hanging="0"/>
              <w:rPr/>
            </w:pPr>
            <w:r>
              <w:rPr>
                <w:sz w:val="19"/>
                <w:szCs w:val="19"/>
              </w:rPr>
              <w:t>−</w:t>
            </w:r>
            <w:r>
              <w:rPr>
                <w:sz w:val="19"/>
                <w:szCs w:val="19"/>
              </w:rPr>
              <w:t>900 €</w:t>
            </w:r>
          </w:p>
        </w:tc>
        <w:tc>
          <w:tcPr>
            <w:tcW w:w="1701" w:type="dxa"/>
            <w:tcBorders>
              <w:bottom w:val="single" w:sz="2" w:space="0" w:color="DDDDDD"/>
            </w:tcBorders>
          </w:tcPr>
          <w:p>
            <w:pPr>
              <w:pStyle w:val="Normal"/>
              <w:spacing w:lineRule="auto" w:line="252" w:before="0" w:after="0"/>
              <w:ind w:hanging="0"/>
              <w:rPr/>
            </w:pPr>
            <w:r>
              <w:rPr>
                <w:sz w:val="19"/>
                <w:szCs w:val="19"/>
              </w:rPr>
              <w:t>2 %</w:t>
            </w:r>
          </w:p>
        </w:tc>
        <w:tc>
          <w:tcPr>
            <w:tcW w:w="1725" w:type="dxa"/>
            <w:tcBorders>
              <w:bottom w:val="single" w:sz="2" w:space="0" w:color="DDDDDD"/>
            </w:tcBorders>
          </w:tcPr>
          <w:p>
            <w:pPr>
              <w:pStyle w:val="Normal"/>
              <w:spacing w:lineRule="auto" w:line="252" w:before="0" w:after="0"/>
              <w:ind w:hanging="0"/>
              <w:rPr/>
            </w:pPr>
            <w:r>
              <w:rPr>
                <w:sz w:val="19"/>
                <w:szCs w:val="19"/>
              </w:rPr>
              <w:t>4.1</w:t>
            </w:r>
          </w:p>
        </w:tc>
      </w:tr>
      <w:tr>
        <w:trPr>
          <w:cantSplit w:val="true"/>
        </w:trPr>
        <w:tc>
          <w:tcPr>
            <w:tcW w:w="3799" w:type="dxa"/>
            <w:tcBorders>
              <w:bottom w:val="single" w:sz="2" w:space="0" w:color="DDDDDD"/>
            </w:tcBorders>
          </w:tcPr>
          <w:p>
            <w:pPr>
              <w:pStyle w:val="Normal"/>
              <w:spacing w:lineRule="auto" w:line="252" w:before="0" w:after="0"/>
              <w:ind w:hanging="0"/>
              <w:rPr/>
            </w:pPr>
            <w:r>
              <w:rPr>
                <w:sz w:val="19"/>
                <w:szCs w:val="19"/>
              </w:rPr>
              <w:t>Impuestos y tasas locales</w:t>
            </w:r>
          </w:p>
        </w:tc>
        <w:tc>
          <w:tcPr>
            <w:tcW w:w="1800" w:type="dxa"/>
            <w:tcBorders>
              <w:bottom w:val="single" w:sz="2" w:space="0" w:color="DDDDDD"/>
            </w:tcBorders>
          </w:tcPr>
          <w:p>
            <w:pPr>
              <w:pStyle w:val="Normal"/>
              <w:spacing w:lineRule="auto" w:line="252" w:before="0" w:after="0"/>
              <w:ind w:hanging="0"/>
              <w:rPr/>
            </w:pPr>
            <w:r>
              <w:rPr>
                <w:sz w:val="19"/>
                <w:szCs w:val="19"/>
              </w:rPr>
              <w:t>−</w:t>
            </w:r>
            <w:r>
              <w:rPr>
                <w:sz w:val="19"/>
                <w:szCs w:val="19"/>
              </w:rPr>
              <w:t>400 €</w:t>
            </w:r>
          </w:p>
        </w:tc>
        <w:tc>
          <w:tcPr>
            <w:tcW w:w="1701" w:type="dxa"/>
            <w:tcBorders>
              <w:bottom w:val="single" w:sz="2" w:space="0" w:color="DDDDDD"/>
            </w:tcBorders>
          </w:tcPr>
          <w:p>
            <w:pPr>
              <w:pStyle w:val="Normal"/>
              <w:spacing w:lineRule="auto" w:line="252" w:before="0" w:after="0"/>
              <w:ind w:hanging="0"/>
              <w:rPr/>
            </w:pPr>
            <w:r>
              <w:rPr>
                <w:sz w:val="19"/>
                <w:szCs w:val="19"/>
              </w:rPr>
              <w:t>1 %</w:t>
            </w:r>
          </w:p>
        </w:tc>
        <w:tc>
          <w:tcPr>
            <w:tcW w:w="1725" w:type="dxa"/>
            <w:tcBorders>
              <w:bottom w:val="single" w:sz="2" w:space="0" w:color="DDDDDD"/>
            </w:tcBorders>
          </w:tcPr>
          <w:p>
            <w:pPr>
              <w:pStyle w:val="Normal"/>
              <w:spacing w:lineRule="auto" w:line="252" w:before="0" w:after="0"/>
              <w:ind w:hanging="0"/>
              <w:rPr/>
            </w:pPr>
            <w:r>
              <w:rPr>
                <w:sz w:val="19"/>
                <w:szCs w:val="19"/>
              </w:rPr>
              <w:t>4.4</w:t>
            </w:r>
          </w:p>
        </w:tc>
      </w:tr>
      <w:tr>
        <w:trPr>
          <w:cantSplit w:val="true"/>
        </w:trPr>
        <w:tc>
          <w:tcPr>
            <w:tcW w:w="3799" w:type="dxa"/>
            <w:tcBorders>
              <w:bottom w:val="single" w:sz="6" w:space="0" w:color="808080"/>
            </w:tcBorders>
          </w:tcPr>
          <w:p>
            <w:pPr>
              <w:pStyle w:val="Normal"/>
              <w:spacing w:lineRule="auto" w:line="252" w:before="0" w:after="0"/>
              <w:ind w:hanging="0"/>
              <w:rPr/>
            </w:pPr>
            <w:r>
              <w:rPr>
                <w:sz w:val="19"/>
                <w:szCs w:val="19"/>
              </w:rPr>
              <w:t>Resultado antes de impuestos</w:t>
            </w:r>
          </w:p>
        </w:tc>
        <w:tc>
          <w:tcPr>
            <w:tcW w:w="1800" w:type="dxa"/>
            <w:tcBorders>
              <w:bottom w:val="single" w:sz="6" w:space="0" w:color="808080"/>
            </w:tcBorders>
          </w:tcPr>
          <w:p>
            <w:pPr>
              <w:pStyle w:val="Normal"/>
              <w:spacing w:lineRule="auto" w:line="252" w:before="0" w:after="0"/>
              <w:ind w:hanging="0"/>
              <w:rPr/>
            </w:pPr>
            <w:r>
              <w:rPr>
                <w:sz w:val="19"/>
                <w:szCs w:val="19"/>
              </w:rPr>
              <w:t>7.350 €</w:t>
            </w:r>
          </w:p>
        </w:tc>
        <w:tc>
          <w:tcPr>
            <w:tcW w:w="1701" w:type="dxa"/>
            <w:tcBorders>
              <w:bottom w:val="single" w:sz="6" w:space="0" w:color="808080"/>
            </w:tcBorders>
          </w:tcPr>
          <w:p>
            <w:pPr>
              <w:pStyle w:val="Normal"/>
              <w:spacing w:lineRule="auto" w:line="252" w:before="0" w:after="0"/>
              <w:ind w:hanging="0"/>
              <w:rPr/>
            </w:pPr>
            <w:r>
              <w:rPr>
                <w:sz w:val="19"/>
                <w:szCs w:val="19"/>
              </w:rPr>
              <w:t>16 %</w:t>
            </w:r>
          </w:p>
        </w:tc>
        <w:tc>
          <w:tcPr>
            <w:tcW w:w="1725" w:type="dxa"/>
            <w:tcBorders>
              <w:bottom w:val="single" w:sz="6" w:space="0" w:color="808080"/>
            </w:tcBorders>
          </w:tcPr>
          <w:p>
            <w:pPr>
              <w:pStyle w:val="Normal"/>
              <w:spacing w:lineRule="auto" w:line="252" w:before="0" w:after="0"/>
              <w:ind w:hanging="0"/>
              <w:rPr/>
            </w:pPr>
            <w:r>
              <w:rPr/>
            </w:r>
          </w:p>
        </w:tc>
      </w:tr>
    </w:tbl>
    <w:p>
      <w:pPr>
        <w:pStyle w:val="Normal"/>
        <w:spacing w:lineRule="auto" w:line="276" w:before="80" w:after="240"/>
        <w:ind w:hanging="0"/>
        <w:rPr/>
      </w:pPr>
      <w:r>
        <w:rPr>
          <w:i/>
          <w:iCs/>
          <w:sz w:val="20"/>
          <w:szCs w:val="20"/>
        </w:rPr>
        <w:t>Nota.</w:t>
      </w:r>
      <w:r>
        <w:rPr>
          <w:sz w:val="20"/>
          <w:szCs w:val="20"/>
        </w:rPr>
        <w:t xml:space="preserve"> Elaboración propia. Cada partida se justifica en el apartado indicado.</w:t>
      </w:r>
    </w:p>
    <w:p>
      <w:pPr>
        <w:pStyle w:val="Normal"/>
        <w:keepNext w:val="true"/>
        <w:spacing w:lineRule="auto" w:line="480" w:before="240" w:after="0"/>
        <w:ind w:hanging="0"/>
        <w:rPr/>
      </w:pPr>
      <w:r>
        <w:rPr>
          <w:b/>
          <w:bCs/>
        </w:rPr>
        <w:t>Figura 3</w:t>
      </w:r>
    </w:p>
    <w:p>
      <w:pPr>
        <w:pStyle w:val="Normal"/>
        <w:keepNext w:val="true"/>
        <w:spacing w:lineRule="auto" w:line="480" w:before="0" w:after="120"/>
        <w:ind w:hanging="0"/>
        <w:rPr/>
      </w:pPr>
      <w:r>
        <w:rPr>
          <w:i/>
          <w:iCs/>
        </w:rPr>
        <w:t>Estructura de costes mensual estimada de Burglar King</w:t>
      </w:r>
    </w:p>
    <w:p>
      <w:pPr>
        <w:pStyle w:val="Normal"/>
        <w:keepNext w:val="true"/>
        <w:spacing w:lineRule="auto" w:line="240"/>
        <w:ind w:hanging="0"/>
        <w:jc w:val="center"/>
        <w:rPr/>
      </w:pPr>
      <w:r>
        <w:rPr/>
        <w:drawing>
          <wp:inline distT="0" distB="0" distL="0" distR="0">
            <wp:extent cx="4286250" cy="1876425"/>
            <wp:effectExtent l="0" t="0" r="0" b="0"/>
            <wp:docPr id="3" name="costes.png" descr="Estructura de costes mensual estimada de Burglar King&#10;Estructura de costes mensual estimada de Burglar 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stes.png" descr="Estructura de costes mensual estimada de Burglar King&#10;Estructura de costes mensual estimada de Burglar King"/>
                    <pic:cNvPicPr>
                      <a:picLocks noChangeAspect="1" noChangeArrowheads="1"/>
                    </pic:cNvPicPr>
                  </pic:nvPicPr>
                  <pic:blipFill>
                    <a:blip r:embed="rId4"/>
                    <a:stretch>
                      <a:fillRect/>
                    </a:stretch>
                  </pic:blipFill>
                  <pic:spPr bwMode="auto">
                    <a:xfrm>
                      <a:off x="0" y="0"/>
                      <a:ext cx="4286250" cy="1876425"/>
                    </a:xfrm>
                    <a:prstGeom prst="rect">
                      <a:avLst/>
                    </a:prstGeom>
                    <a:noFill/>
                  </pic:spPr>
                </pic:pic>
              </a:graphicData>
            </a:graphic>
          </wp:inline>
        </w:drawing>
      </w:r>
    </w:p>
    <w:p>
      <w:pPr>
        <w:pStyle w:val="Normal"/>
        <w:spacing w:lineRule="auto" w:line="276" w:before="80" w:after="240"/>
        <w:ind w:hanging="0"/>
        <w:rPr/>
      </w:pPr>
      <w:r>
        <w:rPr>
          <w:i/>
          <w:iCs/>
          <w:sz w:val="20"/>
          <w:szCs w:val="20"/>
        </w:rPr>
        <w:t>Nota.</w:t>
      </w:r>
      <w:r>
        <w:rPr>
          <w:sz w:val="20"/>
          <w:szCs w:val="20"/>
        </w:rPr>
        <w:t xml:space="preserve"> Elaboración propia a partir de la tabla 10.</w:t>
      </w:r>
    </w:p>
    <w:p>
      <w:pPr>
        <w:pStyle w:val="Heading2"/>
        <w:rPr/>
      </w:pPr>
      <w:bookmarkStart w:id="13" w:name="__RefHeading___Toc1984_3382994897"/>
      <w:bookmarkEnd w:id="13"/>
      <w:r>
        <w:rPr/>
        <w:t>4.1. Financiación</w:t>
      </w:r>
    </w:p>
    <w:p>
      <w:pPr>
        <w:pStyle w:val="Normal"/>
        <w:rPr/>
      </w:pPr>
      <w:r>
        <w:rPr/>
        <w:t>Burglar King se constituyó en 2022 con 60.000 euros: 35.000 de capital aportado por el socio gerente y un familiar, y un préstamo bancario de 25.000 euros a cinco años que financió la obra, la salida de humos y la cocina. Hoy quedan unos 7.000 euros pendientes, con una cuota de unos 450 euros mensuales, y la empresa no tiene otra deuda. Lo que necesita financiar ahora es el proyecto tecnológico: red segmentada, servidor, puestos de sala y cocina, pantallas y SAI. Su presupuesto detallado queda fuera de este informe, pero una estimación de entre 5.000 y 8.000 euros permite valorar ya las fuentes disponibles (tabla 11).</w:t>
      </w:r>
    </w:p>
    <w:p>
      <w:pPr>
        <w:pStyle w:val="Normal"/>
        <w:keepNext w:val="true"/>
        <w:spacing w:lineRule="auto" w:line="480" w:before="240" w:after="0"/>
        <w:ind w:hanging="0"/>
        <w:rPr/>
      </w:pPr>
      <w:r>
        <w:rPr>
          <w:b/>
          <w:bCs/>
        </w:rPr>
        <w:t>Tabla 11</w:t>
      </w:r>
    </w:p>
    <w:p>
      <w:pPr>
        <w:pStyle w:val="Normal"/>
        <w:keepNext w:val="true"/>
        <w:spacing w:lineRule="auto" w:line="480" w:before="0" w:after="120"/>
        <w:ind w:hanging="0"/>
        <w:rPr/>
      </w:pPr>
      <w:r>
        <w:rPr>
          <w:i/>
          <w:iCs/>
        </w:rPr>
        <w:t>Fuentes de financiación disponibles para el proyecto tecnológico</w:t>
      </w:r>
    </w:p>
    <w:tbl>
      <w:tblPr>
        <w:tblW w:w="9026" w:type="dxa"/>
        <w:jc w:val="left"/>
        <w:tblInd w:w="0" w:type="dxa"/>
        <w:tblLayout w:type="fixed"/>
        <w:tblCellMar>
          <w:top w:w="60" w:type="dxa"/>
          <w:left w:w="100" w:type="dxa"/>
          <w:bottom w:w="60" w:type="dxa"/>
          <w:right w:w="100" w:type="dxa"/>
        </w:tblCellMar>
      </w:tblPr>
      <w:tblGrid>
        <w:gridCol w:w="2199"/>
        <w:gridCol w:w="4300"/>
        <w:gridCol w:w="2527"/>
      </w:tblGrid>
      <w:tr>
        <w:trPr>
          <w:tblHeader w:val="true"/>
          <w:cantSplit w:val="true"/>
        </w:trPr>
        <w:tc>
          <w:tcPr>
            <w:tcW w:w="21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Fuente</w:t>
            </w:r>
          </w:p>
        </w:tc>
        <w:tc>
          <w:tcPr>
            <w:tcW w:w="430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Condiciones</w:t>
            </w:r>
          </w:p>
        </w:tc>
        <w:tc>
          <w:tcPr>
            <w:tcW w:w="2527"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Valoración para Burglar King</w:t>
            </w:r>
          </w:p>
        </w:tc>
      </w:tr>
      <w:tr>
        <w:trPr>
          <w:cantSplit w:val="true"/>
        </w:trPr>
        <w:tc>
          <w:tcPr>
            <w:tcW w:w="2199" w:type="dxa"/>
            <w:tcBorders>
              <w:bottom w:val="single" w:sz="2" w:space="0" w:color="DDDDDD"/>
            </w:tcBorders>
          </w:tcPr>
          <w:p>
            <w:pPr>
              <w:pStyle w:val="Normal"/>
              <w:spacing w:lineRule="auto" w:line="252" w:before="0" w:after="0"/>
              <w:ind w:hanging="0"/>
              <w:rPr/>
            </w:pPr>
            <w:r>
              <w:rPr>
                <w:sz w:val="19"/>
                <w:szCs w:val="19"/>
              </w:rPr>
              <w:t>Tesorería propia</w:t>
            </w:r>
          </w:p>
        </w:tc>
        <w:tc>
          <w:tcPr>
            <w:tcW w:w="4300" w:type="dxa"/>
            <w:tcBorders>
              <w:bottom w:val="single" w:sz="2" w:space="0" w:color="DDDDDD"/>
            </w:tcBorders>
          </w:tcPr>
          <w:p>
            <w:pPr>
              <w:pStyle w:val="Normal"/>
              <w:spacing w:lineRule="auto" w:line="252" w:before="0" w:after="0"/>
              <w:ind w:hanging="0"/>
              <w:rPr/>
            </w:pPr>
            <w:r>
              <w:rPr>
                <w:sz w:val="19"/>
                <w:szCs w:val="19"/>
              </w:rPr>
              <w:t>Sin coste financiero; el resultado mensual estimado permite ahorrar 3.000-5.000 € al mes</w:t>
            </w:r>
          </w:p>
        </w:tc>
        <w:tc>
          <w:tcPr>
            <w:tcW w:w="2527" w:type="dxa"/>
            <w:tcBorders>
              <w:bottom w:val="single" w:sz="2" w:space="0" w:color="DDDDDD"/>
            </w:tcBorders>
          </w:tcPr>
          <w:p>
            <w:pPr>
              <w:pStyle w:val="Normal"/>
              <w:spacing w:lineRule="auto" w:line="252" w:before="0" w:after="0"/>
              <w:ind w:hanging="0"/>
              <w:rPr/>
            </w:pPr>
            <w:r>
              <w:rPr>
                <w:sz w:val="19"/>
                <w:szCs w:val="19"/>
              </w:rPr>
              <w:t>Primera opción para la parte del proyecto que se pueda ejecutar por fases</w:t>
            </w:r>
          </w:p>
        </w:tc>
      </w:tr>
      <w:tr>
        <w:trPr>
          <w:cantSplit w:val="true"/>
        </w:trPr>
        <w:tc>
          <w:tcPr>
            <w:tcW w:w="2199" w:type="dxa"/>
            <w:tcBorders>
              <w:bottom w:val="single" w:sz="2" w:space="0" w:color="DDDDDD"/>
            </w:tcBorders>
          </w:tcPr>
          <w:p>
            <w:pPr>
              <w:pStyle w:val="Normal"/>
              <w:spacing w:lineRule="auto" w:line="252" w:before="0" w:after="0"/>
              <w:ind w:hanging="0"/>
              <w:rPr/>
            </w:pPr>
            <w:r>
              <w:rPr>
                <w:sz w:val="19"/>
                <w:szCs w:val="19"/>
              </w:rPr>
              <w:t>Microcrédito de MicroBank</w:t>
            </w:r>
          </w:p>
        </w:tc>
        <w:tc>
          <w:tcPr>
            <w:tcW w:w="4300" w:type="dxa"/>
            <w:tcBorders>
              <w:bottom w:val="single" w:sz="2" w:space="0" w:color="DDDDDD"/>
            </w:tcBorders>
          </w:tcPr>
          <w:p>
            <w:pPr>
              <w:pStyle w:val="Normal"/>
              <w:spacing w:lineRule="auto" w:line="252" w:before="0" w:after="0"/>
              <w:ind w:hanging="0"/>
              <w:rPr/>
            </w:pPr>
            <w:r>
              <w:rPr>
                <w:sz w:val="19"/>
                <w:szCs w:val="19"/>
              </w:rPr>
              <w:t>Hasta 25.000 € (50.000 € en iniciativas innovadoras) para autónomos y microempresas con menos de diez trabajadores y menos de dos millones de facturación; sin garantías reales, con plan de empresa e informe de viabilidad de la Cámara de Comercio (Cámara de España, 2022)</w:t>
            </w:r>
          </w:p>
        </w:tc>
        <w:tc>
          <w:tcPr>
            <w:tcW w:w="2527" w:type="dxa"/>
            <w:tcBorders>
              <w:bottom w:val="single" w:sz="2" w:space="0" w:color="DDDDDD"/>
            </w:tcBorders>
          </w:tcPr>
          <w:p>
            <w:pPr>
              <w:pStyle w:val="Normal"/>
              <w:spacing w:lineRule="auto" w:line="252" w:before="0" w:after="0"/>
              <w:ind w:hanging="0"/>
              <w:rPr/>
            </w:pPr>
            <w:r>
              <w:rPr>
                <w:sz w:val="19"/>
                <w:szCs w:val="19"/>
              </w:rPr>
              <w:t>Encaja por tamaño y por importe; el plan de empresa es, en buena parte, este informe</w:t>
            </w:r>
          </w:p>
        </w:tc>
      </w:tr>
      <w:tr>
        <w:trPr>
          <w:cantSplit w:val="true"/>
        </w:trPr>
        <w:tc>
          <w:tcPr>
            <w:tcW w:w="2199" w:type="dxa"/>
            <w:tcBorders>
              <w:bottom w:val="single" w:sz="2" w:space="0" w:color="DDDDDD"/>
            </w:tcBorders>
          </w:tcPr>
          <w:p>
            <w:pPr>
              <w:pStyle w:val="Normal"/>
              <w:spacing w:lineRule="auto" w:line="252" w:before="0" w:after="0"/>
              <w:ind w:hanging="0"/>
              <w:rPr/>
            </w:pPr>
            <w:r>
              <w:rPr>
                <w:sz w:val="19"/>
                <w:szCs w:val="19"/>
              </w:rPr>
              <w:t>Línea ICO Empresas y Emprendedores</w:t>
            </w:r>
          </w:p>
        </w:tc>
        <w:tc>
          <w:tcPr>
            <w:tcW w:w="4300" w:type="dxa"/>
            <w:tcBorders>
              <w:bottom w:val="single" w:sz="2" w:space="0" w:color="DDDDDD"/>
            </w:tcBorders>
          </w:tcPr>
          <w:p>
            <w:pPr>
              <w:pStyle w:val="Normal"/>
              <w:spacing w:lineRule="auto" w:line="252" w:before="0" w:after="0"/>
              <w:ind w:hanging="0"/>
              <w:rPr/>
            </w:pPr>
            <w:r>
              <w:rPr>
                <w:sz w:val="19"/>
                <w:szCs w:val="19"/>
              </w:rPr>
              <w:t>Préstamo a través de la entidad bancaria para inversión y liquidez, con plazos de 1 a 20 años y hasta 3 años de carencia; el presupuesto de 2026 se ha reducido y se han creado las líneas ICO Crecimiento (Instituto de Crédito Oficial, s.f.)</w:t>
            </w:r>
          </w:p>
        </w:tc>
        <w:tc>
          <w:tcPr>
            <w:tcW w:w="2527" w:type="dxa"/>
            <w:tcBorders>
              <w:bottom w:val="single" w:sz="2" w:space="0" w:color="DDDDDD"/>
            </w:tcBorders>
          </w:tcPr>
          <w:p>
            <w:pPr>
              <w:pStyle w:val="Normal"/>
              <w:spacing w:lineRule="auto" w:line="252" w:before="0" w:after="0"/>
              <w:ind w:hanging="0"/>
              <w:rPr/>
            </w:pPr>
            <w:r>
              <w:rPr>
                <w:sz w:val="19"/>
                <w:szCs w:val="19"/>
              </w:rPr>
              <w:t>Opción si el banco actual la ofrece; para 8.000 € el microcrédito es más sencillo</w:t>
            </w:r>
          </w:p>
        </w:tc>
      </w:tr>
      <w:tr>
        <w:trPr>
          <w:cantSplit w:val="true"/>
        </w:trPr>
        <w:tc>
          <w:tcPr>
            <w:tcW w:w="2199" w:type="dxa"/>
            <w:tcBorders>
              <w:bottom w:val="single" w:sz="2" w:space="0" w:color="DDDDDD"/>
            </w:tcBorders>
          </w:tcPr>
          <w:p>
            <w:pPr>
              <w:pStyle w:val="Normal"/>
              <w:spacing w:lineRule="auto" w:line="252" w:before="0" w:after="0"/>
              <w:ind w:hanging="0"/>
              <w:rPr/>
            </w:pPr>
            <w:r>
              <w:rPr>
                <w:sz w:val="19"/>
                <w:szCs w:val="19"/>
              </w:rPr>
              <w:t>Kit Digital (Red.es)</w:t>
            </w:r>
          </w:p>
        </w:tc>
        <w:tc>
          <w:tcPr>
            <w:tcW w:w="4300" w:type="dxa"/>
            <w:tcBorders>
              <w:bottom w:val="single" w:sz="2" w:space="0" w:color="DDDDDD"/>
            </w:tcBorders>
          </w:tcPr>
          <w:p>
            <w:pPr>
              <w:pStyle w:val="Normal"/>
              <w:spacing w:lineRule="auto" w:line="252" w:before="0" w:after="0"/>
              <w:ind w:hanging="0"/>
              <w:rPr/>
            </w:pPr>
            <w:r>
              <w:rPr>
                <w:sz w:val="19"/>
                <w:szCs w:val="19"/>
              </w:rPr>
              <w:t>Bonos para digitalizar pymes con fondos Next Generation; el plazo de solicitud cerró en 2025 y solo se ejecutan los bonos ya concedidos (idealista/news, 2026)</w:t>
            </w:r>
          </w:p>
        </w:tc>
        <w:tc>
          <w:tcPr>
            <w:tcW w:w="2527" w:type="dxa"/>
            <w:tcBorders>
              <w:bottom w:val="single" w:sz="2" w:space="0" w:color="DDDDDD"/>
            </w:tcBorders>
          </w:tcPr>
          <w:p>
            <w:pPr>
              <w:pStyle w:val="Normal"/>
              <w:spacing w:lineRule="auto" w:line="252" w:before="0" w:after="0"/>
              <w:ind w:hanging="0"/>
              <w:rPr/>
            </w:pPr>
            <w:r>
              <w:rPr>
                <w:sz w:val="19"/>
                <w:szCs w:val="19"/>
              </w:rPr>
              <w:t>Ya no disponible; se cita porque muchos competidores digitalizaron con él</w:t>
            </w:r>
          </w:p>
        </w:tc>
      </w:tr>
      <w:tr>
        <w:trPr>
          <w:cantSplit w:val="true"/>
        </w:trPr>
        <w:tc>
          <w:tcPr>
            <w:tcW w:w="2199" w:type="dxa"/>
            <w:tcBorders>
              <w:bottom w:val="single" w:sz="2" w:space="0" w:color="DDDDDD"/>
            </w:tcBorders>
          </w:tcPr>
          <w:p>
            <w:pPr>
              <w:pStyle w:val="Normal"/>
              <w:spacing w:lineRule="auto" w:line="252" w:before="0" w:after="0"/>
              <w:ind w:hanging="0"/>
              <w:rPr/>
            </w:pPr>
            <w:r>
              <w:rPr>
                <w:sz w:val="19"/>
                <w:szCs w:val="19"/>
              </w:rPr>
              <w:t>Digitaliza-CV (IVACE+i, Generalitat Valenciana)</w:t>
            </w:r>
          </w:p>
        </w:tc>
        <w:tc>
          <w:tcPr>
            <w:tcW w:w="4300" w:type="dxa"/>
            <w:tcBorders>
              <w:bottom w:val="single" w:sz="2" w:space="0" w:color="DDDDDD"/>
            </w:tcBorders>
          </w:tcPr>
          <w:p>
            <w:pPr>
              <w:pStyle w:val="Normal"/>
              <w:spacing w:lineRule="auto" w:line="252" w:before="0" w:after="0"/>
              <w:ind w:hanging="0"/>
              <w:rPr/>
            </w:pPr>
            <w:r>
              <w:rPr>
                <w:sz w:val="19"/>
                <w:szCs w:val="19"/>
              </w:rPr>
              <w:t>Subvención a fondo perdido para la transformación digital de pymes valencianas, en torno al 30 %-40 % de la inversión, por convocatoria anual (idealista/news, 2026)</w:t>
            </w:r>
          </w:p>
        </w:tc>
        <w:tc>
          <w:tcPr>
            <w:tcW w:w="2527" w:type="dxa"/>
            <w:tcBorders>
              <w:bottom w:val="single" w:sz="2" w:space="0" w:color="DDDDDD"/>
            </w:tcBorders>
          </w:tcPr>
          <w:p>
            <w:pPr>
              <w:pStyle w:val="Normal"/>
              <w:spacing w:lineRule="auto" w:line="252" w:before="0" w:after="0"/>
              <w:ind w:hanging="0"/>
              <w:rPr/>
            </w:pPr>
            <w:r>
              <w:rPr>
                <w:sz w:val="19"/>
                <w:szCs w:val="19"/>
              </w:rPr>
              <w:t>Se solicitará si hay convocatoria abierta al ejecutar el proyecto; el presupuesto no contará con ella</w:t>
            </w:r>
          </w:p>
        </w:tc>
      </w:tr>
      <w:tr>
        <w:trPr>
          <w:cantSplit w:val="true"/>
        </w:trPr>
        <w:tc>
          <w:tcPr>
            <w:tcW w:w="2199" w:type="dxa"/>
            <w:tcBorders>
              <w:bottom w:val="single" w:sz="6" w:space="0" w:color="808080"/>
            </w:tcBorders>
          </w:tcPr>
          <w:p>
            <w:pPr>
              <w:pStyle w:val="Normal"/>
              <w:spacing w:lineRule="auto" w:line="252" w:before="0" w:after="0"/>
              <w:ind w:hanging="0"/>
              <w:rPr/>
            </w:pPr>
            <w:r>
              <w:rPr>
                <w:sz w:val="19"/>
                <w:szCs w:val="19"/>
              </w:rPr>
              <w:t>Renting o leasing del equipamiento</w:t>
            </w:r>
          </w:p>
        </w:tc>
        <w:tc>
          <w:tcPr>
            <w:tcW w:w="4300" w:type="dxa"/>
            <w:tcBorders>
              <w:bottom w:val="single" w:sz="6" w:space="0" w:color="808080"/>
            </w:tcBorders>
          </w:tcPr>
          <w:p>
            <w:pPr>
              <w:pStyle w:val="Normal"/>
              <w:spacing w:lineRule="auto" w:line="252" w:before="0" w:after="0"/>
              <w:ind w:hanging="0"/>
              <w:rPr/>
            </w:pPr>
            <w:r>
              <w:rPr>
                <w:sz w:val="19"/>
                <w:szCs w:val="19"/>
              </w:rPr>
              <w:t>Cuota mensual por el hardware durante 3-5 años, con mantenimiento incluido en algunos casos</w:t>
            </w:r>
          </w:p>
        </w:tc>
        <w:tc>
          <w:tcPr>
            <w:tcW w:w="2527" w:type="dxa"/>
            <w:tcBorders>
              <w:bottom w:val="single" w:sz="6" w:space="0" w:color="808080"/>
            </w:tcBorders>
          </w:tcPr>
          <w:p>
            <w:pPr>
              <w:pStyle w:val="Normal"/>
              <w:spacing w:lineRule="auto" w:line="252" w:before="0" w:after="0"/>
              <w:ind w:hanging="0"/>
              <w:rPr/>
            </w:pPr>
            <w:r>
              <w:rPr>
                <w:sz w:val="19"/>
                <w:szCs w:val="19"/>
              </w:rPr>
              <w:t>Descartado: el proyecto busca precisamente no tener cuotas recurrentes</w:t>
            </w:r>
          </w:p>
        </w:tc>
      </w:tr>
    </w:tbl>
    <w:p>
      <w:pPr>
        <w:pStyle w:val="Normal"/>
        <w:spacing w:lineRule="auto" w:line="276" w:before="80" w:after="240"/>
        <w:ind w:hanging="0"/>
        <w:rPr/>
      </w:pPr>
      <w:r>
        <w:rPr>
          <w:i/>
          <w:iCs/>
          <w:sz w:val="20"/>
          <w:szCs w:val="20"/>
        </w:rPr>
        <w:t>Nota.</w:t>
      </w:r>
      <w:r>
        <w:rPr>
          <w:sz w:val="20"/>
          <w:szCs w:val="20"/>
        </w:rPr>
        <w:t xml:space="preserve"> Elaboración propia con las fuentes citadas. Las condiciones de ICO y MicroBank deben confirmarse en el momento de la solicitud.</w:t>
      </w:r>
    </w:p>
    <w:p>
      <w:pPr>
        <w:pStyle w:val="Normal"/>
        <w:rPr/>
      </w:pPr>
      <w:r>
        <w:rPr/>
        <w:t>La decisión es financiar el proyecto con tesorería propia en dos fases y, si la segunda fase lo requiere, con un microcrédito de MicroBank de hasta 8.000 euros a tres años, cuya cuota rondaría los 250 euros mensuales. Esa cuota es inferior a lo que hoy cobran las plataformas en la nube por dos terminales y dos pantallas de cocina, de modo que el proyecto se paga solo con lo que evita gastar (Riches Manuel y Roca, 2026). Las ayudas públicas se buscarán, pero el presupuesto del proyecto se calculará sin ellas.</w:t>
      </w:r>
    </w:p>
    <w:p>
      <w:pPr>
        <w:pStyle w:val="Heading2"/>
        <w:rPr/>
      </w:pPr>
      <w:bookmarkStart w:id="14" w:name="__RefHeading___Toc1986_3382994897"/>
      <w:bookmarkEnd w:id="14"/>
      <w:r>
        <w:rPr/>
        <w:t>4.2. Salarios</w:t>
      </w:r>
    </w:p>
    <w:p>
      <w:pPr>
        <w:pStyle w:val="Normal"/>
        <w:rPr/>
      </w:pPr>
      <w:r>
        <w:rPr/>
        <w:t>Los salarios de la plantilla vienen fijados por el Convenio colectivo de hostelería de la provincia de Valencia, vigente de 2022 a 2025 y aplicable en 2026 en ultraactividad mientras se negocia el siguiente (Turnozo, 2026). Sus tablas para restaurantes, cafeterías y bares (tabla I) fijan el salario base mensual por niveles, con 15 pagas al año (tabla 12). El camarero se encuadra en el nivel III y el cocinero en el nivel II (Comisiones Obreras, 2025).</w:t>
      </w:r>
    </w:p>
    <w:p>
      <w:pPr>
        <w:pStyle w:val="Normal"/>
        <w:keepNext w:val="true"/>
        <w:spacing w:lineRule="auto" w:line="480" w:before="240" w:after="0"/>
        <w:ind w:hanging="0"/>
        <w:rPr/>
      </w:pPr>
      <w:r>
        <w:rPr>
          <w:b/>
          <w:bCs/>
        </w:rPr>
        <w:t>Tabla 12</w:t>
      </w:r>
    </w:p>
    <w:p>
      <w:pPr>
        <w:pStyle w:val="Normal"/>
        <w:keepNext w:val="true"/>
        <w:spacing w:lineRule="auto" w:line="480" w:before="0" w:after="120"/>
        <w:ind w:hanging="0"/>
        <w:rPr/>
      </w:pPr>
      <w:r>
        <w:rPr>
          <w:i/>
          <w:iCs/>
        </w:rPr>
        <w:t>Tablas salariales del convenio provincial de hostelería de Valencia (restaurantes y bares, 2025)</w:t>
      </w:r>
    </w:p>
    <w:tbl>
      <w:tblPr>
        <w:tblW w:w="9026" w:type="dxa"/>
        <w:jc w:val="left"/>
        <w:tblInd w:w="0" w:type="dxa"/>
        <w:tblLayout w:type="fixed"/>
        <w:tblCellMar>
          <w:top w:w="60" w:type="dxa"/>
          <w:left w:w="100" w:type="dxa"/>
          <w:bottom w:w="60" w:type="dxa"/>
          <w:right w:w="100" w:type="dxa"/>
        </w:tblCellMar>
      </w:tblPr>
      <w:tblGrid>
        <w:gridCol w:w="799"/>
        <w:gridCol w:w="3601"/>
        <w:gridCol w:w="2199"/>
        <w:gridCol w:w="2426"/>
      </w:tblGrid>
      <w:tr>
        <w:trPr>
          <w:tblHeader w:val="true"/>
          <w:cantSplit w:val="true"/>
        </w:trPr>
        <w:tc>
          <w:tcPr>
            <w:tcW w:w="7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Nivel</w:t>
            </w:r>
          </w:p>
        </w:tc>
        <w:tc>
          <w:tcPr>
            <w:tcW w:w="3601"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Categorías habituales</w:t>
            </w:r>
          </w:p>
        </w:tc>
        <w:tc>
          <w:tcPr>
            <w:tcW w:w="21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Salario base mensual</w:t>
            </w:r>
          </w:p>
        </w:tc>
        <w:tc>
          <w:tcPr>
            <w:tcW w:w="2426"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Salario base anual (15 pagas)</w:t>
            </w:r>
          </w:p>
        </w:tc>
      </w:tr>
      <w:tr>
        <w:trPr>
          <w:cantSplit w:val="true"/>
        </w:trPr>
        <w:tc>
          <w:tcPr>
            <w:tcW w:w="799" w:type="dxa"/>
            <w:tcBorders>
              <w:bottom w:val="single" w:sz="2" w:space="0" w:color="DDDDDD"/>
            </w:tcBorders>
          </w:tcPr>
          <w:p>
            <w:pPr>
              <w:pStyle w:val="Normal"/>
              <w:spacing w:lineRule="auto" w:line="252" w:before="0" w:after="0"/>
              <w:ind w:hanging="0"/>
              <w:rPr/>
            </w:pPr>
            <w:r>
              <w:rPr>
                <w:sz w:val="19"/>
                <w:szCs w:val="19"/>
              </w:rPr>
              <w:t>I</w:t>
            </w:r>
          </w:p>
        </w:tc>
        <w:tc>
          <w:tcPr>
            <w:tcW w:w="3601" w:type="dxa"/>
            <w:tcBorders>
              <w:bottom w:val="single" w:sz="2" w:space="0" w:color="DDDDDD"/>
            </w:tcBorders>
          </w:tcPr>
          <w:p>
            <w:pPr>
              <w:pStyle w:val="Normal"/>
              <w:spacing w:lineRule="auto" w:line="252" w:before="0" w:after="0"/>
              <w:ind w:hanging="0"/>
              <w:rPr/>
            </w:pPr>
            <w:r>
              <w:rPr>
                <w:sz w:val="19"/>
                <w:szCs w:val="19"/>
              </w:rPr>
              <w:t>Jefe de cocina, jefe de restaurante, encargado</w:t>
            </w:r>
          </w:p>
        </w:tc>
        <w:tc>
          <w:tcPr>
            <w:tcW w:w="2199" w:type="dxa"/>
            <w:tcBorders>
              <w:bottom w:val="single" w:sz="2" w:space="0" w:color="DDDDDD"/>
            </w:tcBorders>
          </w:tcPr>
          <w:p>
            <w:pPr>
              <w:pStyle w:val="Normal"/>
              <w:spacing w:lineRule="auto" w:line="252" w:before="0" w:after="0"/>
              <w:ind w:hanging="0"/>
              <w:rPr/>
            </w:pPr>
            <w:r>
              <w:rPr>
                <w:sz w:val="19"/>
                <w:szCs w:val="19"/>
              </w:rPr>
              <w:t>1.337,87 €</w:t>
            </w:r>
          </w:p>
        </w:tc>
        <w:tc>
          <w:tcPr>
            <w:tcW w:w="2426" w:type="dxa"/>
            <w:tcBorders>
              <w:bottom w:val="single" w:sz="2" w:space="0" w:color="DDDDDD"/>
            </w:tcBorders>
          </w:tcPr>
          <w:p>
            <w:pPr>
              <w:pStyle w:val="Normal"/>
              <w:spacing w:lineRule="auto" w:line="252" w:before="0" w:after="0"/>
              <w:ind w:hanging="0"/>
              <w:rPr/>
            </w:pPr>
            <w:r>
              <w:rPr>
                <w:sz w:val="19"/>
                <w:szCs w:val="19"/>
              </w:rPr>
              <w:t>20.068,05 €</w:t>
            </w:r>
          </w:p>
        </w:tc>
      </w:tr>
      <w:tr>
        <w:trPr>
          <w:cantSplit w:val="true"/>
        </w:trPr>
        <w:tc>
          <w:tcPr>
            <w:tcW w:w="799" w:type="dxa"/>
            <w:tcBorders>
              <w:bottom w:val="single" w:sz="2" w:space="0" w:color="DDDDDD"/>
            </w:tcBorders>
          </w:tcPr>
          <w:p>
            <w:pPr>
              <w:pStyle w:val="Normal"/>
              <w:spacing w:lineRule="auto" w:line="252" w:before="0" w:after="0"/>
              <w:ind w:hanging="0"/>
              <w:rPr/>
            </w:pPr>
            <w:r>
              <w:rPr>
                <w:sz w:val="19"/>
                <w:szCs w:val="19"/>
              </w:rPr>
              <w:t>II</w:t>
            </w:r>
          </w:p>
        </w:tc>
        <w:tc>
          <w:tcPr>
            <w:tcW w:w="3601" w:type="dxa"/>
            <w:tcBorders>
              <w:bottom w:val="single" w:sz="2" w:space="0" w:color="DDDDDD"/>
            </w:tcBorders>
          </w:tcPr>
          <w:p>
            <w:pPr>
              <w:pStyle w:val="Normal"/>
              <w:spacing w:lineRule="auto" w:line="252" w:before="0" w:after="0"/>
              <w:ind w:hanging="0"/>
              <w:rPr/>
            </w:pPr>
            <w:r>
              <w:rPr>
                <w:sz w:val="19"/>
                <w:szCs w:val="19"/>
              </w:rPr>
              <w:t>Cocinero/a, segundo jefe de sala</w:t>
            </w:r>
          </w:p>
        </w:tc>
        <w:tc>
          <w:tcPr>
            <w:tcW w:w="2199" w:type="dxa"/>
            <w:tcBorders>
              <w:bottom w:val="single" w:sz="2" w:space="0" w:color="DDDDDD"/>
            </w:tcBorders>
          </w:tcPr>
          <w:p>
            <w:pPr>
              <w:pStyle w:val="Normal"/>
              <w:spacing w:lineRule="auto" w:line="252" w:before="0" w:after="0"/>
              <w:ind w:hanging="0"/>
              <w:rPr/>
            </w:pPr>
            <w:r>
              <w:rPr>
                <w:sz w:val="19"/>
                <w:szCs w:val="19"/>
              </w:rPr>
              <w:t>1.288,69 €</w:t>
            </w:r>
          </w:p>
        </w:tc>
        <w:tc>
          <w:tcPr>
            <w:tcW w:w="2426" w:type="dxa"/>
            <w:tcBorders>
              <w:bottom w:val="single" w:sz="2" w:space="0" w:color="DDDDDD"/>
            </w:tcBorders>
          </w:tcPr>
          <w:p>
            <w:pPr>
              <w:pStyle w:val="Normal"/>
              <w:spacing w:lineRule="auto" w:line="252" w:before="0" w:after="0"/>
              <w:ind w:hanging="0"/>
              <w:rPr/>
            </w:pPr>
            <w:r>
              <w:rPr>
                <w:sz w:val="19"/>
                <w:szCs w:val="19"/>
              </w:rPr>
              <w:t>19.330,35 €</w:t>
            </w:r>
          </w:p>
        </w:tc>
      </w:tr>
      <w:tr>
        <w:trPr>
          <w:cantSplit w:val="true"/>
        </w:trPr>
        <w:tc>
          <w:tcPr>
            <w:tcW w:w="799" w:type="dxa"/>
            <w:tcBorders>
              <w:bottom w:val="single" w:sz="2" w:space="0" w:color="DDDDDD"/>
            </w:tcBorders>
          </w:tcPr>
          <w:p>
            <w:pPr>
              <w:pStyle w:val="Normal"/>
              <w:spacing w:lineRule="auto" w:line="252" w:before="0" w:after="0"/>
              <w:ind w:hanging="0"/>
              <w:rPr/>
            </w:pPr>
            <w:r>
              <w:rPr>
                <w:sz w:val="19"/>
                <w:szCs w:val="19"/>
              </w:rPr>
              <w:t>III</w:t>
            </w:r>
          </w:p>
        </w:tc>
        <w:tc>
          <w:tcPr>
            <w:tcW w:w="3601" w:type="dxa"/>
            <w:tcBorders>
              <w:bottom w:val="single" w:sz="2" w:space="0" w:color="DDDDDD"/>
            </w:tcBorders>
          </w:tcPr>
          <w:p>
            <w:pPr>
              <w:pStyle w:val="Normal"/>
              <w:spacing w:lineRule="auto" w:line="252" w:before="0" w:after="0"/>
              <w:ind w:hanging="0"/>
              <w:rPr/>
            </w:pPr>
            <w:r>
              <w:rPr>
                <w:sz w:val="19"/>
                <w:szCs w:val="19"/>
              </w:rPr>
              <w:t>Camarero/a, ayudante de cocina</w:t>
            </w:r>
          </w:p>
        </w:tc>
        <w:tc>
          <w:tcPr>
            <w:tcW w:w="2199" w:type="dxa"/>
            <w:tcBorders>
              <w:bottom w:val="single" w:sz="2" w:space="0" w:color="DDDDDD"/>
            </w:tcBorders>
          </w:tcPr>
          <w:p>
            <w:pPr>
              <w:pStyle w:val="Normal"/>
              <w:spacing w:lineRule="auto" w:line="252" w:before="0" w:after="0"/>
              <w:ind w:hanging="0"/>
              <w:rPr/>
            </w:pPr>
            <w:r>
              <w:rPr>
                <w:sz w:val="19"/>
                <w:szCs w:val="19"/>
              </w:rPr>
              <w:t>1.214,84 €</w:t>
            </w:r>
          </w:p>
        </w:tc>
        <w:tc>
          <w:tcPr>
            <w:tcW w:w="2426" w:type="dxa"/>
            <w:tcBorders>
              <w:bottom w:val="single" w:sz="2" w:space="0" w:color="DDDDDD"/>
            </w:tcBorders>
          </w:tcPr>
          <w:p>
            <w:pPr>
              <w:pStyle w:val="Normal"/>
              <w:spacing w:lineRule="auto" w:line="252" w:before="0" w:after="0"/>
              <w:ind w:hanging="0"/>
              <w:rPr/>
            </w:pPr>
            <w:r>
              <w:rPr>
                <w:sz w:val="19"/>
                <w:szCs w:val="19"/>
              </w:rPr>
              <w:t>18.222,60 €</w:t>
            </w:r>
          </w:p>
        </w:tc>
      </w:tr>
      <w:tr>
        <w:trPr>
          <w:cantSplit w:val="true"/>
        </w:trPr>
        <w:tc>
          <w:tcPr>
            <w:tcW w:w="799" w:type="dxa"/>
            <w:tcBorders>
              <w:bottom w:val="single" w:sz="2" w:space="0" w:color="DDDDDD"/>
            </w:tcBorders>
          </w:tcPr>
          <w:p>
            <w:pPr>
              <w:pStyle w:val="Normal"/>
              <w:spacing w:lineRule="auto" w:line="252" w:before="0" w:after="0"/>
              <w:ind w:hanging="0"/>
              <w:rPr/>
            </w:pPr>
            <w:r>
              <w:rPr>
                <w:sz w:val="19"/>
                <w:szCs w:val="19"/>
              </w:rPr>
              <w:t>IV</w:t>
            </w:r>
          </w:p>
        </w:tc>
        <w:tc>
          <w:tcPr>
            <w:tcW w:w="3601" w:type="dxa"/>
            <w:tcBorders>
              <w:bottom w:val="single" w:sz="2" w:space="0" w:color="DDDDDD"/>
            </w:tcBorders>
          </w:tcPr>
          <w:p>
            <w:pPr>
              <w:pStyle w:val="Normal"/>
              <w:spacing w:lineRule="auto" w:line="252" w:before="0" w:after="0"/>
              <w:ind w:hanging="0"/>
              <w:rPr/>
            </w:pPr>
            <w:r>
              <w:rPr>
                <w:sz w:val="19"/>
                <w:szCs w:val="19"/>
              </w:rPr>
              <w:t>Ayudante de camarero, personal de limpieza</w:t>
            </w:r>
          </w:p>
        </w:tc>
        <w:tc>
          <w:tcPr>
            <w:tcW w:w="2199" w:type="dxa"/>
            <w:tcBorders>
              <w:bottom w:val="single" w:sz="2" w:space="0" w:color="DDDDDD"/>
            </w:tcBorders>
          </w:tcPr>
          <w:p>
            <w:pPr>
              <w:pStyle w:val="Normal"/>
              <w:spacing w:lineRule="auto" w:line="252" w:before="0" w:after="0"/>
              <w:ind w:hanging="0"/>
              <w:rPr/>
            </w:pPr>
            <w:r>
              <w:rPr>
                <w:sz w:val="19"/>
                <w:szCs w:val="19"/>
              </w:rPr>
              <w:t>1.165,60 €</w:t>
            </w:r>
          </w:p>
        </w:tc>
        <w:tc>
          <w:tcPr>
            <w:tcW w:w="2426" w:type="dxa"/>
            <w:tcBorders>
              <w:bottom w:val="single" w:sz="2" w:space="0" w:color="DDDDDD"/>
            </w:tcBorders>
          </w:tcPr>
          <w:p>
            <w:pPr>
              <w:pStyle w:val="Normal"/>
              <w:spacing w:lineRule="auto" w:line="252" w:before="0" w:after="0"/>
              <w:ind w:hanging="0"/>
              <w:rPr/>
            </w:pPr>
            <w:r>
              <w:rPr>
                <w:sz w:val="19"/>
                <w:szCs w:val="19"/>
              </w:rPr>
              <w:t>17.484,00 €</w:t>
            </w:r>
          </w:p>
        </w:tc>
      </w:tr>
      <w:tr>
        <w:trPr>
          <w:cantSplit w:val="true"/>
        </w:trPr>
        <w:tc>
          <w:tcPr>
            <w:tcW w:w="799" w:type="dxa"/>
            <w:tcBorders>
              <w:bottom w:val="single" w:sz="6" w:space="0" w:color="808080"/>
            </w:tcBorders>
          </w:tcPr>
          <w:p>
            <w:pPr>
              <w:pStyle w:val="Normal"/>
              <w:spacing w:lineRule="auto" w:line="252" w:before="0" w:after="0"/>
              <w:ind w:hanging="0"/>
              <w:rPr/>
            </w:pPr>
            <w:r>
              <w:rPr>
                <w:sz w:val="19"/>
                <w:szCs w:val="19"/>
              </w:rPr>
              <w:t>V</w:t>
            </w:r>
          </w:p>
        </w:tc>
        <w:tc>
          <w:tcPr>
            <w:tcW w:w="3601" w:type="dxa"/>
            <w:tcBorders>
              <w:bottom w:val="single" w:sz="6" w:space="0" w:color="808080"/>
            </w:tcBorders>
          </w:tcPr>
          <w:p>
            <w:pPr>
              <w:pStyle w:val="Normal"/>
              <w:spacing w:lineRule="auto" w:line="252" w:before="0" w:after="0"/>
              <w:ind w:hanging="0"/>
              <w:rPr/>
            </w:pPr>
            <w:r>
              <w:rPr>
                <w:sz w:val="19"/>
                <w:szCs w:val="19"/>
              </w:rPr>
              <w:t>Auxiliares</w:t>
            </w:r>
          </w:p>
        </w:tc>
        <w:tc>
          <w:tcPr>
            <w:tcW w:w="2199" w:type="dxa"/>
            <w:tcBorders>
              <w:bottom w:val="single" w:sz="6" w:space="0" w:color="808080"/>
            </w:tcBorders>
          </w:tcPr>
          <w:p>
            <w:pPr>
              <w:pStyle w:val="Normal"/>
              <w:spacing w:lineRule="auto" w:line="252" w:before="0" w:after="0"/>
              <w:ind w:hanging="0"/>
              <w:rPr/>
            </w:pPr>
            <w:r>
              <w:rPr>
                <w:sz w:val="19"/>
                <w:szCs w:val="19"/>
              </w:rPr>
              <w:t>1.100,46 €</w:t>
            </w:r>
          </w:p>
        </w:tc>
        <w:tc>
          <w:tcPr>
            <w:tcW w:w="2426" w:type="dxa"/>
            <w:tcBorders>
              <w:bottom w:val="single" w:sz="6" w:space="0" w:color="808080"/>
            </w:tcBorders>
          </w:tcPr>
          <w:p>
            <w:pPr>
              <w:pStyle w:val="Normal"/>
              <w:spacing w:lineRule="auto" w:line="252" w:before="0" w:after="0"/>
              <w:ind w:hanging="0"/>
              <w:rPr/>
            </w:pPr>
            <w:r>
              <w:rPr>
                <w:sz w:val="19"/>
                <w:szCs w:val="19"/>
              </w:rPr>
              <w:t>16.506,90 €</w:t>
            </w:r>
          </w:p>
        </w:tc>
      </w:tr>
    </w:tbl>
    <w:p>
      <w:pPr>
        <w:pStyle w:val="Normal"/>
        <w:spacing w:lineRule="auto" w:line="276" w:before="80" w:after="240"/>
        <w:ind w:hanging="0"/>
        <w:rPr/>
      </w:pPr>
      <w:r>
        <w:rPr>
          <w:i/>
          <w:iCs/>
          <w:sz w:val="20"/>
          <w:szCs w:val="20"/>
        </w:rPr>
        <w:t>Nota.</w:t>
      </w:r>
      <w:r>
        <w:rPr>
          <w:sz w:val="20"/>
          <w:szCs w:val="20"/>
        </w:rPr>
        <w:t xml:space="preserve"> Tablas del convenio según Comisiones Obreras (2025) y Turnozo (2026). El nivel V queda por debajo del SMI de 2026 (17.094 € anuales) y debe elevarse hasta él (Real Decreto 126/2026).</w:t>
      </w:r>
    </w:p>
    <w:p>
      <w:pPr>
        <w:pStyle w:val="Normal"/>
        <w:rPr/>
      </w:pPr>
      <w:r>
        <w:rPr/>
        <w:t>Al salario bruto hay que sumar la cotización a cargo de la empresa. Para 2026, los tipos empresariales del régimen general son el 23,60 % por contingencias comunes, el 5,50 % por desempleo en contratos indefinidos, el 0,20 % del FOGASA, el 0,60 % de formación profesional y el 0,75 % del mecanismo de equidad intergeneracional, más la prima de accidentes de trabajo, que para los servicios de comidas y bebidas (CNAE 56) es del 1,50 % (Ibermutua, 2026). En total, un 32,15 % sobre el salario bruto. La tabla 13 aplica estos porcentajes a la plantilla de Burglar King, que paga por encima del convenio: el salario más bajo del local es de 2.000 euros brutos al mes en 15 pagas, y el resto se escala en la misma proporción que guardan entre sí los niveles del convenio.</w:t>
      </w:r>
    </w:p>
    <w:p>
      <w:pPr>
        <w:pStyle w:val="Normal"/>
        <w:keepNext w:val="true"/>
        <w:spacing w:lineRule="auto" w:line="480" w:before="240" w:after="0"/>
        <w:ind w:hanging="0"/>
        <w:rPr/>
      </w:pPr>
      <w:r>
        <w:rPr>
          <w:b/>
          <w:bCs/>
        </w:rPr>
        <w:t>Tabla 13</w:t>
      </w:r>
    </w:p>
    <w:p>
      <w:pPr>
        <w:pStyle w:val="Normal"/>
        <w:keepNext w:val="true"/>
        <w:spacing w:lineRule="auto" w:line="480" w:before="0" w:after="120"/>
        <w:ind w:hanging="0"/>
        <w:rPr/>
      </w:pPr>
      <w:r>
        <w:rPr>
          <w:i/>
          <w:iCs/>
        </w:rPr>
        <w:t>Coste de personal mensual de Burglar King</w:t>
      </w:r>
    </w:p>
    <w:tbl>
      <w:tblPr>
        <w:tblW w:w="9026" w:type="dxa"/>
        <w:jc w:val="left"/>
        <w:tblInd w:w="0" w:type="dxa"/>
        <w:tblLayout w:type="fixed"/>
        <w:tblCellMar>
          <w:top w:w="60" w:type="dxa"/>
          <w:left w:w="100" w:type="dxa"/>
          <w:bottom w:w="60" w:type="dxa"/>
          <w:right w:w="100" w:type="dxa"/>
        </w:tblCellMar>
      </w:tblPr>
      <w:tblGrid>
        <w:gridCol w:w="1500"/>
        <w:gridCol w:w="3400"/>
        <w:gridCol w:w="1500"/>
        <w:gridCol w:w="1499"/>
        <w:gridCol w:w="1127"/>
      </w:tblGrid>
      <w:tr>
        <w:trPr>
          <w:tblHeader w:val="true"/>
          <w:cantSplit w:val="true"/>
        </w:trPr>
        <w:tc>
          <w:tcPr>
            <w:tcW w:w="150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Puesto</w:t>
            </w:r>
          </w:p>
        </w:tc>
        <w:tc>
          <w:tcPr>
            <w:tcW w:w="340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Encuadre</w:t>
            </w:r>
          </w:p>
        </w:tc>
        <w:tc>
          <w:tcPr>
            <w:tcW w:w="150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Bruto anual</w:t>
            </w:r>
          </w:p>
        </w:tc>
        <w:tc>
          <w:tcPr>
            <w:tcW w:w="14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Coste de empresa anual</w:t>
            </w:r>
          </w:p>
        </w:tc>
        <w:tc>
          <w:tcPr>
            <w:tcW w:w="1127"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Coste al mes</w:t>
            </w:r>
          </w:p>
        </w:tc>
      </w:tr>
      <w:tr>
        <w:trPr>
          <w:cantSplit w:val="true"/>
        </w:trPr>
        <w:tc>
          <w:tcPr>
            <w:tcW w:w="1500" w:type="dxa"/>
            <w:tcBorders>
              <w:bottom w:val="single" w:sz="2" w:space="0" w:color="DDDDDD"/>
            </w:tcBorders>
          </w:tcPr>
          <w:p>
            <w:pPr>
              <w:pStyle w:val="Normal"/>
              <w:spacing w:lineRule="auto" w:line="252" w:before="0" w:after="0"/>
              <w:ind w:hanging="0"/>
              <w:rPr/>
            </w:pPr>
            <w:r>
              <w:rPr>
                <w:sz w:val="19"/>
                <w:szCs w:val="19"/>
              </w:rPr>
              <w:t>Camarero 1</w:t>
            </w:r>
          </w:p>
        </w:tc>
        <w:tc>
          <w:tcPr>
            <w:tcW w:w="3400" w:type="dxa"/>
            <w:tcBorders>
              <w:bottom w:val="single" w:sz="2" w:space="0" w:color="DDDDDD"/>
            </w:tcBorders>
          </w:tcPr>
          <w:p>
            <w:pPr>
              <w:pStyle w:val="Normal"/>
              <w:spacing w:lineRule="auto" w:line="252" w:before="0" w:after="0"/>
              <w:ind w:hanging="0"/>
              <w:rPr/>
            </w:pPr>
            <w:r>
              <w:rPr>
                <w:sz w:val="19"/>
                <w:szCs w:val="19"/>
              </w:rPr>
              <w:t>Nivel III, indefinido a jornada completa; 2.000 € brutos al mes</w:t>
            </w:r>
          </w:p>
        </w:tc>
        <w:tc>
          <w:tcPr>
            <w:tcW w:w="1500" w:type="dxa"/>
            <w:tcBorders>
              <w:bottom w:val="single" w:sz="2" w:space="0" w:color="DDDDDD"/>
            </w:tcBorders>
          </w:tcPr>
          <w:p>
            <w:pPr>
              <w:pStyle w:val="Normal"/>
              <w:spacing w:lineRule="auto" w:line="252" w:before="0" w:after="0"/>
              <w:ind w:hanging="0"/>
              <w:rPr/>
            </w:pPr>
            <w:r>
              <w:rPr>
                <w:sz w:val="19"/>
                <w:szCs w:val="19"/>
              </w:rPr>
              <w:t>30.000 €</w:t>
            </w:r>
          </w:p>
        </w:tc>
        <w:tc>
          <w:tcPr>
            <w:tcW w:w="1499" w:type="dxa"/>
            <w:tcBorders>
              <w:bottom w:val="single" w:sz="2" w:space="0" w:color="DDDDDD"/>
            </w:tcBorders>
          </w:tcPr>
          <w:p>
            <w:pPr>
              <w:pStyle w:val="Normal"/>
              <w:spacing w:lineRule="auto" w:line="252" w:before="0" w:after="0"/>
              <w:ind w:hanging="0"/>
              <w:rPr/>
            </w:pPr>
            <w:r>
              <w:rPr>
                <w:sz w:val="19"/>
                <w:szCs w:val="19"/>
              </w:rPr>
              <w:t>39.645 €</w:t>
            </w:r>
          </w:p>
        </w:tc>
        <w:tc>
          <w:tcPr>
            <w:tcW w:w="1127" w:type="dxa"/>
            <w:tcBorders>
              <w:bottom w:val="single" w:sz="2" w:space="0" w:color="DDDDDD"/>
            </w:tcBorders>
          </w:tcPr>
          <w:p>
            <w:pPr>
              <w:pStyle w:val="Normal"/>
              <w:spacing w:lineRule="auto" w:line="252" w:before="0" w:after="0"/>
              <w:ind w:hanging="0"/>
              <w:rPr/>
            </w:pPr>
            <w:r>
              <w:rPr>
                <w:sz w:val="19"/>
                <w:szCs w:val="19"/>
              </w:rPr>
              <w:t>3.304 €</w:t>
            </w:r>
          </w:p>
        </w:tc>
      </w:tr>
      <w:tr>
        <w:trPr>
          <w:cantSplit w:val="true"/>
        </w:trPr>
        <w:tc>
          <w:tcPr>
            <w:tcW w:w="1500" w:type="dxa"/>
            <w:tcBorders>
              <w:bottom w:val="single" w:sz="2" w:space="0" w:color="DDDDDD"/>
            </w:tcBorders>
          </w:tcPr>
          <w:p>
            <w:pPr>
              <w:pStyle w:val="Normal"/>
              <w:spacing w:lineRule="auto" w:line="252" w:before="0" w:after="0"/>
              <w:ind w:hanging="0"/>
              <w:rPr/>
            </w:pPr>
            <w:r>
              <w:rPr>
                <w:sz w:val="19"/>
                <w:szCs w:val="19"/>
              </w:rPr>
              <w:t>Camarero 2</w:t>
            </w:r>
          </w:p>
        </w:tc>
        <w:tc>
          <w:tcPr>
            <w:tcW w:w="3400" w:type="dxa"/>
            <w:tcBorders>
              <w:bottom w:val="single" w:sz="2" w:space="0" w:color="DDDDDD"/>
            </w:tcBorders>
          </w:tcPr>
          <w:p>
            <w:pPr>
              <w:pStyle w:val="Normal"/>
              <w:spacing w:lineRule="auto" w:line="252" w:before="0" w:after="0"/>
              <w:ind w:hanging="0"/>
              <w:rPr/>
            </w:pPr>
            <w:r>
              <w:rPr>
                <w:sz w:val="19"/>
                <w:szCs w:val="19"/>
              </w:rPr>
              <w:t>Nivel III, indefinido a jornada completa; 2.000 € brutos al mes</w:t>
            </w:r>
          </w:p>
        </w:tc>
        <w:tc>
          <w:tcPr>
            <w:tcW w:w="1500" w:type="dxa"/>
            <w:tcBorders>
              <w:bottom w:val="single" w:sz="2" w:space="0" w:color="DDDDDD"/>
            </w:tcBorders>
          </w:tcPr>
          <w:p>
            <w:pPr>
              <w:pStyle w:val="Normal"/>
              <w:spacing w:lineRule="auto" w:line="252" w:before="0" w:after="0"/>
              <w:ind w:hanging="0"/>
              <w:rPr/>
            </w:pPr>
            <w:r>
              <w:rPr>
                <w:sz w:val="19"/>
                <w:szCs w:val="19"/>
              </w:rPr>
              <w:t>30.000 €</w:t>
            </w:r>
          </w:p>
        </w:tc>
        <w:tc>
          <w:tcPr>
            <w:tcW w:w="1499" w:type="dxa"/>
            <w:tcBorders>
              <w:bottom w:val="single" w:sz="2" w:space="0" w:color="DDDDDD"/>
            </w:tcBorders>
          </w:tcPr>
          <w:p>
            <w:pPr>
              <w:pStyle w:val="Normal"/>
              <w:spacing w:lineRule="auto" w:line="252" w:before="0" w:after="0"/>
              <w:ind w:hanging="0"/>
              <w:rPr/>
            </w:pPr>
            <w:r>
              <w:rPr>
                <w:sz w:val="19"/>
                <w:szCs w:val="19"/>
              </w:rPr>
              <w:t>39.645 €</w:t>
            </w:r>
          </w:p>
        </w:tc>
        <w:tc>
          <w:tcPr>
            <w:tcW w:w="1127" w:type="dxa"/>
            <w:tcBorders>
              <w:bottom w:val="single" w:sz="2" w:space="0" w:color="DDDDDD"/>
            </w:tcBorders>
          </w:tcPr>
          <w:p>
            <w:pPr>
              <w:pStyle w:val="Normal"/>
              <w:spacing w:lineRule="auto" w:line="252" w:before="0" w:after="0"/>
              <w:ind w:hanging="0"/>
              <w:rPr/>
            </w:pPr>
            <w:r>
              <w:rPr>
                <w:sz w:val="19"/>
                <w:szCs w:val="19"/>
              </w:rPr>
              <w:t>3.304 €</w:t>
            </w:r>
          </w:p>
        </w:tc>
      </w:tr>
      <w:tr>
        <w:trPr>
          <w:cantSplit w:val="true"/>
        </w:trPr>
        <w:tc>
          <w:tcPr>
            <w:tcW w:w="1500" w:type="dxa"/>
            <w:tcBorders>
              <w:bottom w:val="single" w:sz="2" w:space="0" w:color="DDDDDD"/>
            </w:tcBorders>
          </w:tcPr>
          <w:p>
            <w:pPr>
              <w:pStyle w:val="Normal"/>
              <w:spacing w:lineRule="auto" w:line="252" w:before="0" w:after="0"/>
              <w:ind w:hanging="0"/>
              <w:rPr/>
            </w:pPr>
            <w:r>
              <w:rPr>
                <w:sz w:val="19"/>
                <w:szCs w:val="19"/>
              </w:rPr>
              <w:t>Cocinero</w:t>
            </w:r>
          </w:p>
        </w:tc>
        <w:tc>
          <w:tcPr>
            <w:tcW w:w="3400" w:type="dxa"/>
            <w:tcBorders>
              <w:bottom w:val="single" w:sz="2" w:space="0" w:color="DDDDDD"/>
            </w:tcBorders>
          </w:tcPr>
          <w:p>
            <w:pPr>
              <w:pStyle w:val="Normal"/>
              <w:spacing w:lineRule="auto" w:line="252" w:before="0" w:after="0"/>
              <w:ind w:hanging="0"/>
              <w:rPr/>
            </w:pPr>
            <w:r>
              <w:rPr>
                <w:sz w:val="19"/>
                <w:szCs w:val="19"/>
              </w:rPr>
              <w:t>Nivel II, indefinido a jornada completa; 2.122 € brutos al mes</w:t>
            </w:r>
          </w:p>
        </w:tc>
        <w:tc>
          <w:tcPr>
            <w:tcW w:w="1500" w:type="dxa"/>
            <w:tcBorders>
              <w:bottom w:val="single" w:sz="2" w:space="0" w:color="DDDDDD"/>
            </w:tcBorders>
          </w:tcPr>
          <w:p>
            <w:pPr>
              <w:pStyle w:val="Normal"/>
              <w:spacing w:lineRule="auto" w:line="252" w:before="0" w:after="0"/>
              <w:ind w:hanging="0"/>
              <w:rPr/>
            </w:pPr>
            <w:r>
              <w:rPr>
                <w:sz w:val="19"/>
                <w:szCs w:val="19"/>
              </w:rPr>
              <w:t>31.830 €</w:t>
            </w:r>
          </w:p>
        </w:tc>
        <w:tc>
          <w:tcPr>
            <w:tcW w:w="1499" w:type="dxa"/>
            <w:tcBorders>
              <w:bottom w:val="single" w:sz="2" w:space="0" w:color="DDDDDD"/>
            </w:tcBorders>
          </w:tcPr>
          <w:p>
            <w:pPr>
              <w:pStyle w:val="Normal"/>
              <w:spacing w:lineRule="auto" w:line="252" w:before="0" w:after="0"/>
              <w:ind w:hanging="0"/>
              <w:rPr/>
            </w:pPr>
            <w:r>
              <w:rPr>
                <w:sz w:val="19"/>
                <w:szCs w:val="19"/>
              </w:rPr>
              <w:t>42.063 €</w:t>
            </w:r>
          </w:p>
        </w:tc>
        <w:tc>
          <w:tcPr>
            <w:tcW w:w="1127" w:type="dxa"/>
            <w:tcBorders>
              <w:bottom w:val="single" w:sz="2" w:space="0" w:color="DDDDDD"/>
            </w:tcBorders>
          </w:tcPr>
          <w:p>
            <w:pPr>
              <w:pStyle w:val="Normal"/>
              <w:spacing w:lineRule="auto" w:line="252" w:before="0" w:after="0"/>
              <w:ind w:hanging="0"/>
              <w:rPr/>
            </w:pPr>
            <w:r>
              <w:rPr>
                <w:sz w:val="19"/>
                <w:szCs w:val="19"/>
              </w:rPr>
              <w:t>3.505 €</w:t>
            </w:r>
          </w:p>
        </w:tc>
      </w:tr>
      <w:tr>
        <w:trPr>
          <w:cantSplit w:val="true"/>
        </w:trPr>
        <w:tc>
          <w:tcPr>
            <w:tcW w:w="1500" w:type="dxa"/>
            <w:tcBorders>
              <w:bottom w:val="single" w:sz="2" w:space="0" w:color="DDDDDD"/>
            </w:tcBorders>
          </w:tcPr>
          <w:p>
            <w:pPr>
              <w:pStyle w:val="Normal"/>
              <w:spacing w:lineRule="auto" w:line="252" w:before="0" w:after="0"/>
              <w:ind w:hanging="0"/>
              <w:rPr/>
            </w:pPr>
            <w:r>
              <w:rPr>
                <w:sz w:val="19"/>
                <w:szCs w:val="19"/>
              </w:rPr>
              <w:t>Encargado</w:t>
            </w:r>
          </w:p>
        </w:tc>
        <w:tc>
          <w:tcPr>
            <w:tcW w:w="3400" w:type="dxa"/>
            <w:tcBorders>
              <w:bottom w:val="single" w:sz="2" w:space="0" w:color="DDDDDD"/>
            </w:tcBorders>
          </w:tcPr>
          <w:p>
            <w:pPr>
              <w:pStyle w:val="Normal"/>
              <w:spacing w:lineRule="auto" w:line="252" w:before="0" w:after="0"/>
              <w:ind w:hanging="0"/>
              <w:rPr/>
            </w:pPr>
            <w:r>
              <w:rPr>
                <w:sz w:val="19"/>
                <w:szCs w:val="19"/>
              </w:rPr>
              <w:t>Socio gerente en el régimen de autónomos: sueldo de 3.950 € brutos y cuota de unos 530 € al mes</w:t>
            </w:r>
          </w:p>
        </w:tc>
        <w:tc>
          <w:tcPr>
            <w:tcW w:w="1500" w:type="dxa"/>
            <w:tcBorders>
              <w:bottom w:val="single" w:sz="2" w:space="0" w:color="DDDDDD"/>
            </w:tcBorders>
          </w:tcPr>
          <w:p>
            <w:pPr>
              <w:pStyle w:val="Normal"/>
              <w:spacing w:lineRule="auto" w:line="252" w:before="0" w:after="0"/>
              <w:ind w:hanging="0"/>
              <w:rPr/>
            </w:pPr>
            <w:r>
              <w:rPr>
                <w:sz w:val="19"/>
                <w:szCs w:val="19"/>
              </w:rPr>
              <w:t>47.400 €</w:t>
            </w:r>
          </w:p>
        </w:tc>
        <w:tc>
          <w:tcPr>
            <w:tcW w:w="1499" w:type="dxa"/>
            <w:tcBorders>
              <w:bottom w:val="single" w:sz="2" w:space="0" w:color="DDDDDD"/>
            </w:tcBorders>
          </w:tcPr>
          <w:p>
            <w:pPr>
              <w:pStyle w:val="Normal"/>
              <w:spacing w:lineRule="auto" w:line="252" w:before="0" w:after="0"/>
              <w:ind w:hanging="0"/>
              <w:rPr/>
            </w:pPr>
            <w:r>
              <w:rPr>
                <w:sz w:val="19"/>
                <w:szCs w:val="19"/>
              </w:rPr>
              <w:t>53.760 €</w:t>
            </w:r>
          </w:p>
        </w:tc>
        <w:tc>
          <w:tcPr>
            <w:tcW w:w="1127" w:type="dxa"/>
            <w:tcBorders>
              <w:bottom w:val="single" w:sz="2" w:space="0" w:color="DDDDDD"/>
            </w:tcBorders>
          </w:tcPr>
          <w:p>
            <w:pPr>
              <w:pStyle w:val="Normal"/>
              <w:spacing w:lineRule="auto" w:line="252" w:before="0" w:after="0"/>
              <w:ind w:hanging="0"/>
              <w:rPr/>
            </w:pPr>
            <w:r>
              <w:rPr>
                <w:sz w:val="19"/>
                <w:szCs w:val="19"/>
              </w:rPr>
              <w:t>4.480 €</w:t>
            </w:r>
          </w:p>
        </w:tc>
      </w:tr>
      <w:tr>
        <w:trPr>
          <w:cantSplit w:val="true"/>
        </w:trPr>
        <w:tc>
          <w:tcPr>
            <w:tcW w:w="1500" w:type="dxa"/>
            <w:tcBorders>
              <w:bottom w:val="single" w:sz="6" w:space="0" w:color="808080"/>
            </w:tcBorders>
          </w:tcPr>
          <w:p>
            <w:pPr>
              <w:pStyle w:val="Normal"/>
              <w:spacing w:lineRule="auto" w:line="252" w:before="0" w:after="0"/>
              <w:ind w:hanging="0"/>
              <w:rPr/>
            </w:pPr>
            <w:r>
              <w:rPr>
                <w:sz w:val="19"/>
                <w:szCs w:val="19"/>
              </w:rPr>
              <w:t>Total</w:t>
            </w:r>
          </w:p>
        </w:tc>
        <w:tc>
          <w:tcPr>
            <w:tcW w:w="3400" w:type="dxa"/>
            <w:tcBorders>
              <w:bottom w:val="single" w:sz="6" w:space="0" w:color="808080"/>
            </w:tcBorders>
          </w:tcPr>
          <w:p>
            <w:pPr>
              <w:pStyle w:val="Normal"/>
              <w:spacing w:lineRule="auto" w:line="252" w:before="0" w:after="0"/>
              <w:ind w:hanging="0"/>
              <w:rPr/>
            </w:pPr>
            <w:r>
              <w:rPr/>
            </w:r>
          </w:p>
        </w:tc>
        <w:tc>
          <w:tcPr>
            <w:tcW w:w="1500" w:type="dxa"/>
            <w:tcBorders>
              <w:bottom w:val="single" w:sz="6" w:space="0" w:color="808080"/>
            </w:tcBorders>
          </w:tcPr>
          <w:p>
            <w:pPr>
              <w:pStyle w:val="Normal"/>
              <w:spacing w:lineRule="auto" w:line="252" w:before="0" w:after="0"/>
              <w:ind w:hanging="0"/>
              <w:rPr/>
            </w:pPr>
            <w:r>
              <w:rPr>
                <w:sz w:val="19"/>
                <w:szCs w:val="19"/>
              </w:rPr>
              <w:t>139.230 €</w:t>
            </w:r>
          </w:p>
        </w:tc>
        <w:tc>
          <w:tcPr>
            <w:tcW w:w="1499" w:type="dxa"/>
            <w:tcBorders>
              <w:bottom w:val="single" w:sz="6" w:space="0" w:color="808080"/>
            </w:tcBorders>
          </w:tcPr>
          <w:p>
            <w:pPr>
              <w:pStyle w:val="Normal"/>
              <w:spacing w:lineRule="auto" w:line="252" w:before="0" w:after="0"/>
              <w:ind w:hanging="0"/>
              <w:rPr/>
            </w:pPr>
            <w:r>
              <w:rPr>
                <w:sz w:val="19"/>
                <w:szCs w:val="19"/>
              </w:rPr>
              <w:t>175.113 €</w:t>
            </w:r>
          </w:p>
        </w:tc>
        <w:tc>
          <w:tcPr>
            <w:tcW w:w="1127" w:type="dxa"/>
            <w:tcBorders>
              <w:bottom w:val="single" w:sz="6" w:space="0" w:color="808080"/>
            </w:tcBorders>
          </w:tcPr>
          <w:p>
            <w:pPr>
              <w:pStyle w:val="Normal"/>
              <w:spacing w:lineRule="auto" w:line="252" w:before="0" w:after="0"/>
              <w:ind w:hanging="0"/>
              <w:rPr/>
            </w:pPr>
            <w:r>
              <w:rPr>
                <w:sz w:val="19"/>
                <w:szCs w:val="19"/>
              </w:rPr>
              <w:t>14.593 €</w:t>
            </w:r>
          </w:p>
        </w:tc>
      </w:tr>
    </w:tbl>
    <w:p>
      <w:pPr>
        <w:pStyle w:val="Normal"/>
        <w:spacing w:lineRule="auto" w:line="276" w:before="80" w:after="240"/>
        <w:ind w:hanging="0"/>
        <w:rPr/>
      </w:pPr>
      <w:r>
        <w:rPr>
          <w:i/>
          <w:iCs/>
          <w:sz w:val="20"/>
          <w:szCs w:val="20"/>
        </w:rPr>
        <w:t>Nota.</w:t>
      </w:r>
      <w:r>
        <w:rPr>
          <w:sz w:val="20"/>
          <w:szCs w:val="20"/>
        </w:rPr>
        <w:t xml:space="preserve"> Elaboración propia. Coste de empresa = bruto × 1,3215; el encargado cotiza como autónomo societario y su cuota depende del tramo de rendimientos. Redondeado a 14.800 € en la tabla 10 para incluir pluses de transporte y nocturnidad.</w:t>
      </w:r>
    </w:p>
    <w:p>
      <w:pPr>
        <w:pStyle w:val="Normal"/>
        <w:rPr/>
      </w:pPr>
      <w:r>
        <w:rPr/>
        <w:t>El coste de personal, unos 14.800 euros al mes, supone el 33 % de las ventas, en la banda del 30 %-35 % que se considera normal en el servicio en mesa (Tourinews, 2025). Pagar por encima del convenio es una decisión del negocio: en un sector con mucha rotación, conservar a un equipo de cuatro personas que conoce el local vale más que lo que se ahorraría pagando el mínimo. Es la partida más rígida de la empresa: los salarios de convenio y el SMI suben cada año aunque las ventas no lo hagan. Por eso el proyecto tecnológico no busca reducir plantilla, que ya es mínima, sino que las cuatro personas puedan sacar un servicio más grande sin errores: que el camarero no tenga que volver a la caja a teclear, que el cocinero no tenga que descifrar un papel y que el encargado no tenga que copiar los pedidos de la tableta.</w:t>
      </w:r>
    </w:p>
    <w:p>
      <w:pPr>
        <w:pStyle w:val="Heading2"/>
        <w:rPr/>
      </w:pPr>
      <w:bookmarkStart w:id="15" w:name="__RefHeading___Toc1988_3382994897"/>
      <w:bookmarkEnd w:id="15"/>
      <w:r>
        <w:rPr/>
        <w:t>4.3. Gastos materiales</w:t>
      </w:r>
    </w:p>
    <w:p>
      <w:pPr>
        <w:pStyle w:val="Normal"/>
        <w:rPr/>
      </w:pPr>
      <w:r>
        <w:rPr/>
        <w:t>Los gastos materiales son la materia prima, los consumibles y los suministros. La materia prima se controla con el escandallo de cada plato: el coste de los ingredientes dividido por el precio de venta sin IVA. La tabla 14 muestra el de la hamburguesa más vendida, con precios de mayorista del escenario.</w:t>
      </w:r>
    </w:p>
    <w:p>
      <w:pPr>
        <w:pStyle w:val="Normal"/>
        <w:keepNext w:val="true"/>
        <w:spacing w:lineRule="auto" w:line="480" w:before="240" w:after="0"/>
        <w:ind w:hanging="0"/>
        <w:rPr/>
      </w:pPr>
      <w:r>
        <w:rPr>
          <w:b/>
          <w:bCs/>
        </w:rPr>
        <w:t>Tabla 14</w:t>
      </w:r>
    </w:p>
    <w:p>
      <w:pPr>
        <w:pStyle w:val="Normal"/>
        <w:keepNext w:val="true"/>
        <w:spacing w:lineRule="auto" w:line="480" w:before="0" w:after="120"/>
        <w:ind w:hanging="0"/>
        <w:rPr/>
      </w:pPr>
      <w:r>
        <w:rPr>
          <w:i/>
          <w:iCs/>
        </w:rPr>
        <w:t>Escandallo de la hamburguesa clásica con patatas</w:t>
      </w:r>
    </w:p>
    <w:tbl>
      <w:tblPr>
        <w:tblW w:w="9026" w:type="dxa"/>
        <w:jc w:val="left"/>
        <w:tblInd w:w="0" w:type="dxa"/>
        <w:tblLayout w:type="fixed"/>
        <w:tblCellMar>
          <w:top w:w="60" w:type="dxa"/>
          <w:left w:w="100" w:type="dxa"/>
          <w:bottom w:w="60" w:type="dxa"/>
          <w:right w:w="100" w:type="dxa"/>
        </w:tblCellMar>
      </w:tblPr>
      <w:tblGrid>
        <w:gridCol w:w="4199"/>
        <w:gridCol w:w="2601"/>
        <w:gridCol w:w="2226"/>
      </w:tblGrid>
      <w:tr>
        <w:trPr>
          <w:tblHeader w:val="true"/>
          <w:cantSplit w:val="true"/>
        </w:trPr>
        <w:tc>
          <w:tcPr>
            <w:tcW w:w="41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Ingrediente</w:t>
            </w:r>
          </w:p>
        </w:tc>
        <w:tc>
          <w:tcPr>
            <w:tcW w:w="2601"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Cantidad</w:t>
            </w:r>
          </w:p>
        </w:tc>
        <w:tc>
          <w:tcPr>
            <w:tcW w:w="2226"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Coste</w:t>
            </w:r>
          </w:p>
        </w:tc>
      </w:tr>
      <w:tr>
        <w:trPr>
          <w:cantSplit w:val="true"/>
        </w:trPr>
        <w:tc>
          <w:tcPr>
            <w:tcW w:w="4199" w:type="dxa"/>
            <w:tcBorders>
              <w:bottom w:val="single" w:sz="2" w:space="0" w:color="DDDDDD"/>
            </w:tcBorders>
          </w:tcPr>
          <w:p>
            <w:pPr>
              <w:pStyle w:val="Normal"/>
              <w:spacing w:lineRule="auto" w:line="252" w:before="0" w:after="0"/>
              <w:ind w:hanging="0"/>
              <w:rPr/>
            </w:pPr>
            <w:r>
              <w:rPr>
                <w:sz w:val="19"/>
                <w:szCs w:val="19"/>
              </w:rPr>
              <w:t>Carne picada de vacuno</w:t>
            </w:r>
          </w:p>
        </w:tc>
        <w:tc>
          <w:tcPr>
            <w:tcW w:w="2601" w:type="dxa"/>
            <w:tcBorders>
              <w:bottom w:val="single" w:sz="2" w:space="0" w:color="DDDDDD"/>
            </w:tcBorders>
          </w:tcPr>
          <w:p>
            <w:pPr>
              <w:pStyle w:val="Normal"/>
              <w:spacing w:lineRule="auto" w:line="252" w:before="0" w:after="0"/>
              <w:ind w:hanging="0"/>
              <w:rPr/>
            </w:pPr>
            <w:r>
              <w:rPr>
                <w:sz w:val="19"/>
                <w:szCs w:val="19"/>
              </w:rPr>
              <w:t>160 g</w:t>
            </w:r>
          </w:p>
        </w:tc>
        <w:tc>
          <w:tcPr>
            <w:tcW w:w="2226" w:type="dxa"/>
            <w:tcBorders>
              <w:bottom w:val="single" w:sz="2" w:space="0" w:color="DDDDDD"/>
            </w:tcBorders>
          </w:tcPr>
          <w:p>
            <w:pPr>
              <w:pStyle w:val="Normal"/>
              <w:spacing w:lineRule="auto" w:line="252" w:before="0" w:after="0"/>
              <w:ind w:hanging="0"/>
              <w:rPr/>
            </w:pPr>
            <w:r>
              <w:rPr>
                <w:sz w:val="19"/>
                <w:szCs w:val="19"/>
              </w:rPr>
              <w:t>1,52 €</w:t>
            </w:r>
          </w:p>
        </w:tc>
      </w:tr>
      <w:tr>
        <w:trPr>
          <w:cantSplit w:val="true"/>
        </w:trPr>
        <w:tc>
          <w:tcPr>
            <w:tcW w:w="4199" w:type="dxa"/>
            <w:tcBorders>
              <w:bottom w:val="single" w:sz="2" w:space="0" w:color="DDDDDD"/>
            </w:tcBorders>
          </w:tcPr>
          <w:p>
            <w:pPr>
              <w:pStyle w:val="Normal"/>
              <w:spacing w:lineRule="auto" w:line="252" w:before="0" w:after="0"/>
              <w:ind w:hanging="0"/>
              <w:rPr/>
            </w:pPr>
            <w:r>
              <w:rPr>
                <w:sz w:val="19"/>
                <w:szCs w:val="19"/>
              </w:rPr>
              <w:t>Pan brioche</w:t>
            </w:r>
          </w:p>
        </w:tc>
        <w:tc>
          <w:tcPr>
            <w:tcW w:w="2601" w:type="dxa"/>
            <w:tcBorders>
              <w:bottom w:val="single" w:sz="2" w:space="0" w:color="DDDDDD"/>
            </w:tcBorders>
          </w:tcPr>
          <w:p>
            <w:pPr>
              <w:pStyle w:val="Normal"/>
              <w:spacing w:lineRule="auto" w:line="252" w:before="0" w:after="0"/>
              <w:ind w:hanging="0"/>
              <w:rPr/>
            </w:pPr>
            <w:r>
              <w:rPr>
                <w:sz w:val="19"/>
                <w:szCs w:val="19"/>
              </w:rPr>
              <w:t>1 unidad</w:t>
            </w:r>
          </w:p>
        </w:tc>
        <w:tc>
          <w:tcPr>
            <w:tcW w:w="2226" w:type="dxa"/>
            <w:tcBorders>
              <w:bottom w:val="single" w:sz="2" w:space="0" w:color="DDDDDD"/>
            </w:tcBorders>
          </w:tcPr>
          <w:p>
            <w:pPr>
              <w:pStyle w:val="Normal"/>
              <w:spacing w:lineRule="auto" w:line="252" w:before="0" w:after="0"/>
              <w:ind w:hanging="0"/>
              <w:rPr/>
            </w:pPr>
            <w:r>
              <w:rPr>
                <w:sz w:val="19"/>
                <w:szCs w:val="19"/>
              </w:rPr>
              <w:t>0,45 €</w:t>
            </w:r>
          </w:p>
        </w:tc>
      </w:tr>
      <w:tr>
        <w:trPr>
          <w:cantSplit w:val="true"/>
        </w:trPr>
        <w:tc>
          <w:tcPr>
            <w:tcW w:w="4199" w:type="dxa"/>
            <w:tcBorders>
              <w:bottom w:val="single" w:sz="2" w:space="0" w:color="DDDDDD"/>
            </w:tcBorders>
          </w:tcPr>
          <w:p>
            <w:pPr>
              <w:pStyle w:val="Normal"/>
              <w:spacing w:lineRule="auto" w:line="252" w:before="0" w:after="0"/>
              <w:ind w:hanging="0"/>
              <w:rPr/>
            </w:pPr>
            <w:r>
              <w:rPr>
                <w:sz w:val="19"/>
                <w:szCs w:val="19"/>
              </w:rPr>
              <w:t>Queso cheddar</w:t>
            </w:r>
          </w:p>
        </w:tc>
        <w:tc>
          <w:tcPr>
            <w:tcW w:w="2601" w:type="dxa"/>
            <w:tcBorders>
              <w:bottom w:val="single" w:sz="2" w:space="0" w:color="DDDDDD"/>
            </w:tcBorders>
          </w:tcPr>
          <w:p>
            <w:pPr>
              <w:pStyle w:val="Normal"/>
              <w:spacing w:lineRule="auto" w:line="252" w:before="0" w:after="0"/>
              <w:ind w:hanging="0"/>
              <w:rPr/>
            </w:pPr>
            <w:r>
              <w:rPr>
                <w:sz w:val="19"/>
                <w:szCs w:val="19"/>
              </w:rPr>
              <w:t>2 lonchas</w:t>
            </w:r>
          </w:p>
        </w:tc>
        <w:tc>
          <w:tcPr>
            <w:tcW w:w="2226" w:type="dxa"/>
            <w:tcBorders>
              <w:bottom w:val="single" w:sz="2" w:space="0" w:color="DDDDDD"/>
            </w:tcBorders>
          </w:tcPr>
          <w:p>
            <w:pPr>
              <w:pStyle w:val="Normal"/>
              <w:spacing w:lineRule="auto" w:line="252" w:before="0" w:after="0"/>
              <w:ind w:hanging="0"/>
              <w:rPr/>
            </w:pPr>
            <w:r>
              <w:rPr>
                <w:sz w:val="19"/>
                <w:szCs w:val="19"/>
              </w:rPr>
              <w:t>0,30 €</w:t>
            </w:r>
          </w:p>
        </w:tc>
      </w:tr>
      <w:tr>
        <w:trPr>
          <w:cantSplit w:val="true"/>
        </w:trPr>
        <w:tc>
          <w:tcPr>
            <w:tcW w:w="4199" w:type="dxa"/>
            <w:tcBorders>
              <w:bottom w:val="single" w:sz="2" w:space="0" w:color="DDDDDD"/>
            </w:tcBorders>
          </w:tcPr>
          <w:p>
            <w:pPr>
              <w:pStyle w:val="Normal"/>
              <w:spacing w:lineRule="auto" w:line="252" w:before="0" w:after="0"/>
              <w:ind w:hanging="0"/>
              <w:rPr/>
            </w:pPr>
            <w:r>
              <w:rPr>
                <w:sz w:val="19"/>
                <w:szCs w:val="19"/>
              </w:rPr>
              <w:t>Lechuga, tomate, cebolla y pepinillo</w:t>
            </w:r>
          </w:p>
        </w:tc>
        <w:tc>
          <w:tcPr>
            <w:tcW w:w="2601" w:type="dxa"/>
            <w:tcBorders>
              <w:bottom w:val="single" w:sz="2" w:space="0" w:color="DDDDDD"/>
            </w:tcBorders>
          </w:tcPr>
          <w:p>
            <w:pPr>
              <w:pStyle w:val="Normal"/>
              <w:spacing w:lineRule="auto" w:line="252" w:before="0" w:after="0"/>
              <w:ind w:hanging="0"/>
              <w:rPr/>
            </w:pPr>
            <w:r>
              <w:rPr>
                <w:sz w:val="19"/>
                <w:szCs w:val="19"/>
              </w:rPr>
              <w:t>60 g</w:t>
            </w:r>
          </w:p>
        </w:tc>
        <w:tc>
          <w:tcPr>
            <w:tcW w:w="2226" w:type="dxa"/>
            <w:tcBorders>
              <w:bottom w:val="single" w:sz="2" w:space="0" w:color="DDDDDD"/>
            </w:tcBorders>
          </w:tcPr>
          <w:p>
            <w:pPr>
              <w:pStyle w:val="Normal"/>
              <w:spacing w:lineRule="auto" w:line="252" w:before="0" w:after="0"/>
              <w:ind w:hanging="0"/>
              <w:rPr/>
            </w:pPr>
            <w:r>
              <w:rPr>
                <w:sz w:val="19"/>
                <w:szCs w:val="19"/>
              </w:rPr>
              <w:t>0,22 €</w:t>
            </w:r>
          </w:p>
        </w:tc>
      </w:tr>
      <w:tr>
        <w:trPr>
          <w:cantSplit w:val="true"/>
        </w:trPr>
        <w:tc>
          <w:tcPr>
            <w:tcW w:w="4199" w:type="dxa"/>
            <w:tcBorders>
              <w:bottom w:val="single" w:sz="2" w:space="0" w:color="DDDDDD"/>
            </w:tcBorders>
          </w:tcPr>
          <w:p>
            <w:pPr>
              <w:pStyle w:val="Normal"/>
              <w:spacing w:lineRule="auto" w:line="252" w:before="0" w:after="0"/>
              <w:ind w:hanging="0"/>
              <w:rPr/>
            </w:pPr>
            <w:r>
              <w:rPr>
                <w:sz w:val="19"/>
                <w:szCs w:val="19"/>
              </w:rPr>
              <w:t>Salsa de la casa</w:t>
            </w:r>
          </w:p>
        </w:tc>
        <w:tc>
          <w:tcPr>
            <w:tcW w:w="2601" w:type="dxa"/>
            <w:tcBorders>
              <w:bottom w:val="single" w:sz="2" w:space="0" w:color="DDDDDD"/>
            </w:tcBorders>
          </w:tcPr>
          <w:p>
            <w:pPr>
              <w:pStyle w:val="Normal"/>
              <w:spacing w:lineRule="auto" w:line="252" w:before="0" w:after="0"/>
              <w:ind w:hanging="0"/>
              <w:rPr/>
            </w:pPr>
            <w:r>
              <w:rPr>
                <w:sz w:val="19"/>
                <w:szCs w:val="19"/>
              </w:rPr>
              <w:t>25 g</w:t>
            </w:r>
          </w:p>
        </w:tc>
        <w:tc>
          <w:tcPr>
            <w:tcW w:w="2226" w:type="dxa"/>
            <w:tcBorders>
              <w:bottom w:val="single" w:sz="2" w:space="0" w:color="DDDDDD"/>
            </w:tcBorders>
          </w:tcPr>
          <w:p>
            <w:pPr>
              <w:pStyle w:val="Normal"/>
              <w:spacing w:lineRule="auto" w:line="252" w:before="0" w:after="0"/>
              <w:ind w:hanging="0"/>
              <w:rPr/>
            </w:pPr>
            <w:r>
              <w:rPr>
                <w:sz w:val="19"/>
                <w:szCs w:val="19"/>
              </w:rPr>
              <w:t>0,12 €</w:t>
            </w:r>
          </w:p>
        </w:tc>
      </w:tr>
      <w:tr>
        <w:trPr>
          <w:cantSplit w:val="true"/>
        </w:trPr>
        <w:tc>
          <w:tcPr>
            <w:tcW w:w="4199" w:type="dxa"/>
            <w:tcBorders>
              <w:bottom w:val="single" w:sz="2" w:space="0" w:color="DDDDDD"/>
            </w:tcBorders>
          </w:tcPr>
          <w:p>
            <w:pPr>
              <w:pStyle w:val="Normal"/>
              <w:spacing w:lineRule="auto" w:line="252" w:before="0" w:after="0"/>
              <w:ind w:hanging="0"/>
              <w:rPr/>
            </w:pPr>
            <w:r>
              <w:rPr>
                <w:sz w:val="19"/>
                <w:szCs w:val="19"/>
              </w:rPr>
              <w:t>Patatas y aceite de fritura</w:t>
            </w:r>
          </w:p>
        </w:tc>
        <w:tc>
          <w:tcPr>
            <w:tcW w:w="2601" w:type="dxa"/>
            <w:tcBorders>
              <w:bottom w:val="single" w:sz="2" w:space="0" w:color="DDDDDD"/>
            </w:tcBorders>
          </w:tcPr>
          <w:p>
            <w:pPr>
              <w:pStyle w:val="Normal"/>
              <w:spacing w:lineRule="auto" w:line="252" w:before="0" w:after="0"/>
              <w:ind w:hanging="0"/>
              <w:rPr/>
            </w:pPr>
            <w:r>
              <w:rPr>
                <w:sz w:val="19"/>
                <w:szCs w:val="19"/>
              </w:rPr>
              <w:t>150 g</w:t>
            </w:r>
          </w:p>
        </w:tc>
        <w:tc>
          <w:tcPr>
            <w:tcW w:w="2226" w:type="dxa"/>
            <w:tcBorders>
              <w:bottom w:val="single" w:sz="2" w:space="0" w:color="DDDDDD"/>
            </w:tcBorders>
          </w:tcPr>
          <w:p>
            <w:pPr>
              <w:pStyle w:val="Normal"/>
              <w:spacing w:lineRule="auto" w:line="252" w:before="0" w:after="0"/>
              <w:ind w:hanging="0"/>
              <w:rPr/>
            </w:pPr>
            <w:r>
              <w:rPr>
                <w:sz w:val="19"/>
                <w:szCs w:val="19"/>
              </w:rPr>
              <w:t>0,38 €</w:t>
            </w:r>
          </w:p>
        </w:tc>
      </w:tr>
      <w:tr>
        <w:trPr>
          <w:cantSplit w:val="true"/>
        </w:trPr>
        <w:tc>
          <w:tcPr>
            <w:tcW w:w="4199" w:type="dxa"/>
            <w:tcBorders>
              <w:bottom w:val="single" w:sz="2" w:space="0" w:color="DDDDDD"/>
            </w:tcBorders>
          </w:tcPr>
          <w:p>
            <w:pPr>
              <w:pStyle w:val="Normal"/>
              <w:spacing w:lineRule="auto" w:line="252" w:before="0" w:after="0"/>
              <w:ind w:hanging="0"/>
              <w:rPr/>
            </w:pPr>
            <w:r>
              <w:rPr>
                <w:sz w:val="19"/>
                <w:szCs w:val="19"/>
              </w:rPr>
              <w:t>Envase y servilletas (para llevar)</w:t>
            </w:r>
          </w:p>
        </w:tc>
        <w:tc>
          <w:tcPr>
            <w:tcW w:w="2601" w:type="dxa"/>
            <w:tcBorders>
              <w:bottom w:val="single" w:sz="2" w:space="0" w:color="DDDDDD"/>
            </w:tcBorders>
          </w:tcPr>
          <w:p>
            <w:pPr>
              <w:pStyle w:val="Normal"/>
              <w:spacing w:lineRule="auto" w:line="252" w:before="0" w:after="0"/>
              <w:ind w:hanging="0"/>
              <w:rPr/>
            </w:pPr>
            <w:r>
              <w:rPr>
                <w:sz w:val="19"/>
                <w:szCs w:val="19"/>
              </w:rPr>
              <w:t>1 juego</w:t>
            </w:r>
          </w:p>
        </w:tc>
        <w:tc>
          <w:tcPr>
            <w:tcW w:w="2226" w:type="dxa"/>
            <w:tcBorders>
              <w:bottom w:val="single" w:sz="2" w:space="0" w:color="DDDDDD"/>
            </w:tcBorders>
          </w:tcPr>
          <w:p>
            <w:pPr>
              <w:pStyle w:val="Normal"/>
              <w:spacing w:lineRule="auto" w:line="252" w:before="0" w:after="0"/>
              <w:ind w:hanging="0"/>
              <w:rPr/>
            </w:pPr>
            <w:r>
              <w:rPr>
                <w:sz w:val="19"/>
                <w:szCs w:val="19"/>
              </w:rPr>
              <w:t>0,25 €</w:t>
            </w:r>
          </w:p>
        </w:tc>
      </w:tr>
      <w:tr>
        <w:trPr>
          <w:cantSplit w:val="true"/>
        </w:trPr>
        <w:tc>
          <w:tcPr>
            <w:tcW w:w="4199" w:type="dxa"/>
            <w:tcBorders>
              <w:bottom w:val="single" w:sz="2" w:space="0" w:color="DDDDDD"/>
            </w:tcBorders>
          </w:tcPr>
          <w:p>
            <w:pPr>
              <w:pStyle w:val="Normal"/>
              <w:spacing w:lineRule="auto" w:line="252" w:before="0" w:after="0"/>
              <w:ind w:hanging="0"/>
              <w:rPr/>
            </w:pPr>
            <w:r>
              <w:rPr>
                <w:sz w:val="19"/>
                <w:szCs w:val="19"/>
              </w:rPr>
              <w:t>Coste total</w:t>
            </w:r>
          </w:p>
        </w:tc>
        <w:tc>
          <w:tcPr>
            <w:tcW w:w="2601" w:type="dxa"/>
            <w:tcBorders>
              <w:bottom w:val="single" w:sz="2" w:space="0" w:color="DDDDDD"/>
            </w:tcBorders>
          </w:tcPr>
          <w:p>
            <w:pPr>
              <w:pStyle w:val="Normal"/>
              <w:spacing w:lineRule="auto" w:line="252" w:before="0" w:after="0"/>
              <w:ind w:hanging="0"/>
              <w:rPr/>
            </w:pPr>
            <w:r>
              <w:rPr/>
            </w:r>
          </w:p>
        </w:tc>
        <w:tc>
          <w:tcPr>
            <w:tcW w:w="2226" w:type="dxa"/>
            <w:tcBorders>
              <w:bottom w:val="single" w:sz="2" w:space="0" w:color="DDDDDD"/>
            </w:tcBorders>
          </w:tcPr>
          <w:p>
            <w:pPr>
              <w:pStyle w:val="Normal"/>
              <w:spacing w:lineRule="auto" w:line="252" w:before="0" w:after="0"/>
              <w:ind w:hanging="0"/>
              <w:rPr/>
            </w:pPr>
            <w:r>
              <w:rPr>
                <w:sz w:val="19"/>
                <w:szCs w:val="19"/>
              </w:rPr>
              <w:t>3,24 €</w:t>
            </w:r>
          </w:p>
        </w:tc>
      </w:tr>
      <w:tr>
        <w:trPr>
          <w:cantSplit w:val="true"/>
        </w:trPr>
        <w:tc>
          <w:tcPr>
            <w:tcW w:w="4199" w:type="dxa"/>
            <w:tcBorders>
              <w:bottom w:val="single" w:sz="6" w:space="0" w:color="808080"/>
            </w:tcBorders>
          </w:tcPr>
          <w:p>
            <w:pPr>
              <w:pStyle w:val="Normal"/>
              <w:spacing w:lineRule="auto" w:line="252" w:before="0" w:after="0"/>
              <w:ind w:hanging="0"/>
              <w:rPr/>
            </w:pPr>
            <w:r>
              <w:rPr>
                <w:sz w:val="19"/>
                <w:szCs w:val="19"/>
              </w:rPr>
              <w:t>Precio de venta (sin IVA)</w:t>
            </w:r>
          </w:p>
        </w:tc>
        <w:tc>
          <w:tcPr>
            <w:tcW w:w="2601" w:type="dxa"/>
            <w:tcBorders>
              <w:bottom w:val="single" w:sz="6" w:space="0" w:color="808080"/>
            </w:tcBorders>
          </w:tcPr>
          <w:p>
            <w:pPr>
              <w:pStyle w:val="Normal"/>
              <w:spacing w:lineRule="auto" w:line="252" w:before="0" w:after="0"/>
              <w:ind w:hanging="0"/>
              <w:rPr/>
            </w:pPr>
            <w:r>
              <w:rPr>
                <w:sz w:val="19"/>
                <w:szCs w:val="19"/>
              </w:rPr>
              <w:t>10,45 € (11,50 € con IVA)</w:t>
            </w:r>
          </w:p>
        </w:tc>
        <w:tc>
          <w:tcPr>
            <w:tcW w:w="2226" w:type="dxa"/>
            <w:tcBorders>
              <w:bottom w:val="single" w:sz="6" w:space="0" w:color="808080"/>
            </w:tcBorders>
          </w:tcPr>
          <w:p>
            <w:pPr>
              <w:pStyle w:val="Normal"/>
              <w:spacing w:lineRule="auto" w:line="252" w:before="0" w:after="0"/>
              <w:ind w:hanging="0"/>
              <w:rPr/>
            </w:pPr>
            <w:r>
              <w:rPr>
                <w:sz w:val="19"/>
                <w:szCs w:val="19"/>
              </w:rPr>
              <w:t>Coste del 31 %</w:t>
            </w:r>
          </w:p>
        </w:tc>
      </w:tr>
    </w:tbl>
    <w:p>
      <w:pPr>
        <w:pStyle w:val="Normal"/>
        <w:spacing w:lineRule="auto" w:line="276" w:before="80" w:after="240"/>
        <w:ind w:hanging="0"/>
        <w:rPr/>
      </w:pPr>
      <w:r>
        <w:rPr>
          <w:i/>
          <w:iCs/>
          <w:sz w:val="20"/>
          <w:szCs w:val="20"/>
        </w:rPr>
        <w:t>Nota.</w:t>
      </w:r>
      <w:r>
        <w:rPr>
          <w:sz w:val="20"/>
          <w:szCs w:val="20"/>
        </w:rPr>
        <w:t xml:space="preserve"> Elaboración propia con precios de mayorista del escenario (Makro España, 2026). El objetivo de la carta es un coste de producto medio entre el 28 % y el 33 %.</w:t>
      </w:r>
    </w:p>
    <w:p>
      <w:pPr>
        <w:pStyle w:val="Normal"/>
        <w:rPr/>
      </w:pPr>
      <w:r>
        <w:rPr/>
        <w:t xml:space="preserve">Aplicado a toda la carta, el coste de producto ronda el 32 % de las ventas, unos 14.400 euros al mes; los consumibles (papel térmico, envases, productos de limpieza) se cuentan aparte, en la tabla 15. Las compras se hacen dos veces por semana en el </w:t>
      </w:r>
      <w:r>
        <w:rPr>
          <w:i/>
          <w:iCs/>
        </w:rPr>
        <w:t>cash and carry</w:t>
      </w:r>
      <w:r>
        <w:rPr/>
        <w:t>, más la carne de una carnicería local y el pan de un obrador. El problema actual no es el precio, sino el control: sin un sistema que registre lo vendido plato a plato, el encargado compra de memoria, y la merma (producto que caduca o se tira) se estima en un 4 % de las compras. Es una de las cifras que el proyecto permitirá medir por primera vez.</w:t>
      </w:r>
    </w:p>
    <w:p>
      <w:pPr>
        <w:pStyle w:val="Normal"/>
        <w:keepNext w:val="true"/>
        <w:spacing w:lineRule="auto" w:line="480" w:before="240" w:after="0"/>
        <w:ind w:hanging="0"/>
        <w:rPr/>
      </w:pPr>
      <w:r>
        <w:rPr>
          <w:b/>
          <w:bCs/>
        </w:rPr>
        <w:t>Tabla 15</w:t>
      </w:r>
    </w:p>
    <w:p>
      <w:pPr>
        <w:pStyle w:val="Normal"/>
        <w:keepNext w:val="true"/>
        <w:spacing w:lineRule="auto" w:line="480" w:before="0" w:after="120"/>
        <w:ind w:hanging="0"/>
        <w:rPr/>
      </w:pPr>
      <w:r>
        <w:rPr>
          <w:i/>
          <w:iCs/>
        </w:rPr>
        <w:t>Suministros y otros gastos generales mensuales</w:t>
      </w:r>
    </w:p>
    <w:tbl>
      <w:tblPr>
        <w:tblW w:w="9026" w:type="dxa"/>
        <w:jc w:val="left"/>
        <w:tblInd w:w="0" w:type="dxa"/>
        <w:tblLayout w:type="fixed"/>
        <w:tblCellMar>
          <w:top w:w="60" w:type="dxa"/>
          <w:left w:w="100" w:type="dxa"/>
          <w:bottom w:w="60" w:type="dxa"/>
          <w:right w:w="100" w:type="dxa"/>
        </w:tblCellMar>
      </w:tblPr>
      <w:tblGrid>
        <w:gridCol w:w="2400"/>
        <w:gridCol w:w="1699"/>
        <w:gridCol w:w="4927"/>
      </w:tblGrid>
      <w:tr>
        <w:trPr>
          <w:tblHeader w:val="true"/>
          <w:cantSplit w:val="true"/>
        </w:trPr>
        <w:tc>
          <w:tcPr>
            <w:tcW w:w="240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Concepto</w:t>
            </w:r>
          </w:p>
        </w:tc>
        <w:tc>
          <w:tcPr>
            <w:tcW w:w="16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Importe al mes</w:t>
            </w:r>
          </w:p>
        </w:tc>
        <w:tc>
          <w:tcPr>
            <w:tcW w:w="4927"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Observación</w:t>
            </w:r>
          </w:p>
        </w:tc>
      </w:tr>
      <w:tr>
        <w:trPr>
          <w:cantSplit w:val="true"/>
        </w:trPr>
        <w:tc>
          <w:tcPr>
            <w:tcW w:w="2400" w:type="dxa"/>
            <w:tcBorders>
              <w:bottom w:val="single" w:sz="2" w:space="0" w:color="DDDDDD"/>
            </w:tcBorders>
          </w:tcPr>
          <w:p>
            <w:pPr>
              <w:pStyle w:val="Normal"/>
              <w:spacing w:lineRule="auto" w:line="252" w:before="0" w:after="0"/>
              <w:ind w:hanging="0"/>
              <w:rPr/>
            </w:pPr>
            <w:r>
              <w:rPr>
                <w:sz w:val="19"/>
                <w:szCs w:val="19"/>
              </w:rPr>
              <w:t>Electricidad</w:t>
            </w:r>
          </w:p>
        </w:tc>
        <w:tc>
          <w:tcPr>
            <w:tcW w:w="1699" w:type="dxa"/>
            <w:tcBorders>
              <w:bottom w:val="single" w:sz="2" w:space="0" w:color="DDDDDD"/>
            </w:tcBorders>
          </w:tcPr>
          <w:p>
            <w:pPr>
              <w:pStyle w:val="Normal"/>
              <w:spacing w:lineRule="auto" w:line="252" w:before="0" w:after="0"/>
              <w:ind w:hanging="0"/>
              <w:rPr/>
            </w:pPr>
            <w:r>
              <w:rPr>
                <w:sz w:val="19"/>
                <w:szCs w:val="19"/>
              </w:rPr>
              <w:t>1.500 €</w:t>
            </w:r>
          </w:p>
        </w:tc>
        <w:tc>
          <w:tcPr>
            <w:tcW w:w="4927" w:type="dxa"/>
            <w:tcBorders>
              <w:bottom w:val="single" w:sz="2" w:space="0" w:color="DDDDDD"/>
            </w:tcBorders>
          </w:tcPr>
          <w:p>
            <w:pPr>
              <w:pStyle w:val="Normal"/>
              <w:spacing w:lineRule="auto" w:line="252" w:before="0" w:after="0"/>
              <w:ind w:hanging="0"/>
              <w:rPr/>
            </w:pPr>
            <w:r>
              <w:rPr>
                <w:sz w:val="19"/>
                <w:szCs w:val="19"/>
              </w:rPr>
              <w:t>Plancha, freidoras, cámaras frigoríficas y aire acondicionado; es el suministro que más pesa</w:t>
            </w:r>
          </w:p>
        </w:tc>
      </w:tr>
      <w:tr>
        <w:trPr>
          <w:cantSplit w:val="true"/>
        </w:trPr>
        <w:tc>
          <w:tcPr>
            <w:tcW w:w="2400" w:type="dxa"/>
            <w:tcBorders>
              <w:bottom w:val="single" w:sz="2" w:space="0" w:color="DDDDDD"/>
            </w:tcBorders>
          </w:tcPr>
          <w:p>
            <w:pPr>
              <w:pStyle w:val="Normal"/>
              <w:spacing w:lineRule="auto" w:line="252" w:before="0" w:after="0"/>
              <w:ind w:hanging="0"/>
              <w:rPr/>
            </w:pPr>
            <w:r>
              <w:rPr>
                <w:sz w:val="19"/>
                <w:szCs w:val="19"/>
              </w:rPr>
              <w:t>Gas</w:t>
            </w:r>
          </w:p>
        </w:tc>
        <w:tc>
          <w:tcPr>
            <w:tcW w:w="1699" w:type="dxa"/>
            <w:tcBorders>
              <w:bottom w:val="single" w:sz="2" w:space="0" w:color="DDDDDD"/>
            </w:tcBorders>
          </w:tcPr>
          <w:p>
            <w:pPr>
              <w:pStyle w:val="Normal"/>
              <w:spacing w:lineRule="auto" w:line="252" w:before="0" w:after="0"/>
              <w:ind w:hanging="0"/>
              <w:rPr/>
            </w:pPr>
            <w:r>
              <w:rPr>
                <w:sz w:val="19"/>
                <w:szCs w:val="19"/>
              </w:rPr>
              <w:t>280 €</w:t>
            </w:r>
          </w:p>
        </w:tc>
        <w:tc>
          <w:tcPr>
            <w:tcW w:w="4927" w:type="dxa"/>
            <w:tcBorders>
              <w:bottom w:val="single" w:sz="2" w:space="0" w:color="DDDDDD"/>
            </w:tcBorders>
          </w:tcPr>
          <w:p>
            <w:pPr>
              <w:pStyle w:val="Normal"/>
              <w:spacing w:lineRule="auto" w:line="252" w:before="0" w:after="0"/>
              <w:ind w:hanging="0"/>
              <w:rPr/>
            </w:pPr>
            <w:r>
              <w:rPr>
                <w:sz w:val="19"/>
                <w:szCs w:val="19"/>
              </w:rPr>
              <w:t>Plancha y fogones</w:t>
            </w:r>
          </w:p>
        </w:tc>
      </w:tr>
      <w:tr>
        <w:trPr>
          <w:cantSplit w:val="true"/>
        </w:trPr>
        <w:tc>
          <w:tcPr>
            <w:tcW w:w="2400" w:type="dxa"/>
            <w:tcBorders>
              <w:bottom w:val="single" w:sz="2" w:space="0" w:color="DDDDDD"/>
            </w:tcBorders>
          </w:tcPr>
          <w:p>
            <w:pPr>
              <w:pStyle w:val="Normal"/>
              <w:spacing w:lineRule="auto" w:line="252" w:before="0" w:after="0"/>
              <w:ind w:hanging="0"/>
              <w:rPr/>
            </w:pPr>
            <w:r>
              <w:rPr>
                <w:sz w:val="19"/>
                <w:szCs w:val="19"/>
              </w:rPr>
              <w:t>Agua</w:t>
            </w:r>
          </w:p>
        </w:tc>
        <w:tc>
          <w:tcPr>
            <w:tcW w:w="1699" w:type="dxa"/>
            <w:tcBorders>
              <w:bottom w:val="single" w:sz="2" w:space="0" w:color="DDDDDD"/>
            </w:tcBorders>
          </w:tcPr>
          <w:p>
            <w:pPr>
              <w:pStyle w:val="Normal"/>
              <w:spacing w:lineRule="auto" w:line="252" w:before="0" w:after="0"/>
              <w:ind w:hanging="0"/>
              <w:rPr/>
            </w:pPr>
            <w:r>
              <w:rPr>
                <w:sz w:val="19"/>
                <w:szCs w:val="19"/>
              </w:rPr>
              <w:t>130 €</w:t>
            </w:r>
          </w:p>
        </w:tc>
        <w:tc>
          <w:tcPr>
            <w:tcW w:w="4927" w:type="dxa"/>
            <w:tcBorders>
              <w:bottom w:val="single" w:sz="2" w:space="0" w:color="DDDDDD"/>
            </w:tcBorders>
          </w:tcPr>
          <w:p>
            <w:pPr>
              <w:pStyle w:val="Normal"/>
              <w:spacing w:lineRule="auto" w:line="252" w:before="0" w:after="0"/>
              <w:ind w:hanging="0"/>
              <w:rPr/>
            </w:pPr>
            <w:r>
              <w:rPr>
                <w:sz w:val="19"/>
                <w:szCs w:val="19"/>
              </w:rPr>
              <w:t>Consumo y tasa de alcantarillado</w:t>
            </w:r>
          </w:p>
        </w:tc>
      </w:tr>
      <w:tr>
        <w:trPr>
          <w:cantSplit w:val="true"/>
        </w:trPr>
        <w:tc>
          <w:tcPr>
            <w:tcW w:w="2400" w:type="dxa"/>
            <w:tcBorders>
              <w:bottom w:val="single" w:sz="2" w:space="0" w:color="DDDDDD"/>
            </w:tcBorders>
          </w:tcPr>
          <w:p>
            <w:pPr>
              <w:pStyle w:val="Normal"/>
              <w:spacing w:lineRule="auto" w:line="252" w:before="0" w:after="0"/>
              <w:ind w:hanging="0"/>
              <w:rPr/>
            </w:pPr>
            <w:r>
              <w:rPr>
                <w:sz w:val="19"/>
                <w:szCs w:val="19"/>
              </w:rPr>
              <w:t>Internet y telefonía</w:t>
            </w:r>
          </w:p>
        </w:tc>
        <w:tc>
          <w:tcPr>
            <w:tcW w:w="1699" w:type="dxa"/>
            <w:tcBorders>
              <w:bottom w:val="single" w:sz="2" w:space="0" w:color="DDDDDD"/>
            </w:tcBorders>
          </w:tcPr>
          <w:p>
            <w:pPr>
              <w:pStyle w:val="Normal"/>
              <w:spacing w:lineRule="auto" w:line="252" w:before="0" w:after="0"/>
              <w:ind w:hanging="0"/>
              <w:rPr/>
            </w:pPr>
            <w:r>
              <w:rPr>
                <w:sz w:val="19"/>
                <w:szCs w:val="19"/>
              </w:rPr>
              <w:t>60 €</w:t>
            </w:r>
          </w:p>
        </w:tc>
        <w:tc>
          <w:tcPr>
            <w:tcW w:w="4927" w:type="dxa"/>
            <w:tcBorders>
              <w:bottom w:val="single" w:sz="2" w:space="0" w:color="DDDDDD"/>
            </w:tcBorders>
          </w:tcPr>
          <w:p>
            <w:pPr>
              <w:pStyle w:val="Normal"/>
              <w:spacing w:lineRule="auto" w:line="252" w:before="0" w:after="0"/>
              <w:ind w:hanging="0"/>
              <w:rPr/>
            </w:pPr>
            <w:r>
              <w:rPr>
                <w:sz w:val="19"/>
                <w:szCs w:val="19"/>
              </w:rPr>
              <w:t>Fibra de 600 Mb/s y línea fija de la operadora</w:t>
            </w:r>
          </w:p>
        </w:tc>
      </w:tr>
      <w:tr>
        <w:trPr>
          <w:cantSplit w:val="true"/>
        </w:trPr>
        <w:tc>
          <w:tcPr>
            <w:tcW w:w="2400" w:type="dxa"/>
            <w:tcBorders>
              <w:bottom w:val="single" w:sz="2" w:space="0" w:color="DDDDDD"/>
            </w:tcBorders>
          </w:tcPr>
          <w:p>
            <w:pPr>
              <w:pStyle w:val="Normal"/>
              <w:spacing w:lineRule="auto" w:line="252" w:before="0" w:after="0"/>
              <w:ind w:hanging="0"/>
              <w:rPr/>
            </w:pPr>
            <w:r>
              <w:rPr>
                <w:sz w:val="19"/>
                <w:szCs w:val="19"/>
              </w:rPr>
              <w:t>Seguros</w:t>
            </w:r>
          </w:p>
        </w:tc>
        <w:tc>
          <w:tcPr>
            <w:tcW w:w="1699" w:type="dxa"/>
            <w:tcBorders>
              <w:bottom w:val="single" w:sz="2" w:space="0" w:color="DDDDDD"/>
            </w:tcBorders>
          </w:tcPr>
          <w:p>
            <w:pPr>
              <w:pStyle w:val="Normal"/>
              <w:spacing w:lineRule="auto" w:line="252" w:before="0" w:after="0"/>
              <w:ind w:hanging="0"/>
              <w:rPr/>
            </w:pPr>
            <w:r>
              <w:rPr>
                <w:sz w:val="19"/>
                <w:szCs w:val="19"/>
              </w:rPr>
              <w:t>150 €</w:t>
            </w:r>
          </w:p>
        </w:tc>
        <w:tc>
          <w:tcPr>
            <w:tcW w:w="4927" w:type="dxa"/>
            <w:tcBorders>
              <w:bottom w:val="single" w:sz="2" w:space="0" w:color="DDDDDD"/>
            </w:tcBorders>
          </w:tcPr>
          <w:p>
            <w:pPr>
              <w:pStyle w:val="Normal"/>
              <w:spacing w:lineRule="auto" w:line="252" w:before="0" w:after="0"/>
              <w:ind w:hanging="0"/>
              <w:rPr/>
            </w:pPr>
            <w:r>
              <w:rPr>
                <w:sz w:val="19"/>
                <w:szCs w:val="19"/>
              </w:rPr>
              <w:t>Responsabilidad civil, contenido y pérdida de beneficios</w:t>
            </w:r>
          </w:p>
        </w:tc>
      </w:tr>
      <w:tr>
        <w:trPr>
          <w:cantSplit w:val="true"/>
        </w:trPr>
        <w:tc>
          <w:tcPr>
            <w:tcW w:w="2400" w:type="dxa"/>
            <w:tcBorders>
              <w:bottom w:val="single" w:sz="2" w:space="0" w:color="DDDDDD"/>
            </w:tcBorders>
          </w:tcPr>
          <w:p>
            <w:pPr>
              <w:pStyle w:val="Normal"/>
              <w:spacing w:lineRule="auto" w:line="252" w:before="0" w:after="0"/>
              <w:ind w:hanging="0"/>
              <w:rPr/>
            </w:pPr>
            <w:r>
              <w:rPr>
                <w:sz w:val="19"/>
                <w:szCs w:val="19"/>
              </w:rPr>
              <w:t>Gestoría</w:t>
            </w:r>
          </w:p>
        </w:tc>
        <w:tc>
          <w:tcPr>
            <w:tcW w:w="1699" w:type="dxa"/>
            <w:tcBorders>
              <w:bottom w:val="single" w:sz="2" w:space="0" w:color="DDDDDD"/>
            </w:tcBorders>
          </w:tcPr>
          <w:p>
            <w:pPr>
              <w:pStyle w:val="Normal"/>
              <w:spacing w:lineRule="auto" w:line="252" w:before="0" w:after="0"/>
              <w:ind w:hanging="0"/>
              <w:rPr/>
            </w:pPr>
            <w:r>
              <w:rPr>
                <w:sz w:val="19"/>
                <w:szCs w:val="19"/>
              </w:rPr>
              <w:t>180 €</w:t>
            </w:r>
          </w:p>
        </w:tc>
        <w:tc>
          <w:tcPr>
            <w:tcW w:w="4927" w:type="dxa"/>
            <w:tcBorders>
              <w:bottom w:val="single" w:sz="2" w:space="0" w:color="DDDDDD"/>
            </w:tcBorders>
          </w:tcPr>
          <w:p>
            <w:pPr>
              <w:pStyle w:val="Normal"/>
              <w:spacing w:lineRule="auto" w:line="252" w:before="0" w:after="0"/>
              <w:ind w:hanging="0"/>
              <w:rPr/>
            </w:pPr>
            <w:r>
              <w:rPr>
                <w:sz w:val="19"/>
                <w:szCs w:val="19"/>
              </w:rPr>
              <w:t>Contabilidad, nóminas e impuestos</w:t>
            </w:r>
          </w:p>
        </w:tc>
      </w:tr>
      <w:tr>
        <w:trPr>
          <w:cantSplit w:val="true"/>
        </w:trPr>
        <w:tc>
          <w:tcPr>
            <w:tcW w:w="2400" w:type="dxa"/>
            <w:tcBorders>
              <w:bottom w:val="single" w:sz="2" w:space="0" w:color="DDDDDD"/>
            </w:tcBorders>
          </w:tcPr>
          <w:p>
            <w:pPr>
              <w:pStyle w:val="Normal"/>
              <w:spacing w:lineRule="auto" w:line="252" w:before="0" w:after="0"/>
              <w:ind w:hanging="0"/>
              <w:rPr/>
            </w:pPr>
            <w:r>
              <w:rPr>
                <w:sz w:val="19"/>
                <w:szCs w:val="19"/>
              </w:rPr>
              <w:t>Mantenimiento y limpieza</w:t>
            </w:r>
          </w:p>
        </w:tc>
        <w:tc>
          <w:tcPr>
            <w:tcW w:w="1699" w:type="dxa"/>
            <w:tcBorders>
              <w:bottom w:val="single" w:sz="2" w:space="0" w:color="DDDDDD"/>
            </w:tcBorders>
          </w:tcPr>
          <w:p>
            <w:pPr>
              <w:pStyle w:val="Normal"/>
              <w:spacing w:lineRule="auto" w:line="252" w:before="0" w:after="0"/>
              <w:ind w:hanging="0"/>
              <w:rPr/>
            </w:pPr>
            <w:r>
              <w:rPr>
                <w:sz w:val="19"/>
                <w:szCs w:val="19"/>
              </w:rPr>
              <w:t>450 €</w:t>
            </w:r>
          </w:p>
        </w:tc>
        <w:tc>
          <w:tcPr>
            <w:tcW w:w="4927" w:type="dxa"/>
            <w:tcBorders>
              <w:bottom w:val="single" w:sz="2" w:space="0" w:color="DDDDDD"/>
            </w:tcBorders>
          </w:tcPr>
          <w:p>
            <w:pPr>
              <w:pStyle w:val="Normal"/>
              <w:spacing w:lineRule="auto" w:line="252" w:before="0" w:after="0"/>
              <w:ind w:hanging="0"/>
              <w:rPr/>
            </w:pPr>
            <w:r>
              <w:rPr>
                <w:sz w:val="19"/>
                <w:szCs w:val="19"/>
              </w:rPr>
              <w:t>Extracción de humos, extintores, control de plagas, productos de limpieza</w:t>
            </w:r>
          </w:p>
        </w:tc>
      </w:tr>
      <w:tr>
        <w:trPr>
          <w:cantSplit w:val="true"/>
        </w:trPr>
        <w:tc>
          <w:tcPr>
            <w:tcW w:w="2400" w:type="dxa"/>
            <w:tcBorders>
              <w:bottom w:val="single" w:sz="2" w:space="0" w:color="DDDDDD"/>
            </w:tcBorders>
          </w:tcPr>
          <w:p>
            <w:pPr>
              <w:pStyle w:val="Normal"/>
              <w:spacing w:lineRule="auto" w:line="252" w:before="0" w:after="0"/>
              <w:ind w:hanging="0"/>
              <w:rPr/>
            </w:pPr>
            <w:r>
              <w:rPr>
                <w:sz w:val="19"/>
                <w:szCs w:val="19"/>
              </w:rPr>
              <w:t>Consumibles de caja</w:t>
            </w:r>
          </w:p>
        </w:tc>
        <w:tc>
          <w:tcPr>
            <w:tcW w:w="1699" w:type="dxa"/>
            <w:tcBorders>
              <w:bottom w:val="single" w:sz="2" w:space="0" w:color="DDDDDD"/>
            </w:tcBorders>
          </w:tcPr>
          <w:p>
            <w:pPr>
              <w:pStyle w:val="Normal"/>
              <w:spacing w:lineRule="auto" w:line="252" w:before="0" w:after="0"/>
              <w:ind w:hanging="0"/>
              <w:rPr/>
            </w:pPr>
            <w:r>
              <w:rPr>
                <w:sz w:val="19"/>
                <w:szCs w:val="19"/>
              </w:rPr>
              <w:t>80 €</w:t>
            </w:r>
          </w:p>
        </w:tc>
        <w:tc>
          <w:tcPr>
            <w:tcW w:w="4927" w:type="dxa"/>
            <w:tcBorders>
              <w:bottom w:val="single" w:sz="2" w:space="0" w:color="DDDDDD"/>
            </w:tcBorders>
          </w:tcPr>
          <w:p>
            <w:pPr>
              <w:pStyle w:val="Normal"/>
              <w:spacing w:lineRule="auto" w:line="252" w:before="0" w:after="0"/>
              <w:ind w:hanging="0"/>
              <w:rPr/>
            </w:pPr>
            <w:r>
              <w:rPr>
                <w:sz w:val="19"/>
                <w:szCs w:val="19"/>
              </w:rPr>
              <w:t>Papel térmico y rollos del datáfono</w:t>
            </w:r>
          </w:p>
        </w:tc>
      </w:tr>
      <w:tr>
        <w:trPr>
          <w:cantSplit w:val="true"/>
        </w:trPr>
        <w:tc>
          <w:tcPr>
            <w:tcW w:w="2400" w:type="dxa"/>
            <w:tcBorders>
              <w:bottom w:val="single" w:sz="2" w:space="0" w:color="DDDDDD"/>
            </w:tcBorders>
          </w:tcPr>
          <w:p>
            <w:pPr>
              <w:pStyle w:val="Normal"/>
              <w:spacing w:lineRule="auto" w:line="252" w:before="0" w:after="0"/>
              <w:ind w:hanging="0"/>
              <w:rPr/>
            </w:pPr>
            <w:r>
              <w:rPr>
                <w:sz w:val="19"/>
                <w:szCs w:val="19"/>
              </w:rPr>
              <w:t>Software y licencias</w:t>
            </w:r>
          </w:p>
        </w:tc>
        <w:tc>
          <w:tcPr>
            <w:tcW w:w="1699" w:type="dxa"/>
            <w:tcBorders>
              <w:bottom w:val="single" w:sz="2" w:space="0" w:color="DDDDDD"/>
            </w:tcBorders>
          </w:tcPr>
          <w:p>
            <w:pPr>
              <w:pStyle w:val="Normal"/>
              <w:spacing w:lineRule="auto" w:line="252" w:before="0" w:after="0"/>
              <w:ind w:hanging="0"/>
              <w:rPr/>
            </w:pPr>
            <w:r>
              <w:rPr>
                <w:sz w:val="19"/>
                <w:szCs w:val="19"/>
              </w:rPr>
              <w:t>0 €</w:t>
            </w:r>
          </w:p>
        </w:tc>
        <w:tc>
          <w:tcPr>
            <w:tcW w:w="4927" w:type="dxa"/>
            <w:tcBorders>
              <w:bottom w:val="single" w:sz="2" w:space="0" w:color="DDDDDD"/>
            </w:tcBorders>
          </w:tcPr>
          <w:p>
            <w:pPr>
              <w:pStyle w:val="Normal"/>
              <w:spacing w:lineRule="auto" w:line="252" w:before="0" w:after="0"/>
              <w:ind w:hanging="0"/>
              <w:rPr/>
            </w:pPr>
            <w:r>
              <w:rPr>
                <w:sz w:val="19"/>
                <w:szCs w:val="19"/>
              </w:rPr>
              <w:t>El TPV actual tiene licencia perpetua; el proyecto no añadirá cuotas</w:t>
            </w:r>
          </w:p>
        </w:tc>
      </w:tr>
      <w:tr>
        <w:trPr>
          <w:cantSplit w:val="true"/>
        </w:trPr>
        <w:tc>
          <w:tcPr>
            <w:tcW w:w="2400" w:type="dxa"/>
            <w:tcBorders>
              <w:bottom w:val="single" w:sz="2" w:space="0" w:color="DDDDDD"/>
            </w:tcBorders>
          </w:tcPr>
          <w:p>
            <w:pPr>
              <w:pStyle w:val="Normal"/>
              <w:spacing w:lineRule="auto" w:line="252" w:before="0" w:after="0"/>
              <w:ind w:hanging="0"/>
              <w:rPr/>
            </w:pPr>
            <w:r>
              <w:rPr>
                <w:sz w:val="19"/>
                <w:szCs w:val="19"/>
              </w:rPr>
              <w:t>Envases para llevar</w:t>
            </w:r>
          </w:p>
        </w:tc>
        <w:tc>
          <w:tcPr>
            <w:tcW w:w="1699" w:type="dxa"/>
            <w:tcBorders>
              <w:bottom w:val="single" w:sz="2" w:space="0" w:color="DDDDDD"/>
            </w:tcBorders>
          </w:tcPr>
          <w:p>
            <w:pPr>
              <w:pStyle w:val="Normal"/>
              <w:spacing w:lineRule="auto" w:line="252" w:before="0" w:after="0"/>
              <w:ind w:hanging="0"/>
              <w:rPr/>
            </w:pPr>
            <w:r>
              <w:rPr>
                <w:sz w:val="19"/>
                <w:szCs w:val="19"/>
              </w:rPr>
              <w:t>770 €</w:t>
            </w:r>
          </w:p>
        </w:tc>
        <w:tc>
          <w:tcPr>
            <w:tcW w:w="4927" w:type="dxa"/>
            <w:tcBorders>
              <w:bottom w:val="single" w:sz="2" w:space="0" w:color="DDDDDD"/>
            </w:tcBorders>
          </w:tcPr>
          <w:p>
            <w:pPr>
              <w:pStyle w:val="Normal"/>
              <w:spacing w:lineRule="auto" w:line="252" w:before="0" w:after="0"/>
              <w:ind w:hanging="0"/>
              <w:rPr/>
            </w:pPr>
            <w:r>
              <w:rPr>
                <w:sz w:val="19"/>
                <w:szCs w:val="19"/>
              </w:rPr>
              <w:t>Cartón y papel; sin plástico de un solo uso (Ley 7/2022)</w:t>
            </w:r>
          </w:p>
        </w:tc>
      </w:tr>
      <w:tr>
        <w:trPr>
          <w:cantSplit w:val="true"/>
        </w:trPr>
        <w:tc>
          <w:tcPr>
            <w:tcW w:w="2400" w:type="dxa"/>
            <w:tcBorders>
              <w:bottom w:val="single" w:sz="6" w:space="0" w:color="808080"/>
            </w:tcBorders>
          </w:tcPr>
          <w:p>
            <w:pPr>
              <w:pStyle w:val="Normal"/>
              <w:spacing w:lineRule="auto" w:line="252" w:before="0" w:after="0"/>
              <w:ind w:hanging="0"/>
              <w:rPr/>
            </w:pPr>
            <w:r>
              <w:rPr>
                <w:sz w:val="19"/>
                <w:szCs w:val="19"/>
              </w:rPr>
              <w:t>Total</w:t>
            </w:r>
          </w:p>
        </w:tc>
        <w:tc>
          <w:tcPr>
            <w:tcW w:w="1699" w:type="dxa"/>
            <w:tcBorders>
              <w:bottom w:val="single" w:sz="6" w:space="0" w:color="808080"/>
            </w:tcBorders>
          </w:tcPr>
          <w:p>
            <w:pPr>
              <w:pStyle w:val="Normal"/>
              <w:spacing w:lineRule="auto" w:line="252" w:before="0" w:after="0"/>
              <w:ind w:hanging="0"/>
              <w:rPr/>
            </w:pPr>
            <w:r>
              <w:rPr>
                <w:sz w:val="19"/>
                <w:szCs w:val="19"/>
              </w:rPr>
              <w:t>3.600 €</w:t>
            </w:r>
          </w:p>
        </w:tc>
        <w:tc>
          <w:tcPr>
            <w:tcW w:w="4927" w:type="dxa"/>
            <w:tcBorders>
              <w:bottom w:val="single" w:sz="6" w:space="0" w:color="808080"/>
            </w:tcBorders>
          </w:tcPr>
          <w:p>
            <w:pPr>
              <w:pStyle w:val="Normal"/>
              <w:spacing w:lineRule="auto" w:line="252" w:before="0" w:after="0"/>
              <w:ind w:hanging="0"/>
              <w:rPr/>
            </w:pPr>
            <w:r>
              <w:rPr>
                <w:sz w:val="19"/>
                <w:szCs w:val="19"/>
              </w:rPr>
              <w:t>8 % de las ventas</w:t>
            </w:r>
          </w:p>
        </w:tc>
      </w:tr>
    </w:tbl>
    <w:p>
      <w:pPr>
        <w:pStyle w:val="Normal"/>
        <w:spacing w:lineRule="auto" w:line="276" w:before="80" w:after="240"/>
        <w:ind w:hanging="0"/>
        <w:rPr/>
      </w:pPr>
      <w:r>
        <w:rPr>
          <w:i/>
          <w:iCs/>
          <w:sz w:val="20"/>
          <w:szCs w:val="20"/>
        </w:rPr>
        <w:t>Nota.</w:t>
      </w:r>
      <w:r>
        <w:rPr>
          <w:sz w:val="20"/>
          <w:szCs w:val="20"/>
        </w:rPr>
        <w:t xml:space="preserve"> Elaboración propia a partir del escenario.</w:t>
      </w:r>
    </w:p>
    <w:p>
      <w:pPr>
        <w:pStyle w:val="Heading2"/>
        <w:rPr/>
      </w:pPr>
      <w:bookmarkStart w:id="16" w:name="__RefHeading___Toc1990_3382994897"/>
      <w:bookmarkEnd w:id="16"/>
      <w:r>
        <w:rPr/>
        <w:t>4.4. Locales de alquiler</w:t>
      </w:r>
    </w:p>
    <w:p>
      <w:pPr>
        <w:pStyle w:val="Normal"/>
        <w:rPr/>
      </w:pPr>
      <w:r>
        <w:rPr/>
        <w:t>Burglar King no es propietaria de su local: lo alquila. El mercado de locales comerciales de Burjassot es asequible en comparación con València ciudad. Fotocasa publica 35 locales en alquiler en el municipio (Fotocasa, 2026) y los anuncios sitúan el alquiler entre 3 y 14 euros por metro cuadrado al mes, con una media de 7,05 euros en idealista (idealista, 2026): los locales pequeños en las zonas más comerciales (Concòrdia, L'Eixereta, el entorno de la estación de metro) están entre 9 y 13 euros por metro cuadrado, y los grandes, de más de 200 metros, bajan a 3-6 euros (tabla 16). Son precios de oferta, no de cierre, y conviene tomarlos como orientación.</w:t>
      </w:r>
    </w:p>
    <w:p>
      <w:pPr>
        <w:pStyle w:val="Normal"/>
        <w:keepNext w:val="true"/>
        <w:spacing w:lineRule="auto" w:line="480" w:before="240" w:after="0"/>
        <w:ind w:hanging="0"/>
        <w:rPr/>
      </w:pPr>
      <w:r>
        <w:rPr>
          <w:b/>
          <w:bCs/>
        </w:rPr>
        <w:t>Tabla 16</w:t>
      </w:r>
    </w:p>
    <w:p>
      <w:pPr>
        <w:pStyle w:val="Normal"/>
        <w:keepNext w:val="true"/>
        <w:spacing w:lineRule="auto" w:line="480" w:before="0" w:after="120"/>
        <w:ind w:hanging="0"/>
        <w:rPr/>
      </w:pPr>
      <w:r>
        <w:rPr>
          <w:i/>
          <w:iCs/>
        </w:rPr>
        <w:t>Locales comerciales en alquiler en Burjassot (octubre de 2026)</w:t>
      </w:r>
    </w:p>
    <w:tbl>
      <w:tblPr>
        <w:tblW w:w="9026" w:type="dxa"/>
        <w:jc w:val="left"/>
        <w:tblInd w:w="0" w:type="dxa"/>
        <w:tblLayout w:type="fixed"/>
        <w:tblCellMar>
          <w:top w:w="60" w:type="dxa"/>
          <w:left w:w="100" w:type="dxa"/>
          <w:bottom w:w="60" w:type="dxa"/>
          <w:right w:w="100" w:type="dxa"/>
        </w:tblCellMar>
      </w:tblPr>
      <w:tblGrid>
        <w:gridCol w:w="2699"/>
        <w:gridCol w:w="1301"/>
        <w:gridCol w:w="1699"/>
        <w:gridCol w:w="1400"/>
        <w:gridCol w:w="1927"/>
      </w:tblGrid>
      <w:tr>
        <w:trPr>
          <w:tblHeader w:val="true"/>
          <w:cantSplit w:val="true"/>
        </w:trPr>
        <w:tc>
          <w:tcPr>
            <w:tcW w:w="26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Zona</w:t>
            </w:r>
          </w:p>
        </w:tc>
        <w:tc>
          <w:tcPr>
            <w:tcW w:w="1301"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Superficie</w:t>
            </w:r>
          </w:p>
        </w:tc>
        <w:tc>
          <w:tcPr>
            <w:tcW w:w="16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Alquiler mensual</w:t>
            </w:r>
          </w:p>
        </w:tc>
        <w:tc>
          <w:tcPr>
            <w:tcW w:w="140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w:t>
            </w:r>
            <w:r>
              <w:rPr>
                <w:b/>
                <w:bCs/>
                <w:sz w:val="19"/>
                <w:szCs w:val="19"/>
              </w:rPr>
              <w:t>/m² al mes</w:t>
            </w:r>
          </w:p>
        </w:tc>
        <w:tc>
          <w:tcPr>
            <w:tcW w:w="1927"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Fuente</w:t>
            </w:r>
          </w:p>
        </w:tc>
      </w:tr>
      <w:tr>
        <w:trPr>
          <w:cantSplit w:val="true"/>
        </w:trPr>
        <w:tc>
          <w:tcPr>
            <w:tcW w:w="2699" w:type="dxa"/>
            <w:tcBorders>
              <w:bottom w:val="single" w:sz="2" w:space="0" w:color="DDDDDD"/>
            </w:tcBorders>
          </w:tcPr>
          <w:p>
            <w:pPr>
              <w:pStyle w:val="Normal"/>
              <w:spacing w:lineRule="auto" w:line="252" w:before="0" w:after="0"/>
              <w:ind w:hanging="0"/>
              <w:rPr/>
            </w:pPr>
            <w:r>
              <w:rPr>
                <w:sz w:val="19"/>
                <w:szCs w:val="19"/>
              </w:rPr>
              <w:t>Zona Cantereria (Mestre Plasència)</w:t>
            </w:r>
          </w:p>
        </w:tc>
        <w:tc>
          <w:tcPr>
            <w:tcW w:w="1301" w:type="dxa"/>
            <w:tcBorders>
              <w:bottom w:val="single" w:sz="2" w:space="0" w:color="DDDDDD"/>
            </w:tcBorders>
          </w:tcPr>
          <w:p>
            <w:pPr>
              <w:pStyle w:val="Normal"/>
              <w:spacing w:lineRule="auto" w:line="252" w:before="0" w:after="0"/>
              <w:ind w:hanging="0"/>
              <w:rPr/>
            </w:pPr>
            <w:r>
              <w:rPr>
                <w:sz w:val="19"/>
                <w:szCs w:val="19"/>
              </w:rPr>
              <w:t>128 m²</w:t>
            </w:r>
          </w:p>
        </w:tc>
        <w:tc>
          <w:tcPr>
            <w:tcW w:w="1699" w:type="dxa"/>
            <w:tcBorders>
              <w:bottom w:val="single" w:sz="2" w:space="0" w:color="DDDDDD"/>
            </w:tcBorders>
          </w:tcPr>
          <w:p>
            <w:pPr>
              <w:pStyle w:val="Normal"/>
              <w:spacing w:lineRule="auto" w:line="252" w:before="0" w:after="0"/>
              <w:ind w:hanging="0"/>
              <w:rPr/>
            </w:pPr>
            <w:r>
              <w:rPr>
                <w:sz w:val="19"/>
                <w:szCs w:val="19"/>
              </w:rPr>
              <w:t>900 €</w:t>
            </w:r>
          </w:p>
        </w:tc>
        <w:tc>
          <w:tcPr>
            <w:tcW w:w="1400" w:type="dxa"/>
            <w:tcBorders>
              <w:bottom w:val="single" w:sz="2" w:space="0" w:color="DDDDDD"/>
            </w:tcBorders>
          </w:tcPr>
          <w:p>
            <w:pPr>
              <w:pStyle w:val="Normal"/>
              <w:spacing w:lineRule="auto" w:line="252" w:before="0" w:after="0"/>
              <w:ind w:hanging="0"/>
              <w:rPr/>
            </w:pPr>
            <w:r>
              <w:rPr>
                <w:sz w:val="19"/>
                <w:szCs w:val="19"/>
              </w:rPr>
              <w:t>7,03 €</w:t>
            </w:r>
          </w:p>
        </w:tc>
        <w:tc>
          <w:tcPr>
            <w:tcW w:w="1927" w:type="dxa"/>
            <w:tcBorders>
              <w:bottom w:val="single" w:sz="2" w:space="0" w:color="DDDDDD"/>
            </w:tcBorders>
          </w:tcPr>
          <w:p>
            <w:pPr>
              <w:pStyle w:val="Normal"/>
              <w:spacing w:lineRule="auto" w:line="252" w:before="0" w:after="0"/>
              <w:ind w:hanging="0"/>
              <w:rPr/>
            </w:pPr>
            <w:r>
              <w:rPr>
                <w:sz w:val="19"/>
                <w:szCs w:val="19"/>
              </w:rPr>
              <w:t>idealista (2026)</w:t>
            </w:r>
          </w:p>
        </w:tc>
      </w:tr>
      <w:tr>
        <w:trPr>
          <w:cantSplit w:val="true"/>
        </w:trPr>
        <w:tc>
          <w:tcPr>
            <w:tcW w:w="2699" w:type="dxa"/>
            <w:tcBorders>
              <w:bottom w:val="single" w:sz="2" w:space="0" w:color="DDDDDD"/>
            </w:tcBorders>
          </w:tcPr>
          <w:p>
            <w:pPr>
              <w:pStyle w:val="Normal"/>
              <w:spacing w:lineRule="auto" w:line="252" w:before="0" w:after="0"/>
              <w:ind w:hanging="0"/>
              <w:rPr/>
            </w:pPr>
            <w:r>
              <w:rPr>
                <w:sz w:val="19"/>
                <w:szCs w:val="19"/>
              </w:rPr>
              <w:t>Centro</w:t>
            </w:r>
          </w:p>
        </w:tc>
        <w:tc>
          <w:tcPr>
            <w:tcW w:w="1301" w:type="dxa"/>
            <w:tcBorders>
              <w:bottom w:val="single" w:sz="2" w:space="0" w:color="DDDDDD"/>
            </w:tcBorders>
          </w:tcPr>
          <w:p>
            <w:pPr>
              <w:pStyle w:val="Normal"/>
              <w:spacing w:lineRule="auto" w:line="252" w:before="0" w:after="0"/>
              <w:ind w:hanging="0"/>
              <w:rPr/>
            </w:pPr>
            <w:r>
              <w:rPr>
                <w:sz w:val="19"/>
                <w:szCs w:val="19"/>
              </w:rPr>
              <w:t>90 m²</w:t>
            </w:r>
          </w:p>
        </w:tc>
        <w:tc>
          <w:tcPr>
            <w:tcW w:w="1699" w:type="dxa"/>
            <w:tcBorders>
              <w:bottom w:val="single" w:sz="2" w:space="0" w:color="DDDDDD"/>
            </w:tcBorders>
          </w:tcPr>
          <w:p>
            <w:pPr>
              <w:pStyle w:val="Normal"/>
              <w:spacing w:lineRule="auto" w:line="252" w:before="0" w:after="0"/>
              <w:ind w:hanging="0"/>
              <w:rPr/>
            </w:pPr>
            <w:r>
              <w:rPr>
                <w:sz w:val="19"/>
                <w:szCs w:val="19"/>
              </w:rPr>
              <w:t>700 €</w:t>
            </w:r>
          </w:p>
        </w:tc>
        <w:tc>
          <w:tcPr>
            <w:tcW w:w="1400" w:type="dxa"/>
            <w:tcBorders>
              <w:bottom w:val="single" w:sz="2" w:space="0" w:color="DDDDDD"/>
            </w:tcBorders>
          </w:tcPr>
          <w:p>
            <w:pPr>
              <w:pStyle w:val="Normal"/>
              <w:spacing w:lineRule="auto" w:line="252" w:before="0" w:after="0"/>
              <w:ind w:hanging="0"/>
              <w:rPr/>
            </w:pPr>
            <w:r>
              <w:rPr>
                <w:sz w:val="19"/>
                <w:szCs w:val="19"/>
              </w:rPr>
              <w:t>7,78 €</w:t>
            </w:r>
          </w:p>
        </w:tc>
        <w:tc>
          <w:tcPr>
            <w:tcW w:w="1927" w:type="dxa"/>
            <w:tcBorders>
              <w:bottom w:val="single" w:sz="2" w:space="0" w:color="DDDDDD"/>
            </w:tcBorders>
          </w:tcPr>
          <w:p>
            <w:pPr>
              <w:pStyle w:val="Normal"/>
              <w:spacing w:lineRule="auto" w:line="252" w:before="0" w:after="0"/>
              <w:ind w:hanging="0"/>
              <w:rPr/>
            </w:pPr>
            <w:r>
              <w:rPr>
                <w:sz w:val="19"/>
                <w:szCs w:val="19"/>
              </w:rPr>
              <w:t>idealista (2026)</w:t>
            </w:r>
          </w:p>
        </w:tc>
      </w:tr>
      <w:tr>
        <w:trPr>
          <w:cantSplit w:val="true"/>
        </w:trPr>
        <w:tc>
          <w:tcPr>
            <w:tcW w:w="2699" w:type="dxa"/>
            <w:tcBorders>
              <w:bottom w:val="single" w:sz="2" w:space="0" w:color="DDDDDD"/>
            </w:tcBorders>
          </w:tcPr>
          <w:p>
            <w:pPr>
              <w:pStyle w:val="Normal"/>
              <w:spacing w:lineRule="auto" w:line="252" w:before="0" w:after="0"/>
              <w:ind w:hanging="0"/>
              <w:rPr/>
            </w:pPr>
            <w:r>
              <w:rPr>
                <w:sz w:val="19"/>
                <w:szCs w:val="19"/>
              </w:rPr>
              <w:t>L'Eixereta</w:t>
            </w:r>
          </w:p>
        </w:tc>
        <w:tc>
          <w:tcPr>
            <w:tcW w:w="1301" w:type="dxa"/>
            <w:tcBorders>
              <w:bottom w:val="single" w:sz="2" w:space="0" w:color="DDDDDD"/>
            </w:tcBorders>
          </w:tcPr>
          <w:p>
            <w:pPr>
              <w:pStyle w:val="Normal"/>
              <w:spacing w:lineRule="auto" w:line="252" w:before="0" w:after="0"/>
              <w:ind w:hanging="0"/>
              <w:rPr/>
            </w:pPr>
            <w:r>
              <w:rPr>
                <w:sz w:val="19"/>
                <w:szCs w:val="19"/>
              </w:rPr>
              <w:t>60 m²</w:t>
            </w:r>
          </w:p>
        </w:tc>
        <w:tc>
          <w:tcPr>
            <w:tcW w:w="1699" w:type="dxa"/>
            <w:tcBorders>
              <w:bottom w:val="single" w:sz="2" w:space="0" w:color="DDDDDD"/>
            </w:tcBorders>
          </w:tcPr>
          <w:p>
            <w:pPr>
              <w:pStyle w:val="Normal"/>
              <w:spacing w:lineRule="auto" w:line="252" w:before="0" w:after="0"/>
              <w:ind w:hanging="0"/>
              <w:rPr/>
            </w:pPr>
            <w:r>
              <w:rPr>
                <w:sz w:val="19"/>
                <w:szCs w:val="19"/>
              </w:rPr>
              <w:t>800 €</w:t>
            </w:r>
          </w:p>
        </w:tc>
        <w:tc>
          <w:tcPr>
            <w:tcW w:w="1400" w:type="dxa"/>
            <w:tcBorders>
              <w:bottom w:val="single" w:sz="2" w:space="0" w:color="DDDDDD"/>
            </w:tcBorders>
          </w:tcPr>
          <w:p>
            <w:pPr>
              <w:pStyle w:val="Normal"/>
              <w:spacing w:lineRule="auto" w:line="252" w:before="0" w:after="0"/>
              <w:ind w:hanging="0"/>
              <w:rPr/>
            </w:pPr>
            <w:r>
              <w:rPr>
                <w:sz w:val="19"/>
                <w:szCs w:val="19"/>
              </w:rPr>
              <w:t>13,33 €</w:t>
            </w:r>
          </w:p>
        </w:tc>
        <w:tc>
          <w:tcPr>
            <w:tcW w:w="1927" w:type="dxa"/>
            <w:tcBorders>
              <w:bottom w:val="single" w:sz="2" w:space="0" w:color="DDDDDD"/>
            </w:tcBorders>
          </w:tcPr>
          <w:p>
            <w:pPr>
              <w:pStyle w:val="Normal"/>
              <w:spacing w:lineRule="auto" w:line="252" w:before="0" w:after="0"/>
              <w:ind w:hanging="0"/>
              <w:rPr/>
            </w:pPr>
            <w:r>
              <w:rPr>
                <w:sz w:val="19"/>
                <w:szCs w:val="19"/>
              </w:rPr>
              <w:t>Habitaclia (2026)</w:t>
            </w:r>
          </w:p>
        </w:tc>
      </w:tr>
      <w:tr>
        <w:trPr>
          <w:cantSplit w:val="true"/>
        </w:trPr>
        <w:tc>
          <w:tcPr>
            <w:tcW w:w="2699" w:type="dxa"/>
            <w:tcBorders>
              <w:bottom w:val="single" w:sz="2" w:space="0" w:color="DDDDDD"/>
            </w:tcBorders>
          </w:tcPr>
          <w:p>
            <w:pPr>
              <w:pStyle w:val="Normal"/>
              <w:spacing w:lineRule="auto" w:line="252" w:before="0" w:after="0"/>
              <w:ind w:hanging="0"/>
              <w:rPr/>
            </w:pPr>
            <w:r>
              <w:rPr>
                <w:sz w:val="19"/>
                <w:szCs w:val="19"/>
              </w:rPr>
              <w:t>L'Eixereta</w:t>
            </w:r>
          </w:p>
        </w:tc>
        <w:tc>
          <w:tcPr>
            <w:tcW w:w="1301" w:type="dxa"/>
            <w:tcBorders>
              <w:bottom w:val="single" w:sz="2" w:space="0" w:color="DDDDDD"/>
            </w:tcBorders>
          </w:tcPr>
          <w:p>
            <w:pPr>
              <w:pStyle w:val="Normal"/>
              <w:spacing w:lineRule="auto" w:line="252" w:before="0" w:after="0"/>
              <w:ind w:hanging="0"/>
              <w:rPr/>
            </w:pPr>
            <w:r>
              <w:rPr>
                <w:sz w:val="19"/>
                <w:szCs w:val="19"/>
              </w:rPr>
              <w:t>180 m²</w:t>
            </w:r>
          </w:p>
        </w:tc>
        <w:tc>
          <w:tcPr>
            <w:tcW w:w="1699" w:type="dxa"/>
            <w:tcBorders>
              <w:bottom w:val="single" w:sz="2" w:space="0" w:color="DDDDDD"/>
            </w:tcBorders>
          </w:tcPr>
          <w:p>
            <w:pPr>
              <w:pStyle w:val="Normal"/>
              <w:spacing w:lineRule="auto" w:line="252" w:before="0" w:after="0"/>
              <w:ind w:hanging="0"/>
              <w:rPr/>
            </w:pPr>
            <w:r>
              <w:rPr>
                <w:sz w:val="19"/>
                <w:szCs w:val="19"/>
              </w:rPr>
              <w:t>500 €</w:t>
            </w:r>
          </w:p>
        </w:tc>
        <w:tc>
          <w:tcPr>
            <w:tcW w:w="1400" w:type="dxa"/>
            <w:tcBorders>
              <w:bottom w:val="single" w:sz="2" w:space="0" w:color="DDDDDD"/>
            </w:tcBorders>
          </w:tcPr>
          <w:p>
            <w:pPr>
              <w:pStyle w:val="Normal"/>
              <w:spacing w:lineRule="auto" w:line="252" w:before="0" w:after="0"/>
              <w:ind w:hanging="0"/>
              <w:rPr/>
            </w:pPr>
            <w:r>
              <w:rPr>
                <w:sz w:val="19"/>
                <w:szCs w:val="19"/>
              </w:rPr>
              <w:t>2,78 €</w:t>
            </w:r>
          </w:p>
        </w:tc>
        <w:tc>
          <w:tcPr>
            <w:tcW w:w="1927" w:type="dxa"/>
            <w:tcBorders>
              <w:bottom w:val="single" w:sz="2" w:space="0" w:color="DDDDDD"/>
            </w:tcBorders>
          </w:tcPr>
          <w:p>
            <w:pPr>
              <w:pStyle w:val="Normal"/>
              <w:spacing w:lineRule="auto" w:line="252" w:before="0" w:after="0"/>
              <w:ind w:hanging="0"/>
              <w:rPr/>
            </w:pPr>
            <w:r>
              <w:rPr>
                <w:sz w:val="19"/>
                <w:szCs w:val="19"/>
              </w:rPr>
              <w:t>Habitaclia (2026)</w:t>
            </w:r>
          </w:p>
        </w:tc>
      </w:tr>
      <w:tr>
        <w:trPr>
          <w:cantSplit w:val="true"/>
        </w:trPr>
        <w:tc>
          <w:tcPr>
            <w:tcW w:w="2699" w:type="dxa"/>
            <w:tcBorders>
              <w:bottom w:val="single" w:sz="2" w:space="0" w:color="DDDDDD"/>
            </w:tcBorders>
          </w:tcPr>
          <w:p>
            <w:pPr>
              <w:pStyle w:val="Normal"/>
              <w:spacing w:lineRule="auto" w:line="252" w:before="0" w:after="0"/>
              <w:ind w:hanging="0"/>
              <w:rPr/>
            </w:pPr>
            <w:r>
              <w:rPr>
                <w:sz w:val="19"/>
                <w:szCs w:val="19"/>
              </w:rPr>
              <w:t>Burjassot</w:t>
            </w:r>
          </w:p>
        </w:tc>
        <w:tc>
          <w:tcPr>
            <w:tcW w:w="1301" w:type="dxa"/>
            <w:tcBorders>
              <w:bottom w:val="single" w:sz="2" w:space="0" w:color="DDDDDD"/>
            </w:tcBorders>
          </w:tcPr>
          <w:p>
            <w:pPr>
              <w:pStyle w:val="Normal"/>
              <w:spacing w:lineRule="auto" w:line="252" w:before="0" w:after="0"/>
              <w:ind w:hanging="0"/>
              <w:rPr/>
            </w:pPr>
            <w:r>
              <w:rPr>
                <w:sz w:val="19"/>
                <w:szCs w:val="19"/>
              </w:rPr>
              <w:t>65 m²</w:t>
            </w:r>
          </w:p>
        </w:tc>
        <w:tc>
          <w:tcPr>
            <w:tcW w:w="1699" w:type="dxa"/>
            <w:tcBorders>
              <w:bottom w:val="single" w:sz="2" w:space="0" w:color="DDDDDD"/>
            </w:tcBorders>
          </w:tcPr>
          <w:p>
            <w:pPr>
              <w:pStyle w:val="Normal"/>
              <w:spacing w:lineRule="auto" w:line="252" w:before="0" w:after="0"/>
              <w:ind w:hanging="0"/>
              <w:rPr/>
            </w:pPr>
            <w:r>
              <w:rPr>
                <w:sz w:val="19"/>
                <w:szCs w:val="19"/>
              </w:rPr>
              <w:t>490 €</w:t>
            </w:r>
          </w:p>
        </w:tc>
        <w:tc>
          <w:tcPr>
            <w:tcW w:w="1400" w:type="dxa"/>
            <w:tcBorders>
              <w:bottom w:val="single" w:sz="2" w:space="0" w:color="DDDDDD"/>
            </w:tcBorders>
          </w:tcPr>
          <w:p>
            <w:pPr>
              <w:pStyle w:val="Normal"/>
              <w:spacing w:lineRule="auto" w:line="252" w:before="0" w:after="0"/>
              <w:ind w:hanging="0"/>
              <w:rPr/>
            </w:pPr>
            <w:r>
              <w:rPr>
                <w:sz w:val="19"/>
                <w:szCs w:val="19"/>
              </w:rPr>
              <w:t>7,54 €</w:t>
            </w:r>
          </w:p>
        </w:tc>
        <w:tc>
          <w:tcPr>
            <w:tcW w:w="1927" w:type="dxa"/>
            <w:tcBorders>
              <w:bottom w:val="single" w:sz="2" w:space="0" w:color="DDDDDD"/>
            </w:tcBorders>
          </w:tcPr>
          <w:p>
            <w:pPr>
              <w:pStyle w:val="Normal"/>
              <w:spacing w:lineRule="auto" w:line="252" w:before="0" w:after="0"/>
              <w:ind w:hanging="0"/>
              <w:rPr/>
            </w:pPr>
            <w:r>
              <w:rPr>
                <w:sz w:val="19"/>
                <w:szCs w:val="19"/>
              </w:rPr>
              <w:t>Nuroa (2026)</w:t>
            </w:r>
          </w:p>
        </w:tc>
      </w:tr>
      <w:tr>
        <w:trPr>
          <w:cantSplit w:val="true"/>
        </w:trPr>
        <w:tc>
          <w:tcPr>
            <w:tcW w:w="2699" w:type="dxa"/>
            <w:tcBorders>
              <w:bottom w:val="single" w:sz="2" w:space="0" w:color="DDDDDD"/>
            </w:tcBorders>
          </w:tcPr>
          <w:p>
            <w:pPr>
              <w:pStyle w:val="Normal"/>
              <w:spacing w:lineRule="auto" w:line="252" w:before="0" w:after="0"/>
              <w:ind w:hanging="0"/>
              <w:rPr/>
            </w:pPr>
            <w:r>
              <w:rPr>
                <w:sz w:val="19"/>
                <w:szCs w:val="19"/>
              </w:rPr>
              <w:t>Burjassot</w:t>
            </w:r>
          </w:p>
        </w:tc>
        <w:tc>
          <w:tcPr>
            <w:tcW w:w="1301" w:type="dxa"/>
            <w:tcBorders>
              <w:bottom w:val="single" w:sz="2" w:space="0" w:color="DDDDDD"/>
            </w:tcBorders>
          </w:tcPr>
          <w:p>
            <w:pPr>
              <w:pStyle w:val="Normal"/>
              <w:spacing w:lineRule="auto" w:line="252" w:before="0" w:after="0"/>
              <w:ind w:hanging="0"/>
              <w:rPr/>
            </w:pPr>
            <w:r>
              <w:rPr>
                <w:sz w:val="19"/>
                <w:szCs w:val="19"/>
              </w:rPr>
              <w:t>146 m²</w:t>
            </w:r>
          </w:p>
        </w:tc>
        <w:tc>
          <w:tcPr>
            <w:tcW w:w="1699" w:type="dxa"/>
            <w:tcBorders>
              <w:bottom w:val="single" w:sz="2" w:space="0" w:color="DDDDDD"/>
            </w:tcBorders>
          </w:tcPr>
          <w:p>
            <w:pPr>
              <w:pStyle w:val="Normal"/>
              <w:spacing w:lineRule="auto" w:line="252" w:before="0" w:after="0"/>
              <w:ind w:hanging="0"/>
              <w:rPr/>
            </w:pPr>
            <w:r>
              <w:rPr>
                <w:sz w:val="19"/>
                <w:szCs w:val="19"/>
              </w:rPr>
              <w:t>1.000 €</w:t>
            </w:r>
          </w:p>
        </w:tc>
        <w:tc>
          <w:tcPr>
            <w:tcW w:w="1400" w:type="dxa"/>
            <w:tcBorders>
              <w:bottom w:val="single" w:sz="2" w:space="0" w:color="DDDDDD"/>
            </w:tcBorders>
          </w:tcPr>
          <w:p>
            <w:pPr>
              <w:pStyle w:val="Normal"/>
              <w:spacing w:lineRule="auto" w:line="252" w:before="0" w:after="0"/>
              <w:ind w:hanging="0"/>
              <w:rPr/>
            </w:pPr>
            <w:r>
              <w:rPr>
                <w:sz w:val="19"/>
                <w:szCs w:val="19"/>
              </w:rPr>
              <w:t>6,85 €</w:t>
            </w:r>
          </w:p>
        </w:tc>
        <w:tc>
          <w:tcPr>
            <w:tcW w:w="1927" w:type="dxa"/>
            <w:tcBorders>
              <w:bottom w:val="single" w:sz="2" w:space="0" w:color="DDDDDD"/>
            </w:tcBorders>
          </w:tcPr>
          <w:p>
            <w:pPr>
              <w:pStyle w:val="Normal"/>
              <w:spacing w:lineRule="auto" w:line="252" w:before="0" w:after="0"/>
              <w:ind w:hanging="0"/>
              <w:rPr/>
            </w:pPr>
            <w:r>
              <w:rPr>
                <w:sz w:val="19"/>
                <w:szCs w:val="19"/>
              </w:rPr>
              <w:t>Nuroa (2026)</w:t>
            </w:r>
          </w:p>
        </w:tc>
      </w:tr>
      <w:tr>
        <w:trPr>
          <w:cantSplit w:val="true"/>
        </w:trPr>
        <w:tc>
          <w:tcPr>
            <w:tcW w:w="2699" w:type="dxa"/>
            <w:tcBorders>
              <w:bottom w:val="single" w:sz="2" w:space="0" w:color="DDDDDD"/>
            </w:tcBorders>
          </w:tcPr>
          <w:p>
            <w:pPr>
              <w:pStyle w:val="Normal"/>
              <w:spacing w:lineRule="auto" w:line="252" w:before="0" w:after="0"/>
              <w:ind w:hanging="0"/>
              <w:rPr/>
            </w:pPr>
            <w:r>
              <w:rPr>
                <w:sz w:val="19"/>
                <w:szCs w:val="19"/>
              </w:rPr>
              <w:t>El Castell (centro)</w:t>
            </w:r>
          </w:p>
        </w:tc>
        <w:tc>
          <w:tcPr>
            <w:tcW w:w="1301" w:type="dxa"/>
            <w:tcBorders>
              <w:bottom w:val="single" w:sz="2" w:space="0" w:color="DDDDDD"/>
            </w:tcBorders>
          </w:tcPr>
          <w:p>
            <w:pPr>
              <w:pStyle w:val="Normal"/>
              <w:spacing w:lineRule="auto" w:line="252" w:before="0" w:after="0"/>
              <w:ind w:hanging="0"/>
              <w:rPr/>
            </w:pPr>
            <w:r>
              <w:rPr>
                <w:sz w:val="19"/>
                <w:szCs w:val="19"/>
              </w:rPr>
              <w:t>81 m²</w:t>
            </w:r>
          </w:p>
        </w:tc>
        <w:tc>
          <w:tcPr>
            <w:tcW w:w="1699" w:type="dxa"/>
            <w:tcBorders>
              <w:bottom w:val="single" w:sz="2" w:space="0" w:color="DDDDDD"/>
            </w:tcBorders>
          </w:tcPr>
          <w:p>
            <w:pPr>
              <w:pStyle w:val="Normal"/>
              <w:spacing w:lineRule="auto" w:line="252" w:before="0" w:after="0"/>
              <w:ind w:hanging="0"/>
              <w:rPr/>
            </w:pPr>
            <w:r>
              <w:rPr>
                <w:sz w:val="19"/>
                <w:szCs w:val="19"/>
              </w:rPr>
              <w:t>650 €</w:t>
            </w:r>
          </w:p>
        </w:tc>
        <w:tc>
          <w:tcPr>
            <w:tcW w:w="1400" w:type="dxa"/>
            <w:tcBorders>
              <w:bottom w:val="single" w:sz="2" w:space="0" w:color="DDDDDD"/>
            </w:tcBorders>
          </w:tcPr>
          <w:p>
            <w:pPr>
              <w:pStyle w:val="Normal"/>
              <w:spacing w:lineRule="auto" w:line="252" w:before="0" w:after="0"/>
              <w:ind w:hanging="0"/>
              <w:rPr/>
            </w:pPr>
            <w:r>
              <w:rPr>
                <w:sz w:val="19"/>
                <w:szCs w:val="19"/>
              </w:rPr>
              <w:t>8,02 €</w:t>
            </w:r>
          </w:p>
        </w:tc>
        <w:tc>
          <w:tcPr>
            <w:tcW w:w="1927" w:type="dxa"/>
            <w:tcBorders>
              <w:bottom w:val="single" w:sz="2" w:space="0" w:color="DDDDDD"/>
            </w:tcBorders>
          </w:tcPr>
          <w:p>
            <w:pPr>
              <w:pStyle w:val="Normal"/>
              <w:spacing w:lineRule="auto" w:line="252" w:before="0" w:after="0"/>
              <w:ind w:hanging="0"/>
              <w:rPr/>
            </w:pPr>
            <w:r>
              <w:rPr>
                <w:sz w:val="19"/>
                <w:szCs w:val="19"/>
              </w:rPr>
              <w:t>Fotocasa (2026)</w:t>
            </w:r>
          </w:p>
        </w:tc>
      </w:tr>
      <w:tr>
        <w:trPr>
          <w:cantSplit w:val="true"/>
        </w:trPr>
        <w:tc>
          <w:tcPr>
            <w:tcW w:w="2699" w:type="dxa"/>
            <w:tcBorders>
              <w:bottom w:val="single" w:sz="2" w:space="0" w:color="DDDDDD"/>
            </w:tcBorders>
          </w:tcPr>
          <w:p>
            <w:pPr>
              <w:pStyle w:val="Normal"/>
              <w:spacing w:lineRule="auto" w:line="252" w:before="0" w:after="0"/>
              <w:ind w:hanging="0"/>
              <w:rPr/>
            </w:pPr>
            <w:r>
              <w:rPr>
                <w:sz w:val="19"/>
                <w:szCs w:val="19"/>
              </w:rPr>
              <w:t>Zona del campus universitario</w:t>
            </w:r>
          </w:p>
        </w:tc>
        <w:tc>
          <w:tcPr>
            <w:tcW w:w="1301" w:type="dxa"/>
            <w:tcBorders>
              <w:bottom w:val="single" w:sz="2" w:space="0" w:color="DDDDDD"/>
            </w:tcBorders>
          </w:tcPr>
          <w:p>
            <w:pPr>
              <w:pStyle w:val="Normal"/>
              <w:spacing w:lineRule="auto" w:line="252" w:before="0" w:after="0"/>
              <w:ind w:hanging="0"/>
              <w:rPr/>
            </w:pPr>
            <w:r>
              <w:rPr>
                <w:sz w:val="19"/>
                <w:szCs w:val="19"/>
              </w:rPr>
              <w:t>40 m²</w:t>
            </w:r>
          </w:p>
        </w:tc>
        <w:tc>
          <w:tcPr>
            <w:tcW w:w="1699" w:type="dxa"/>
            <w:tcBorders>
              <w:bottom w:val="single" w:sz="2" w:space="0" w:color="DDDDDD"/>
            </w:tcBorders>
          </w:tcPr>
          <w:p>
            <w:pPr>
              <w:pStyle w:val="Normal"/>
              <w:spacing w:lineRule="auto" w:line="252" w:before="0" w:after="0"/>
              <w:ind w:hanging="0"/>
              <w:rPr/>
            </w:pPr>
            <w:r>
              <w:rPr>
                <w:sz w:val="19"/>
                <w:szCs w:val="19"/>
              </w:rPr>
              <w:t>550 €</w:t>
            </w:r>
          </w:p>
        </w:tc>
        <w:tc>
          <w:tcPr>
            <w:tcW w:w="1400" w:type="dxa"/>
            <w:tcBorders>
              <w:bottom w:val="single" w:sz="2" w:space="0" w:color="DDDDDD"/>
            </w:tcBorders>
          </w:tcPr>
          <w:p>
            <w:pPr>
              <w:pStyle w:val="Normal"/>
              <w:spacing w:lineRule="auto" w:line="252" w:before="0" w:after="0"/>
              <w:ind w:hanging="0"/>
              <w:rPr/>
            </w:pPr>
            <w:r>
              <w:rPr>
                <w:sz w:val="19"/>
                <w:szCs w:val="19"/>
              </w:rPr>
              <w:t>13,75 €</w:t>
            </w:r>
          </w:p>
        </w:tc>
        <w:tc>
          <w:tcPr>
            <w:tcW w:w="1927" w:type="dxa"/>
            <w:tcBorders>
              <w:bottom w:val="single" w:sz="2" w:space="0" w:color="DDDDDD"/>
            </w:tcBorders>
          </w:tcPr>
          <w:p>
            <w:pPr>
              <w:pStyle w:val="Normal"/>
              <w:spacing w:lineRule="auto" w:line="252" w:before="0" w:after="0"/>
              <w:ind w:hanging="0"/>
              <w:rPr/>
            </w:pPr>
            <w:r>
              <w:rPr>
                <w:sz w:val="19"/>
                <w:szCs w:val="19"/>
              </w:rPr>
              <w:t>Fotocasa (2026)</w:t>
            </w:r>
          </w:p>
        </w:tc>
      </w:tr>
      <w:tr>
        <w:trPr>
          <w:cantSplit w:val="true"/>
        </w:trPr>
        <w:tc>
          <w:tcPr>
            <w:tcW w:w="2699" w:type="dxa"/>
            <w:tcBorders>
              <w:bottom w:val="single" w:sz="6" w:space="0" w:color="808080"/>
            </w:tcBorders>
          </w:tcPr>
          <w:p>
            <w:pPr>
              <w:pStyle w:val="Normal"/>
              <w:spacing w:lineRule="auto" w:line="252" w:before="0" w:after="0"/>
              <w:ind w:hanging="0"/>
              <w:rPr/>
            </w:pPr>
            <w:r>
              <w:rPr>
                <w:sz w:val="19"/>
                <w:szCs w:val="19"/>
              </w:rPr>
              <w:t>Empalme</w:t>
            </w:r>
          </w:p>
        </w:tc>
        <w:tc>
          <w:tcPr>
            <w:tcW w:w="1301" w:type="dxa"/>
            <w:tcBorders>
              <w:bottom w:val="single" w:sz="6" w:space="0" w:color="808080"/>
            </w:tcBorders>
          </w:tcPr>
          <w:p>
            <w:pPr>
              <w:pStyle w:val="Normal"/>
              <w:spacing w:lineRule="auto" w:line="252" w:before="0" w:after="0"/>
              <w:ind w:hanging="0"/>
              <w:rPr/>
            </w:pPr>
            <w:r>
              <w:rPr>
                <w:sz w:val="19"/>
                <w:szCs w:val="19"/>
              </w:rPr>
              <w:t>280 m²</w:t>
            </w:r>
          </w:p>
        </w:tc>
        <w:tc>
          <w:tcPr>
            <w:tcW w:w="1699" w:type="dxa"/>
            <w:tcBorders>
              <w:bottom w:val="single" w:sz="6" w:space="0" w:color="808080"/>
            </w:tcBorders>
          </w:tcPr>
          <w:p>
            <w:pPr>
              <w:pStyle w:val="Normal"/>
              <w:spacing w:lineRule="auto" w:line="252" w:before="0" w:after="0"/>
              <w:ind w:hanging="0"/>
              <w:rPr/>
            </w:pPr>
            <w:r>
              <w:rPr>
                <w:sz w:val="19"/>
                <w:szCs w:val="19"/>
              </w:rPr>
              <w:t>1.250 €</w:t>
            </w:r>
          </w:p>
        </w:tc>
        <w:tc>
          <w:tcPr>
            <w:tcW w:w="1400" w:type="dxa"/>
            <w:tcBorders>
              <w:bottom w:val="single" w:sz="6" w:space="0" w:color="808080"/>
            </w:tcBorders>
          </w:tcPr>
          <w:p>
            <w:pPr>
              <w:pStyle w:val="Normal"/>
              <w:spacing w:lineRule="auto" w:line="252" w:before="0" w:after="0"/>
              <w:ind w:hanging="0"/>
              <w:rPr/>
            </w:pPr>
            <w:r>
              <w:rPr>
                <w:sz w:val="19"/>
                <w:szCs w:val="19"/>
              </w:rPr>
              <w:t>4,46 €</w:t>
            </w:r>
          </w:p>
        </w:tc>
        <w:tc>
          <w:tcPr>
            <w:tcW w:w="1927" w:type="dxa"/>
            <w:tcBorders>
              <w:bottom w:val="single" w:sz="6" w:space="0" w:color="808080"/>
            </w:tcBorders>
          </w:tcPr>
          <w:p>
            <w:pPr>
              <w:pStyle w:val="Normal"/>
              <w:spacing w:lineRule="auto" w:line="252" w:before="0" w:after="0"/>
              <w:ind w:hanging="0"/>
              <w:rPr/>
            </w:pPr>
            <w:r>
              <w:rPr>
                <w:sz w:val="19"/>
                <w:szCs w:val="19"/>
              </w:rPr>
              <w:t>Fotocasa (2026)</w:t>
            </w:r>
          </w:p>
        </w:tc>
      </w:tr>
    </w:tbl>
    <w:p>
      <w:pPr>
        <w:pStyle w:val="Normal"/>
        <w:spacing w:lineRule="auto" w:line="276" w:before="80" w:after="240"/>
        <w:ind w:hanging="0"/>
        <w:rPr/>
      </w:pPr>
      <w:r>
        <w:rPr>
          <w:i/>
          <w:iCs/>
          <w:sz w:val="20"/>
          <w:szCs w:val="20"/>
        </w:rPr>
        <w:t>Nota.</w:t>
      </w:r>
      <w:r>
        <w:rPr>
          <w:sz w:val="20"/>
          <w:szCs w:val="20"/>
        </w:rPr>
        <w:t xml:space="preserve"> Anuncios consultados el 15 de octubre de 2026 en los portales citados; el alquiler mensual de los dos primeros se ha calculado a partir del precio unitario publicado, y el precio por metro de los de Fotocasa a partir del alquiler publicado.</w:t>
      </w:r>
    </w:p>
    <w:p>
      <w:pPr>
        <w:pStyle w:val="Normal"/>
        <w:rPr/>
      </w:pPr>
      <w:r>
        <w:rPr/>
        <w:t>El local de Burglar King, de 120 metros cuadrados en planta baja con salida de humos ya instalada, se alquila por 1.000 euros mensuales más IVA, unos 8,30 euros por metro cuadrado, en la media de la zona. Supone el 2 % de las ventas, muy por debajo del 10 % que las guías del sector consideran el límite (Hostelería Madrid, s.f.). El contrato es de arrendamiento para uso distinto de vivienda, regulado por la Ley 29/1994 de Arrendamientos Urbanos, con una duración pactada de diez años, actualización anual con el IPC y una fianza de dos mensualidades, como exige su artículo 36. A ello se suman las obligaciones municipales: la licencia de actividad y apertura, la tasa de ocupación de la vía pública por las cuatro mesas de terraza y el impuesto de bienes inmuebles, que el contrato repercute al inquilino; en conjunto, unos 400 euros al mes.</w:t>
      </w:r>
    </w:p>
    <w:p>
      <w:pPr>
        <w:pStyle w:val="Normal"/>
        <w:rPr/>
      </w:pPr>
      <w:r>
        <w:rPr/>
        <w:t>Para el proyecto tecnológico, el local impone dos condiciones. La primera es que cualquier obra (canalizaciones para el cableado de red, tomas en la sala y la cocina, armario de comunicaciones) necesita la autorización del propietario y debe poder retirarse al final del contrato, lo que favorece soluciones con pocos cables y puntos de acceso wifi profesionales. La segunda es que el equipamiento de red debe salir del almacén, donde hoy comparte balda con la cámara frigorífica, a un lugar fresco y seco.</w:t>
      </w:r>
      <w:r>
        <w:br w:type="page"/>
      </w:r>
    </w:p>
    <w:p>
      <w:pPr>
        <w:pStyle w:val="Heading1"/>
        <w:rPr/>
      </w:pPr>
      <w:bookmarkStart w:id="17" w:name="__RefHeading___Toc1992_3382994897"/>
      <w:bookmarkEnd w:id="17"/>
      <w:r>
        <w:rPr/>
        <w:t>5. Servicios prestados</w:t>
      </w:r>
    </w:p>
    <w:p>
      <w:pPr>
        <w:pStyle w:val="Normal"/>
        <w:rPr/>
      </w:pPr>
      <w:r>
        <w:rPr/>
        <w:t>Burglar King presta un servicio principal, servir hamburguesas, por cuatro canales distintos, y varios servicios complementarios que el cliente da por supuestos. La tabla 17 los recoge con el peso que tienen en las ventas y con la tecnología que necesita cada uno.</w:t>
      </w:r>
    </w:p>
    <w:p>
      <w:pPr>
        <w:pStyle w:val="Normal"/>
        <w:keepNext w:val="true"/>
        <w:spacing w:lineRule="auto" w:line="480" w:before="240" w:after="0"/>
        <w:ind w:hanging="0"/>
        <w:rPr/>
      </w:pPr>
      <w:r>
        <w:rPr>
          <w:b/>
          <w:bCs/>
        </w:rPr>
        <w:t>Tabla 17</w:t>
      </w:r>
    </w:p>
    <w:p>
      <w:pPr>
        <w:pStyle w:val="Normal"/>
        <w:keepNext w:val="true"/>
        <w:spacing w:lineRule="auto" w:line="480" w:before="0" w:after="120"/>
        <w:ind w:hanging="0"/>
        <w:rPr/>
      </w:pPr>
      <w:r>
        <w:rPr>
          <w:i/>
          <w:iCs/>
        </w:rPr>
        <w:t>Servicios prestados por Burglar King</w:t>
      </w:r>
    </w:p>
    <w:tbl>
      <w:tblPr>
        <w:tblW w:w="9026" w:type="dxa"/>
        <w:jc w:val="left"/>
        <w:tblInd w:w="0" w:type="dxa"/>
        <w:tblLayout w:type="fixed"/>
        <w:tblCellMar>
          <w:top w:w="60" w:type="dxa"/>
          <w:left w:w="100" w:type="dxa"/>
          <w:bottom w:w="60" w:type="dxa"/>
          <w:right w:w="100" w:type="dxa"/>
        </w:tblCellMar>
      </w:tblPr>
      <w:tblGrid>
        <w:gridCol w:w="1899"/>
        <w:gridCol w:w="3001"/>
        <w:gridCol w:w="1199"/>
        <w:gridCol w:w="2926"/>
      </w:tblGrid>
      <w:tr>
        <w:trPr>
          <w:tblHeader w:val="true"/>
          <w:cantSplit w:val="true"/>
        </w:trPr>
        <w:tc>
          <w:tcPr>
            <w:tcW w:w="18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Servicio</w:t>
            </w:r>
          </w:p>
        </w:tc>
        <w:tc>
          <w:tcPr>
            <w:tcW w:w="3001"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Descripción</w:t>
            </w:r>
          </w:p>
        </w:tc>
        <w:tc>
          <w:tcPr>
            <w:tcW w:w="11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Peso en ventas</w:t>
            </w:r>
          </w:p>
        </w:tc>
        <w:tc>
          <w:tcPr>
            <w:tcW w:w="2926"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Qué necesita de la tecnología</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Servicio en sala y terraza</w:t>
            </w:r>
          </w:p>
        </w:tc>
        <w:tc>
          <w:tcPr>
            <w:tcW w:w="3001" w:type="dxa"/>
            <w:tcBorders>
              <w:bottom w:val="single" w:sz="2" w:space="0" w:color="DDDDDD"/>
            </w:tcBorders>
          </w:tcPr>
          <w:p>
            <w:pPr>
              <w:pStyle w:val="Normal"/>
              <w:spacing w:lineRule="auto" w:line="252" w:before="0" w:after="0"/>
              <w:ind w:hanging="0"/>
              <w:rPr/>
            </w:pPr>
            <w:r>
              <w:rPr>
                <w:sz w:val="19"/>
                <w:szCs w:val="19"/>
              </w:rPr>
              <w:t>Comida y cena con atención en mesa; 12 mesas y 44 plazas; dos turnos en hora punta</w:t>
            </w:r>
          </w:p>
        </w:tc>
        <w:tc>
          <w:tcPr>
            <w:tcW w:w="1199" w:type="dxa"/>
            <w:tcBorders>
              <w:bottom w:val="single" w:sz="2" w:space="0" w:color="DDDDDD"/>
            </w:tcBorders>
          </w:tcPr>
          <w:p>
            <w:pPr>
              <w:pStyle w:val="Normal"/>
              <w:spacing w:lineRule="auto" w:line="252" w:before="0" w:after="0"/>
              <w:ind w:hanging="0"/>
              <w:rPr/>
            </w:pPr>
            <w:r>
              <w:rPr>
                <w:sz w:val="19"/>
                <w:szCs w:val="19"/>
              </w:rPr>
              <w:t>65 %</w:t>
            </w:r>
          </w:p>
        </w:tc>
        <w:tc>
          <w:tcPr>
            <w:tcW w:w="2926" w:type="dxa"/>
            <w:tcBorders>
              <w:bottom w:val="single" w:sz="2" w:space="0" w:color="DDDDDD"/>
            </w:tcBorders>
          </w:tcPr>
          <w:p>
            <w:pPr>
              <w:pStyle w:val="Normal"/>
              <w:spacing w:lineRule="auto" w:line="252" w:before="0" w:after="0"/>
              <w:ind w:hanging="0"/>
              <w:rPr/>
            </w:pPr>
            <w:r>
              <w:rPr>
                <w:sz w:val="19"/>
                <w:szCs w:val="19"/>
              </w:rPr>
              <w:t>Tomar nota en la mesa, enviar a cocina al instante, cobrar en la mesa con el datáfono, dividir la cuenta</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Barra</w:t>
            </w:r>
          </w:p>
        </w:tc>
        <w:tc>
          <w:tcPr>
            <w:tcW w:w="3001" w:type="dxa"/>
            <w:tcBorders>
              <w:bottom w:val="single" w:sz="2" w:space="0" w:color="DDDDDD"/>
            </w:tcBorders>
          </w:tcPr>
          <w:p>
            <w:pPr>
              <w:pStyle w:val="Normal"/>
              <w:spacing w:lineRule="auto" w:line="252" w:before="0" w:after="0"/>
              <w:ind w:hanging="0"/>
              <w:rPr/>
            </w:pPr>
            <w:r>
              <w:rPr>
                <w:sz w:val="19"/>
                <w:szCs w:val="19"/>
              </w:rPr>
              <w:t>Consumo rápido en barra y bebidas</w:t>
            </w:r>
          </w:p>
        </w:tc>
        <w:tc>
          <w:tcPr>
            <w:tcW w:w="1199" w:type="dxa"/>
            <w:tcBorders>
              <w:bottom w:val="single" w:sz="2" w:space="0" w:color="DDDDDD"/>
            </w:tcBorders>
          </w:tcPr>
          <w:p>
            <w:pPr>
              <w:pStyle w:val="Normal"/>
              <w:spacing w:lineRule="auto" w:line="252" w:before="0" w:after="0"/>
              <w:ind w:hanging="0"/>
              <w:rPr/>
            </w:pPr>
            <w:r>
              <w:rPr>
                <w:sz w:val="19"/>
                <w:szCs w:val="19"/>
              </w:rPr>
              <w:t>7 %</w:t>
            </w:r>
          </w:p>
        </w:tc>
        <w:tc>
          <w:tcPr>
            <w:tcW w:w="2926" w:type="dxa"/>
            <w:tcBorders>
              <w:bottom w:val="single" w:sz="2" w:space="0" w:color="DDDDDD"/>
            </w:tcBorders>
          </w:tcPr>
          <w:p>
            <w:pPr>
              <w:pStyle w:val="Normal"/>
              <w:spacing w:lineRule="auto" w:line="252" w:before="0" w:after="0"/>
              <w:ind w:hanging="0"/>
              <w:rPr/>
            </w:pPr>
            <w:r>
              <w:rPr>
                <w:sz w:val="19"/>
                <w:szCs w:val="19"/>
              </w:rPr>
              <w:t>Cobro rápido; carta visible</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Para llevar</w:t>
            </w:r>
          </w:p>
        </w:tc>
        <w:tc>
          <w:tcPr>
            <w:tcW w:w="3001" w:type="dxa"/>
            <w:tcBorders>
              <w:bottom w:val="single" w:sz="2" w:space="0" w:color="DDDDDD"/>
            </w:tcBorders>
          </w:tcPr>
          <w:p>
            <w:pPr>
              <w:pStyle w:val="Normal"/>
              <w:spacing w:lineRule="auto" w:line="252" w:before="0" w:after="0"/>
              <w:ind w:hanging="0"/>
              <w:rPr/>
            </w:pPr>
            <w:r>
              <w:rPr>
                <w:sz w:val="19"/>
                <w:szCs w:val="19"/>
              </w:rPr>
              <w:t>Pedido en el local o por teléfono, recogida en barra</w:t>
            </w:r>
          </w:p>
        </w:tc>
        <w:tc>
          <w:tcPr>
            <w:tcW w:w="1199" w:type="dxa"/>
            <w:tcBorders>
              <w:bottom w:val="single" w:sz="2" w:space="0" w:color="DDDDDD"/>
            </w:tcBorders>
          </w:tcPr>
          <w:p>
            <w:pPr>
              <w:pStyle w:val="Normal"/>
              <w:spacing w:lineRule="auto" w:line="252" w:before="0" w:after="0"/>
              <w:ind w:hanging="0"/>
              <w:rPr/>
            </w:pPr>
            <w:r>
              <w:rPr>
                <w:sz w:val="19"/>
                <w:szCs w:val="19"/>
              </w:rPr>
              <w:t>10 %</w:t>
            </w:r>
          </w:p>
        </w:tc>
        <w:tc>
          <w:tcPr>
            <w:tcW w:w="2926" w:type="dxa"/>
            <w:tcBorders>
              <w:bottom w:val="single" w:sz="2" w:space="0" w:color="DDDDDD"/>
            </w:tcBorders>
          </w:tcPr>
          <w:p>
            <w:pPr>
              <w:pStyle w:val="Normal"/>
              <w:spacing w:lineRule="auto" w:line="252" w:before="0" w:after="0"/>
              <w:ind w:hanging="0"/>
              <w:rPr/>
            </w:pPr>
            <w:r>
              <w:rPr>
                <w:sz w:val="19"/>
                <w:szCs w:val="19"/>
              </w:rPr>
              <w:t>Avisar al cliente de cuándo está listo sin que pregunte</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Reparto a domicilio</w:t>
            </w:r>
          </w:p>
        </w:tc>
        <w:tc>
          <w:tcPr>
            <w:tcW w:w="3001" w:type="dxa"/>
            <w:tcBorders>
              <w:bottom w:val="single" w:sz="2" w:space="0" w:color="DDDDDD"/>
            </w:tcBorders>
          </w:tcPr>
          <w:p>
            <w:pPr>
              <w:pStyle w:val="Normal"/>
              <w:spacing w:lineRule="auto" w:line="252" w:before="0" w:after="0"/>
              <w:ind w:hanging="0"/>
              <w:rPr/>
            </w:pPr>
            <w:r>
              <w:rPr>
                <w:sz w:val="19"/>
                <w:szCs w:val="19"/>
              </w:rPr>
              <w:t>Pedidos a través de dos plataformas, con sus repartidores</w:t>
            </w:r>
          </w:p>
        </w:tc>
        <w:tc>
          <w:tcPr>
            <w:tcW w:w="1199" w:type="dxa"/>
            <w:tcBorders>
              <w:bottom w:val="single" w:sz="2" w:space="0" w:color="DDDDDD"/>
            </w:tcBorders>
          </w:tcPr>
          <w:p>
            <w:pPr>
              <w:pStyle w:val="Normal"/>
              <w:spacing w:lineRule="auto" w:line="252" w:before="0" w:after="0"/>
              <w:ind w:hanging="0"/>
              <w:rPr/>
            </w:pPr>
            <w:r>
              <w:rPr>
                <w:sz w:val="19"/>
                <w:szCs w:val="19"/>
              </w:rPr>
              <w:t>18 %</w:t>
            </w:r>
          </w:p>
        </w:tc>
        <w:tc>
          <w:tcPr>
            <w:tcW w:w="2926" w:type="dxa"/>
            <w:tcBorders>
              <w:bottom w:val="single" w:sz="2" w:space="0" w:color="DDDDDD"/>
            </w:tcBorders>
          </w:tcPr>
          <w:p>
            <w:pPr>
              <w:pStyle w:val="Normal"/>
              <w:spacing w:lineRule="auto" w:line="252" w:before="0" w:after="0"/>
              <w:ind w:hanging="0"/>
              <w:rPr/>
            </w:pPr>
            <w:r>
              <w:rPr>
                <w:sz w:val="19"/>
                <w:szCs w:val="19"/>
              </w:rPr>
              <w:t>Que el pedido de la plataforma entre en cocina sin copiarlo a mano</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Reservas</w:t>
            </w:r>
          </w:p>
        </w:tc>
        <w:tc>
          <w:tcPr>
            <w:tcW w:w="3001" w:type="dxa"/>
            <w:tcBorders>
              <w:bottom w:val="single" w:sz="2" w:space="0" w:color="DDDDDD"/>
            </w:tcBorders>
          </w:tcPr>
          <w:p>
            <w:pPr>
              <w:pStyle w:val="Normal"/>
              <w:spacing w:lineRule="auto" w:line="252" w:before="0" w:after="0"/>
              <w:ind w:hanging="0"/>
              <w:rPr/>
            </w:pPr>
            <w:r>
              <w:rPr>
                <w:sz w:val="19"/>
                <w:szCs w:val="19"/>
              </w:rPr>
              <w:t>Por teléfono o WhatsApp; grupos de hasta 12 personas</w:t>
            </w:r>
          </w:p>
        </w:tc>
        <w:tc>
          <w:tcPr>
            <w:tcW w:w="1199" w:type="dxa"/>
            <w:tcBorders>
              <w:bottom w:val="single" w:sz="2" w:space="0" w:color="DDDDDD"/>
            </w:tcBorders>
          </w:tcPr>
          <w:p>
            <w:pPr>
              <w:pStyle w:val="Normal"/>
              <w:spacing w:lineRule="auto" w:line="252" w:before="0" w:after="0"/>
              <w:ind w:hanging="0"/>
              <w:rPr/>
            </w:pPr>
            <w:r>
              <w:rPr>
                <w:sz w:val="19"/>
                <w:szCs w:val="19"/>
              </w:rPr>
              <w:t>—</w:t>
            </w:r>
          </w:p>
        </w:tc>
        <w:tc>
          <w:tcPr>
            <w:tcW w:w="2926" w:type="dxa"/>
            <w:tcBorders>
              <w:bottom w:val="single" w:sz="2" w:space="0" w:color="DDDDDD"/>
            </w:tcBorders>
          </w:tcPr>
          <w:p>
            <w:pPr>
              <w:pStyle w:val="Normal"/>
              <w:spacing w:lineRule="auto" w:line="252" w:before="0" w:after="0"/>
              <w:ind w:hanging="0"/>
              <w:rPr/>
            </w:pPr>
            <w:r>
              <w:rPr>
                <w:sz w:val="19"/>
                <w:szCs w:val="19"/>
              </w:rPr>
              <w:t>Un registro común que no dependa del móvil del encargado</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Menú de mediodía</w:t>
            </w:r>
          </w:p>
        </w:tc>
        <w:tc>
          <w:tcPr>
            <w:tcW w:w="3001" w:type="dxa"/>
            <w:tcBorders>
              <w:bottom w:val="single" w:sz="2" w:space="0" w:color="DDDDDD"/>
            </w:tcBorders>
          </w:tcPr>
          <w:p>
            <w:pPr>
              <w:pStyle w:val="Normal"/>
              <w:spacing w:lineRule="auto" w:line="252" w:before="0" w:after="0"/>
              <w:ind w:hanging="0"/>
              <w:rPr/>
            </w:pPr>
            <w:r>
              <w:rPr>
                <w:sz w:val="19"/>
                <w:szCs w:val="19"/>
              </w:rPr>
              <w:t>Hamburguesa, acompañamiento y bebida a precio cerrado, de martes a viernes</w:t>
            </w:r>
          </w:p>
        </w:tc>
        <w:tc>
          <w:tcPr>
            <w:tcW w:w="1199" w:type="dxa"/>
            <w:tcBorders>
              <w:bottom w:val="single" w:sz="2" w:space="0" w:color="DDDDDD"/>
            </w:tcBorders>
          </w:tcPr>
          <w:p>
            <w:pPr>
              <w:pStyle w:val="Normal"/>
              <w:spacing w:lineRule="auto" w:line="252" w:before="0" w:after="0"/>
              <w:ind w:hanging="0"/>
              <w:rPr/>
            </w:pPr>
            <w:r>
              <w:rPr>
                <w:sz w:val="19"/>
                <w:szCs w:val="19"/>
              </w:rPr>
              <w:t>(incluido en sala)</w:t>
            </w:r>
          </w:p>
        </w:tc>
        <w:tc>
          <w:tcPr>
            <w:tcW w:w="2926" w:type="dxa"/>
            <w:tcBorders>
              <w:bottom w:val="single" w:sz="2" w:space="0" w:color="DDDDDD"/>
            </w:tcBorders>
          </w:tcPr>
          <w:p>
            <w:pPr>
              <w:pStyle w:val="Normal"/>
              <w:spacing w:lineRule="auto" w:line="252" w:before="0" w:after="0"/>
              <w:ind w:hanging="0"/>
              <w:rPr/>
            </w:pPr>
            <w:r>
              <w:rPr>
                <w:sz w:val="19"/>
                <w:szCs w:val="19"/>
              </w:rPr>
              <w:t>Cambiar la carta por franja horaria</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Celebraciones</w:t>
            </w:r>
          </w:p>
        </w:tc>
        <w:tc>
          <w:tcPr>
            <w:tcW w:w="3001" w:type="dxa"/>
            <w:tcBorders>
              <w:bottom w:val="single" w:sz="2" w:space="0" w:color="DDDDDD"/>
            </w:tcBorders>
          </w:tcPr>
          <w:p>
            <w:pPr>
              <w:pStyle w:val="Normal"/>
              <w:spacing w:lineRule="auto" w:line="252" w:before="0" w:after="0"/>
              <w:ind w:hanging="0"/>
              <w:rPr/>
            </w:pPr>
            <w:r>
              <w:rPr>
                <w:sz w:val="19"/>
                <w:szCs w:val="19"/>
              </w:rPr>
              <w:t>Cumpleaños y cenas de grupo con menú cerrado</w:t>
            </w:r>
          </w:p>
        </w:tc>
        <w:tc>
          <w:tcPr>
            <w:tcW w:w="1199" w:type="dxa"/>
            <w:tcBorders>
              <w:bottom w:val="single" w:sz="2" w:space="0" w:color="DDDDDD"/>
            </w:tcBorders>
          </w:tcPr>
          <w:p>
            <w:pPr>
              <w:pStyle w:val="Normal"/>
              <w:spacing w:lineRule="auto" w:line="252" w:before="0" w:after="0"/>
              <w:ind w:hanging="0"/>
              <w:rPr/>
            </w:pPr>
            <w:r>
              <w:rPr>
                <w:sz w:val="19"/>
                <w:szCs w:val="19"/>
              </w:rPr>
              <w:t>(incluido en sala)</w:t>
            </w:r>
          </w:p>
        </w:tc>
        <w:tc>
          <w:tcPr>
            <w:tcW w:w="2926" w:type="dxa"/>
            <w:tcBorders>
              <w:bottom w:val="single" w:sz="2" w:space="0" w:color="DDDDDD"/>
            </w:tcBorders>
          </w:tcPr>
          <w:p>
            <w:pPr>
              <w:pStyle w:val="Normal"/>
              <w:spacing w:lineRule="auto" w:line="252" w:before="0" w:after="0"/>
              <w:ind w:hanging="0"/>
              <w:rPr/>
            </w:pPr>
            <w:r>
              <w:rPr>
                <w:sz w:val="19"/>
                <w:szCs w:val="19"/>
              </w:rPr>
              <w:t>Cuenta única o dividida; factura a petición</w:t>
            </w:r>
          </w:p>
        </w:tc>
      </w:tr>
      <w:tr>
        <w:trPr>
          <w:cantSplit w:val="true"/>
        </w:trPr>
        <w:tc>
          <w:tcPr>
            <w:tcW w:w="1899" w:type="dxa"/>
            <w:tcBorders>
              <w:bottom w:val="single" w:sz="2" w:space="0" w:color="DDDDDD"/>
            </w:tcBorders>
          </w:tcPr>
          <w:p>
            <w:pPr>
              <w:pStyle w:val="Normal"/>
              <w:spacing w:lineRule="auto" w:line="252" w:before="0" w:after="0"/>
              <w:ind w:hanging="0"/>
              <w:rPr/>
            </w:pPr>
            <w:r>
              <w:rPr>
                <w:sz w:val="19"/>
                <w:szCs w:val="19"/>
              </w:rPr>
              <w:t>Wifi para clientes</w:t>
            </w:r>
          </w:p>
        </w:tc>
        <w:tc>
          <w:tcPr>
            <w:tcW w:w="3001" w:type="dxa"/>
            <w:tcBorders>
              <w:bottom w:val="single" w:sz="2" w:space="0" w:color="DDDDDD"/>
            </w:tcBorders>
          </w:tcPr>
          <w:p>
            <w:pPr>
              <w:pStyle w:val="Normal"/>
              <w:spacing w:lineRule="auto" w:line="252" w:before="0" w:after="0"/>
              <w:ind w:hanging="0"/>
              <w:rPr/>
            </w:pPr>
            <w:r>
              <w:rPr>
                <w:sz w:val="19"/>
                <w:szCs w:val="19"/>
              </w:rPr>
              <w:t>Acceso gratuito en sala y terraza</w:t>
            </w:r>
          </w:p>
        </w:tc>
        <w:tc>
          <w:tcPr>
            <w:tcW w:w="1199" w:type="dxa"/>
            <w:tcBorders>
              <w:bottom w:val="single" w:sz="2" w:space="0" w:color="DDDDDD"/>
            </w:tcBorders>
          </w:tcPr>
          <w:p>
            <w:pPr>
              <w:pStyle w:val="Normal"/>
              <w:spacing w:lineRule="auto" w:line="252" w:before="0" w:after="0"/>
              <w:ind w:hanging="0"/>
              <w:rPr/>
            </w:pPr>
            <w:r>
              <w:rPr>
                <w:sz w:val="19"/>
                <w:szCs w:val="19"/>
              </w:rPr>
              <w:t>—</w:t>
            </w:r>
          </w:p>
        </w:tc>
        <w:tc>
          <w:tcPr>
            <w:tcW w:w="2926" w:type="dxa"/>
            <w:tcBorders>
              <w:bottom w:val="single" w:sz="2" w:space="0" w:color="DDDDDD"/>
            </w:tcBorders>
          </w:tcPr>
          <w:p>
            <w:pPr>
              <w:pStyle w:val="Normal"/>
              <w:spacing w:lineRule="auto" w:line="252" w:before="0" w:after="0"/>
              <w:ind w:hanging="0"/>
              <w:rPr/>
            </w:pPr>
            <w:r>
              <w:rPr>
                <w:sz w:val="19"/>
                <w:szCs w:val="19"/>
              </w:rPr>
              <w:t>Una red separada de la del negocio</w:t>
            </w:r>
          </w:p>
        </w:tc>
      </w:tr>
      <w:tr>
        <w:trPr>
          <w:cantSplit w:val="true"/>
        </w:trPr>
        <w:tc>
          <w:tcPr>
            <w:tcW w:w="1899" w:type="dxa"/>
            <w:tcBorders>
              <w:bottom w:val="single" w:sz="6" w:space="0" w:color="808080"/>
            </w:tcBorders>
          </w:tcPr>
          <w:p>
            <w:pPr>
              <w:pStyle w:val="Normal"/>
              <w:spacing w:lineRule="auto" w:line="252" w:before="0" w:after="0"/>
              <w:ind w:hanging="0"/>
              <w:rPr/>
            </w:pPr>
            <w:r>
              <w:rPr>
                <w:sz w:val="19"/>
                <w:szCs w:val="19"/>
              </w:rPr>
              <w:t>Información de alérgenos</w:t>
            </w:r>
          </w:p>
        </w:tc>
        <w:tc>
          <w:tcPr>
            <w:tcW w:w="3001" w:type="dxa"/>
            <w:tcBorders>
              <w:bottom w:val="single" w:sz="6" w:space="0" w:color="808080"/>
            </w:tcBorders>
          </w:tcPr>
          <w:p>
            <w:pPr>
              <w:pStyle w:val="Normal"/>
              <w:spacing w:lineRule="auto" w:line="252" w:before="0" w:after="0"/>
              <w:ind w:hanging="0"/>
              <w:rPr/>
            </w:pPr>
            <w:r>
              <w:rPr>
                <w:sz w:val="19"/>
                <w:szCs w:val="19"/>
              </w:rPr>
              <w:t>Obligatoria en la carta, en papel y por código QR</w:t>
            </w:r>
          </w:p>
        </w:tc>
        <w:tc>
          <w:tcPr>
            <w:tcW w:w="1199" w:type="dxa"/>
            <w:tcBorders>
              <w:bottom w:val="single" w:sz="6" w:space="0" w:color="808080"/>
            </w:tcBorders>
          </w:tcPr>
          <w:p>
            <w:pPr>
              <w:pStyle w:val="Normal"/>
              <w:spacing w:lineRule="auto" w:line="252" w:before="0" w:after="0"/>
              <w:ind w:hanging="0"/>
              <w:rPr/>
            </w:pPr>
            <w:r>
              <w:rPr>
                <w:sz w:val="19"/>
                <w:szCs w:val="19"/>
              </w:rPr>
              <w:t>—</w:t>
            </w:r>
          </w:p>
        </w:tc>
        <w:tc>
          <w:tcPr>
            <w:tcW w:w="2926" w:type="dxa"/>
            <w:tcBorders>
              <w:bottom w:val="single" w:sz="6" w:space="0" w:color="808080"/>
            </w:tcBorders>
          </w:tcPr>
          <w:p>
            <w:pPr>
              <w:pStyle w:val="Normal"/>
              <w:spacing w:lineRule="auto" w:line="252" w:before="0" w:after="0"/>
              <w:ind w:hanging="0"/>
              <w:rPr/>
            </w:pPr>
            <w:r>
              <w:rPr>
                <w:sz w:val="19"/>
                <w:szCs w:val="19"/>
              </w:rPr>
              <w:t>Carta digital actualizada desde un solo sitio</w:t>
            </w:r>
          </w:p>
        </w:tc>
      </w:tr>
    </w:tbl>
    <w:p>
      <w:pPr>
        <w:pStyle w:val="Normal"/>
        <w:spacing w:lineRule="auto" w:line="276" w:before="80" w:after="240"/>
        <w:ind w:hanging="0"/>
        <w:rPr/>
      </w:pPr>
      <w:r>
        <w:rPr>
          <w:i/>
          <w:iCs/>
          <w:sz w:val="20"/>
          <w:szCs w:val="20"/>
        </w:rPr>
        <w:t>Nota.</w:t>
      </w:r>
      <w:r>
        <w:rPr>
          <w:sz w:val="20"/>
          <w:szCs w:val="20"/>
        </w:rPr>
        <w:t xml:space="preserve"> Elaboración propia a partir del escenario. Los pesos son los de la tabla 9.</w:t>
      </w:r>
    </w:p>
    <w:p>
      <w:pPr>
        <w:pStyle w:val="Normal"/>
        <w:rPr/>
      </w:pPr>
      <w:r>
        <w:rPr/>
        <w:t>El flujo central de todos esos servicios es el de la comanda (figura 4). Hoy la información nace en la mesa, viaja en papel y a voz hasta la cocina, vuelve al pase y solo entra en un sistema informático en el último paso, cuando el camarero teclea el pedido para cobrarlo. En el reparto el recorrido es peor: el pedido llega a la tableta, el encargado lo copia en papel, el cocinero lo prepara y, cuando el repartidor llega, nadie sabe con certeza si está listo.</w:t>
      </w:r>
    </w:p>
    <w:p>
      <w:pPr>
        <w:pStyle w:val="Normal"/>
        <w:keepNext w:val="true"/>
        <w:spacing w:lineRule="auto" w:line="480" w:before="240" w:after="0"/>
        <w:ind w:hanging="0"/>
        <w:rPr/>
      </w:pPr>
      <w:r>
        <w:rPr>
          <w:b/>
          <w:bCs/>
        </w:rPr>
        <w:t>Figura 4</w:t>
      </w:r>
    </w:p>
    <w:p>
      <w:pPr>
        <w:pStyle w:val="Normal"/>
        <w:keepNext w:val="true"/>
        <w:spacing w:lineRule="auto" w:line="480" w:before="0" w:after="120"/>
        <w:ind w:hanging="0"/>
        <w:rPr/>
      </w:pPr>
      <w:r>
        <w:rPr>
          <w:i/>
          <w:iCs/>
        </w:rPr>
        <w:t>Flujo actual de una comanda y puntos en los que se pierde la información</w:t>
      </w:r>
    </w:p>
    <w:p>
      <w:pPr>
        <w:pStyle w:val="Normal"/>
        <w:keepNext w:val="true"/>
        <w:spacing w:lineRule="auto" w:line="240"/>
        <w:ind w:hanging="0"/>
        <w:jc w:val="center"/>
        <w:rPr/>
      </w:pPr>
      <w:r>
        <w:rPr/>
        <w:drawing>
          <wp:inline distT="0" distB="0" distL="0" distR="0">
            <wp:extent cx="4286250" cy="1504950"/>
            <wp:effectExtent l="0" t="0" r="0" b="0"/>
            <wp:docPr id="4" name="flujo_comanda.png" descr="Flujo actual de una comanda y puntos en los que se pierde la información&#10;Flujo actual de una comanda y puntos en los que se pier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ujo_comanda.png" descr="Flujo actual de una comanda y puntos en los que se pierde la información&#10;Flujo actual de una comanda y puntos en los que se pierde la información"/>
                    <pic:cNvPicPr>
                      <a:picLocks noChangeAspect="1" noChangeArrowheads="1"/>
                    </pic:cNvPicPr>
                  </pic:nvPicPr>
                  <pic:blipFill>
                    <a:blip r:embed="rId5"/>
                    <a:stretch>
                      <a:fillRect/>
                    </a:stretch>
                  </pic:blipFill>
                  <pic:spPr bwMode="auto">
                    <a:xfrm>
                      <a:off x="0" y="0"/>
                      <a:ext cx="4286250" cy="1504950"/>
                    </a:xfrm>
                    <a:prstGeom prst="rect">
                      <a:avLst/>
                    </a:prstGeom>
                    <a:noFill/>
                  </pic:spPr>
                </pic:pic>
              </a:graphicData>
            </a:graphic>
          </wp:inline>
        </w:drawing>
      </w:r>
    </w:p>
    <w:p>
      <w:pPr>
        <w:pStyle w:val="Normal"/>
        <w:spacing w:lineRule="auto" w:line="276" w:before="80" w:after="240"/>
        <w:ind w:hanging="0"/>
        <w:rPr/>
      </w:pPr>
      <w:r>
        <w:rPr>
          <w:i/>
          <w:iCs/>
          <w:sz w:val="20"/>
          <w:szCs w:val="20"/>
        </w:rPr>
        <w:t>Nota.</w:t>
      </w:r>
      <w:r>
        <w:rPr>
          <w:sz w:val="20"/>
          <w:szCs w:val="20"/>
        </w:rPr>
        <w:t xml:space="preserve"> Elaboración propia.</w:t>
      </w:r>
    </w:p>
    <w:p>
      <w:pPr>
        <w:pStyle w:val="Normal"/>
        <w:rPr/>
      </w:pPr>
      <w:r>
        <w:rPr/>
        <w:t>Las plataformas de reparto merecen un comentario aparte, porque son a la vez un canal de venta y un coste. Cobran entre el 15 % y el 30 % del importe de cada pedido, a veces con cuotas fijas, y el mercado está concentrado en Glovo, Uber Eats y Just Eat (Qamarero, 2025). Con 8.250 euros de ventas mensuales por reparto, Burglar King paga unos 2.100 euros de comisiones, el doble que el alquiler del local. Es una de las razones para potenciar el pedido para llevar directo, sin intermediario, que el proyecto facilitará con la carta del cliente en su propio teléfono.</w:t>
      </w:r>
      <w:r>
        <w:br w:type="page"/>
      </w:r>
    </w:p>
    <w:p>
      <w:pPr>
        <w:pStyle w:val="Heading1"/>
        <w:rPr/>
      </w:pPr>
      <w:bookmarkStart w:id="18" w:name="__RefHeading___Toc1994_3382994897"/>
      <w:bookmarkEnd w:id="18"/>
      <w:r>
        <w:rPr/>
        <w:t>6. Publicidad (marketing)</w:t>
      </w:r>
    </w:p>
    <w:p>
      <w:pPr>
        <w:pStyle w:val="Normal"/>
        <w:rPr/>
      </w:pPr>
      <w:r>
        <w:rPr/>
        <w:t>Con un presupuesto de unos 450 euros al mes, el 1 % de las ventas, Burglar King no puede hacer publicidad tradicional. Su marketing se apoya en lo que decide de verdad al cliente joven: la reputación en línea y el boca a boca. Según el estudio de TheFork de julio de 2026, el 62 % de los españoles descarta un restaurante por una mala reseña, el 73 % lee las opiniones de otros comensales y el 75 % mira la carta antes de ir, mientras que las redes sociales y la web del local solo influyen en el 17 % (L'Express Franchise, 2026). La prioridad, por tanto, es el perfil de Google y la carta, y después las redes.</w:t>
      </w:r>
    </w:p>
    <w:p>
      <w:pPr>
        <w:pStyle w:val="Normal"/>
        <w:keepNext w:val="true"/>
        <w:spacing w:lineRule="auto" w:line="480" w:before="240" w:after="0"/>
        <w:ind w:hanging="0"/>
        <w:rPr/>
      </w:pPr>
      <w:r>
        <w:rPr>
          <w:b/>
          <w:bCs/>
        </w:rPr>
        <w:t>Tabla 18</w:t>
      </w:r>
    </w:p>
    <w:p>
      <w:pPr>
        <w:pStyle w:val="Normal"/>
        <w:keepNext w:val="true"/>
        <w:spacing w:lineRule="auto" w:line="480" w:before="0" w:after="120"/>
        <w:ind w:hanging="0"/>
        <w:rPr/>
      </w:pPr>
      <w:r>
        <w:rPr>
          <w:i/>
          <w:iCs/>
        </w:rPr>
        <w:t>Plan de publicidad de Burglar King</w:t>
      </w:r>
    </w:p>
    <w:tbl>
      <w:tblPr>
        <w:tblW w:w="9026" w:type="dxa"/>
        <w:jc w:val="left"/>
        <w:tblInd w:w="0" w:type="dxa"/>
        <w:tblLayout w:type="fixed"/>
        <w:tblCellMar>
          <w:top w:w="60" w:type="dxa"/>
          <w:left w:w="100" w:type="dxa"/>
          <w:bottom w:w="60" w:type="dxa"/>
          <w:right w:w="100" w:type="dxa"/>
        </w:tblCellMar>
      </w:tblPr>
      <w:tblGrid>
        <w:gridCol w:w="2000"/>
        <w:gridCol w:w="3599"/>
        <w:gridCol w:w="1601"/>
        <w:gridCol w:w="1825"/>
      </w:tblGrid>
      <w:tr>
        <w:trPr>
          <w:tblHeader w:val="true"/>
          <w:cantSplit w:val="true"/>
        </w:trPr>
        <w:tc>
          <w:tcPr>
            <w:tcW w:w="2000"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Acción</w:t>
            </w:r>
          </w:p>
        </w:tc>
        <w:tc>
          <w:tcPr>
            <w:tcW w:w="3599"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Descripción</w:t>
            </w:r>
          </w:p>
        </w:tc>
        <w:tc>
          <w:tcPr>
            <w:tcW w:w="1601"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Coste al mes</w:t>
            </w:r>
          </w:p>
        </w:tc>
        <w:tc>
          <w:tcPr>
            <w:tcW w:w="1825" w:type="dxa"/>
            <w:tcBorders>
              <w:top w:val="single" w:sz="6" w:space="0" w:color="808080"/>
              <w:bottom w:val="single" w:sz="6" w:space="0" w:color="808080"/>
            </w:tcBorders>
            <w:shd w:color="auto" w:fill="FDEBD9" w:val="clear"/>
          </w:tcPr>
          <w:p>
            <w:pPr>
              <w:pStyle w:val="Normal"/>
              <w:spacing w:lineRule="auto" w:line="252" w:before="0" w:after="0"/>
              <w:ind w:hanging="0"/>
              <w:rPr/>
            </w:pPr>
            <w:r>
              <w:rPr>
                <w:b/>
                <w:bCs/>
                <w:sz w:val="19"/>
                <w:szCs w:val="19"/>
              </w:rPr>
              <w:t>Indicador</w:t>
            </w:r>
          </w:p>
        </w:tc>
      </w:tr>
      <w:tr>
        <w:trPr>
          <w:cantSplit w:val="true"/>
        </w:trPr>
        <w:tc>
          <w:tcPr>
            <w:tcW w:w="2000" w:type="dxa"/>
            <w:tcBorders>
              <w:bottom w:val="single" w:sz="2" w:space="0" w:color="DDDDDD"/>
            </w:tcBorders>
          </w:tcPr>
          <w:p>
            <w:pPr>
              <w:pStyle w:val="Normal"/>
              <w:spacing w:lineRule="auto" w:line="252" w:before="0" w:after="0"/>
              <w:ind w:hanging="0"/>
              <w:rPr/>
            </w:pPr>
            <w:r>
              <w:rPr>
                <w:sz w:val="19"/>
                <w:szCs w:val="19"/>
              </w:rPr>
              <w:t>Perfil de empresa en Google</w:t>
            </w:r>
          </w:p>
        </w:tc>
        <w:tc>
          <w:tcPr>
            <w:tcW w:w="3599" w:type="dxa"/>
            <w:tcBorders>
              <w:bottom w:val="single" w:sz="2" w:space="0" w:color="DDDDDD"/>
            </w:tcBorders>
          </w:tcPr>
          <w:p>
            <w:pPr>
              <w:pStyle w:val="Normal"/>
              <w:spacing w:lineRule="auto" w:line="252" w:before="0" w:after="0"/>
              <w:ind w:hanging="0"/>
              <w:rPr/>
            </w:pPr>
            <w:r>
              <w:rPr>
                <w:sz w:val="19"/>
                <w:szCs w:val="19"/>
              </w:rPr>
              <w:t>Ficha completa y actualizada: horario, fotos, carta con precios y alérgenos, enlace de reserva; responder a todas las reseñas en 48 horas</w:t>
            </w:r>
          </w:p>
        </w:tc>
        <w:tc>
          <w:tcPr>
            <w:tcW w:w="1601" w:type="dxa"/>
            <w:tcBorders>
              <w:bottom w:val="single" w:sz="2" w:space="0" w:color="DDDDDD"/>
            </w:tcBorders>
          </w:tcPr>
          <w:p>
            <w:pPr>
              <w:pStyle w:val="Normal"/>
              <w:spacing w:lineRule="auto" w:line="252" w:before="0" w:after="0"/>
              <w:ind w:hanging="0"/>
              <w:rPr/>
            </w:pPr>
            <w:r>
              <w:rPr>
                <w:sz w:val="19"/>
                <w:szCs w:val="19"/>
              </w:rPr>
              <w:t>0 €</w:t>
            </w:r>
          </w:p>
        </w:tc>
        <w:tc>
          <w:tcPr>
            <w:tcW w:w="1825" w:type="dxa"/>
            <w:tcBorders>
              <w:bottom w:val="single" w:sz="2" w:space="0" w:color="DDDDDD"/>
            </w:tcBorders>
          </w:tcPr>
          <w:p>
            <w:pPr>
              <w:pStyle w:val="Normal"/>
              <w:spacing w:lineRule="auto" w:line="252" w:before="0" w:after="0"/>
              <w:ind w:hanging="0"/>
              <w:rPr/>
            </w:pPr>
            <w:r>
              <w:rPr>
                <w:sz w:val="19"/>
                <w:szCs w:val="19"/>
              </w:rPr>
              <w:t>Nota media ≥ 4,5 y más de 20 reseñas nuevas al mes</w:t>
            </w:r>
          </w:p>
        </w:tc>
      </w:tr>
      <w:tr>
        <w:trPr>
          <w:cantSplit w:val="true"/>
        </w:trPr>
        <w:tc>
          <w:tcPr>
            <w:tcW w:w="2000" w:type="dxa"/>
            <w:tcBorders>
              <w:bottom w:val="single" w:sz="2" w:space="0" w:color="DDDDDD"/>
            </w:tcBorders>
          </w:tcPr>
          <w:p>
            <w:pPr>
              <w:pStyle w:val="Normal"/>
              <w:spacing w:lineRule="auto" w:line="252" w:before="0" w:after="0"/>
              <w:ind w:hanging="0"/>
              <w:rPr/>
            </w:pPr>
            <w:r>
              <w:rPr>
                <w:sz w:val="19"/>
                <w:szCs w:val="19"/>
              </w:rPr>
              <w:t>Carta digital</w:t>
            </w:r>
          </w:p>
        </w:tc>
        <w:tc>
          <w:tcPr>
            <w:tcW w:w="3599" w:type="dxa"/>
            <w:tcBorders>
              <w:bottom w:val="single" w:sz="2" w:space="0" w:color="DDDDDD"/>
            </w:tcBorders>
          </w:tcPr>
          <w:p>
            <w:pPr>
              <w:pStyle w:val="Normal"/>
              <w:spacing w:lineRule="auto" w:line="252" w:before="0" w:after="0"/>
              <w:ind w:hanging="0"/>
              <w:rPr/>
            </w:pPr>
            <w:r>
              <w:rPr>
                <w:sz w:val="19"/>
                <w:szCs w:val="19"/>
              </w:rPr>
              <w:t>Carta actualizada en un solo sitio, visible por código QR en la mesa y desde Google</w:t>
            </w:r>
          </w:p>
        </w:tc>
        <w:tc>
          <w:tcPr>
            <w:tcW w:w="1601" w:type="dxa"/>
            <w:tcBorders>
              <w:bottom w:val="single" w:sz="2" w:space="0" w:color="DDDDDD"/>
            </w:tcBorders>
          </w:tcPr>
          <w:p>
            <w:pPr>
              <w:pStyle w:val="Normal"/>
              <w:spacing w:lineRule="auto" w:line="252" w:before="0" w:after="0"/>
              <w:ind w:hanging="0"/>
              <w:rPr/>
            </w:pPr>
            <w:r>
              <w:rPr>
                <w:sz w:val="19"/>
                <w:szCs w:val="19"/>
              </w:rPr>
              <w:t>0 € (la genera el propio TPV)</w:t>
            </w:r>
          </w:p>
        </w:tc>
        <w:tc>
          <w:tcPr>
            <w:tcW w:w="1825" w:type="dxa"/>
            <w:tcBorders>
              <w:bottom w:val="single" w:sz="2" w:space="0" w:color="DDDDDD"/>
            </w:tcBorders>
          </w:tcPr>
          <w:p>
            <w:pPr>
              <w:pStyle w:val="Normal"/>
              <w:spacing w:lineRule="auto" w:line="252" w:before="0" w:after="0"/>
              <w:ind w:hanging="0"/>
              <w:rPr/>
            </w:pPr>
            <w:r>
              <w:rPr>
                <w:sz w:val="19"/>
                <w:szCs w:val="19"/>
              </w:rPr>
              <w:t>Visitas a la carta; pedidos para llevar directos</w:t>
            </w:r>
          </w:p>
        </w:tc>
      </w:tr>
      <w:tr>
        <w:trPr>
          <w:cantSplit w:val="true"/>
        </w:trPr>
        <w:tc>
          <w:tcPr>
            <w:tcW w:w="2000" w:type="dxa"/>
            <w:tcBorders>
              <w:bottom w:val="single" w:sz="2" w:space="0" w:color="DDDDDD"/>
            </w:tcBorders>
          </w:tcPr>
          <w:p>
            <w:pPr>
              <w:pStyle w:val="Normal"/>
              <w:spacing w:lineRule="auto" w:line="252" w:before="0" w:after="0"/>
              <w:ind w:hanging="0"/>
              <w:rPr/>
            </w:pPr>
            <w:r>
              <w:rPr>
                <w:sz w:val="19"/>
                <w:szCs w:val="19"/>
              </w:rPr>
              <w:t>Instagram y TikTok</w:t>
            </w:r>
          </w:p>
        </w:tc>
        <w:tc>
          <w:tcPr>
            <w:tcW w:w="3599" w:type="dxa"/>
            <w:tcBorders>
              <w:bottom w:val="single" w:sz="2" w:space="0" w:color="DDDDDD"/>
            </w:tcBorders>
          </w:tcPr>
          <w:p>
            <w:pPr>
              <w:pStyle w:val="Normal"/>
              <w:spacing w:lineRule="auto" w:line="252" w:before="0" w:after="0"/>
              <w:ind w:hanging="0"/>
              <w:rPr/>
            </w:pPr>
            <w:r>
              <w:rPr>
                <w:sz w:val="19"/>
                <w:szCs w:val="19"/>
              </w:rPr>
              <w:t>Tres publicaciones por semana: producto, equipo y novedades; sorteos trimestrales con el campus</w:t>
            </w:r>
          </w:p>
        </w:tc>
        <w:tc>
          <w:tcPr>
            <w:tcW w:w="1601" w:type="dxa"/>
            <w:tcBorders>
              <w:bottom w:val="single" w:sz="2" w:space="0" w:color="DDDDDD"/>
            </w:tcBorders>
          </w:tcPr>
          <w:p>
            <w:pPr>
              <w:pStyle w:val="Normal"/>
              <w:spacing w:lineRule="auto" w:line="252" w:before="0" w:after="0"/>
              <w:ind w:hanging="0"/>
              <w:rPr/>
            </w:pPr>
            <w:r>
              <w:rPr>
                <w:sz w:val="19"/>
                <w:szCs w:val="19"/>
              </w:rPr>
              <w:t>180 € (contenido y pequeñas promociones)</w:t>
            </w:r>
          </w:p>
        </w:tc>
        <w:tc>
          <w:tcPr>
            <w:tcW w:w="1825" w:type="dxa"/>
            <w:tcBorders>
              <w:bottom w:val="single" w:sz="2" w:space="0" w:color="DDDDDD"/>
            </w:tcBorders>
          </w:tcPr>
          <w:p>
            <w:pPr>
              <w:pStyle w:val="Normal"/>
              <w:spacing w:lineRule="auto" w:line="252" w:before="0" w:after="0"/>
              <w:ind w:hanging="0"/>
              <w:rPr/>
            </w:pPr>
            <w:r>
              <w:rPr>
                <w:sz w:val="19"/>
                <w:szCs w:val="19"/>
              </w:rPr>
              <w:t>Seguidores, visitas al perfil y canjes de las promociones</w:t>
            </w:r>
          </w:p>
        </w:tc>
      </w:tr>
      <w:tr>
        <w:trPr>
          <w:cantSplit w:val="true"/>
        </w:trPr>
        <w:tc>
          <w:tcPr>
            <w:tcW w:w="2000" w:type="dxa"/>
            <w:tcBorders>
              <w:bottom w:val="single" w:sz="2" w:space="0" w:color="DDDDDD"/>
            </w:tcBorders>
          </w:tcPr>
          <w:p>
            <w:pPr>
              <w:pStyle w:val="Normal"/>
              <w:spacing w:lineRule="auto" w:line="252" w:before="0" w:after="0"/>
              <w:ind w:hanging="0"/>
              <w:rPr/>
            </w:pPr>
            <w:r>
              <w:rPr>
                <w:sz w:val="19"/>
                <w:szCs w:val="19"/>
              </w:rPr>
              <w:t>Promoción universitaria</w:t>
            </w:r>
          </w:p>
        </w:tc>
        <w:tc>
          <w:tcPr>
            <w:tcW w:w="3599" w:type="dxa"/>
            <w:tcBorders>
              <w:bottom w:val="single" w:sz="2" w:space="0" w:color="DDDDDD"/>
            </w:tcBorders>
          </w:tcPr>
          <w:p>
            <w:pPr>
              <w:pStyle w:val="Normal"/>
              <w:spacing w:lineRule="auto" w:line="252" w:before="0" w:after="0"/>
              <w:ind w:hanging="0"/>
              <w:rPr/>
            </w:pPr>
            <w:r>
              <w:rPr>
                <w:sz w:val="19"/>
                <w:szCs w:val="19"/>
              </w:rPr>
              <w:t>Menú de mediodía con descuento con carné de estudiante; acuerdo con asociaciones del campus al inicio de curso</w:t>
            </w:r>
          </w:p>
        </w:tc>
        <w:tc>
          <w:tcPr>
            <w:tcW w:w="1601" w:type="dxa"/>
            <w:tcBorders>
              <w:bottom w:val="single" w:sz="2" w:space="0" w:color="DDDDDD"/>
            </w:tcBorders>
          </w:tcPr>
          <w:p>
            <w:pPr>
              <w:pStyle w:val="Normal"/>
              <w:spacing w:lineRule="auto" w:line="252" w:before="0" w:after="0"/>
              <w:ind w:hanging="0"/>
              <w:rPr/>
            </w:pPr>
            <w:r>
              <w:rPr>
                <w:sz w:val="19"/>
                <w:szCs w:val="19"/>
              </w:rPr>
              <w:t>150 € (descuentos)</w:t>
            </w:r>
          </w:p>
        </w:tc>
        <w:tc>
          <w:tcPr>
            <w:tcW w:w="1825" w:type="dxa"/>
            <w:tcBorders>
              <w:bottom w:val="single" w:sz="2" w:space="0" w:color="DDDDDD"/>
            </w:tcBorders>
          </w:tcPr>
          <w:p>
            <w:pPr>
              <w:pStyle w:val="Normal"/>
              <w:spacing w:lineRule="auto" w:line="252" w:before="0" w:after="0"/>
              <w:ind w:hanging="0"/>
              <w:rPr/>
            </w:pPr>
            <w:r>
              <w:rPr>
                <w:sz w:val="19"/>
                <w:szCs w:val="19"/>
              </w:rPr>
              <w:t>Menús de mediodía vendidos de martes a viernes</w:t>
            </w:r>
          </w:p>
        </w:tc>
      </w:tr>
      <w:tr>
        <w:trPr>
          <w:cantSplit w:val="true"/>
        </w:trPr>
        <w:tc>
          <w:tcPr>
            <w:tcW w:w="2000" w:type="dxa"/>
            <w:tcBorders>
              <w:bottom w:val="single" w:sz="2" w:space="0" w:color="DDDDDD"/>
            </w:tcBorders>
          </w:tcPr>
          <w:p>
            <w:pPr>
              <w:pStyle w:val="Normal"/>
              <w:spacing w:lineRule="auto" w:line="252" w:before="0" w:after="0"/>
              <w:ind w:hanging="0"/>
              <w:rPr/>
            </w:pPr>
            <w:r>
              <w:rPr>
                <w:sz w:val="19"/>
                <w:szCs w:val="19"/>
              </w:rPr>
              <w:t>Plataformas de reparto como escaparate</w:t>
            </w:r>
          </w:p>
        </w:tc>
        <w:tc>
          <w:tcPr>
            <w:tcW w:w="3599" w:type="dxa"/>
            <w:tcBorders>
              <w:bottom w:val="single" w:sz="2" w:space="0" w:color="DDDDDD"/>
            </w:tcBorders>
          </w:tcPr>
          <w:p>
            <w:pPr>
              <w:pStyle w:val="Normal"/>
              <w:spacing w:lineRule="auto" w:line="252" w:before="0" w:after="0"/>
              <w:ind w:hanging="0"/>
              <w:rPr/>
            </w:pPr>
            <w:r>
              <w:rPr>
                <w:sz w:val="19"/>
                <w:szCs w:val="19"/>
              </w:rPr>
              <w:t>Fotos profesionales y descripciones cuidadas; promociones solo en horas valle</w:t>
            </w:r>
          </w:p>
        </w:tc>
        <w:tc>
          <w:tcPr>
            <w:tcW w:w="1601" w:type="dxa"/>
            <w:tcBorders>
              <w:bottom w:val="single" w:sz="2" w:space="0" w:color="DDDDDD"/>
            </w:tcBorders>
          </w:tcPr>
          <w:p>
            <w:pPr>
              <w:pStyle w:val="Normal"/>
              <w:spacing w:lineRule="auto" w:line="252" w:before="0" w:after="0"/>
              <w:ind w:hanging="0"/>
              <w:rPr/>
            </w:pPr>
            <w:r>
              <w:rPr>
                <w:sz w:val="19"/>
                <w:szCs w:val="19"/>
              </w:rPr>
              <w:t>120 € (fotografía y promociones)</w:t>
            </w:r>
          </w:p>
        </w:tc>
        <w:tc>
          <w:tcPr>
            <w:tcW w:w="1825" w:type="dxa"/>
            <w:tcBorders>
              <w:bottom w:val="single" w:sz="2" w:space="0" w:color="DDDDDD"/>
            </w:tcBorders>
          </w:tcPr>
          <w:p>
            <w:pPr>
              <w:pStyle w:val="Normal"/>
              <w:spacing w:lineRule="auto" w:line="252" w:before="0" w:after="0"/>
              <w:ind w:hanging="0"/>
              <w:rPr/>
            </w:pPr>
            <w:r>
              <w:rPr>
                <w:sz w:val="19"/>
                <w:szCs w:val="19"/>
              </w:rPr>
              <w:t>Pedidos por plataforma en horas valle</w:t>
            </w:r>
          </w:p>
        </w:tc>
      </w:tr>
      <w:tr>
        <w:trPr>
          <w:cantSplit w:val="true"/>
        </w:trPr>
        <w:tc>
          <w:tcPr>
            <w:tcW w:w="2000" w:type="dxa"/>
            <w:tcBorders>
              <w:bottom w:val="single" w:sz="2" w:space="0" w:color="DDDDDD"/>
            </w:tcBorders>
          </w:tcPr>
          <w:p>
            <w:pPr>
              <w:pStyle w:val="Normal"/>
              <w:spacing w:lineRule="auto" w:line="252" w:before="0" w:after="0"/>
              <w:ind w:hanging="0"/>
              <w:rPr/>
            </w:pPr>
            <w:r>
              <w:rPr>
                <w:sz w:val="19"/>
                <w:szCs w:val="19"/>
              </w:rPr>
              <w:t>Fidelización</w:t>
            </w:r>
          </w:p>
        </w:tc>
        <w:tc>
          <w:tcPr>
            <w:tcW w:w="3599" w:type="dxa"/>
            <w:tcBorders>
              <w:bottom w:val="single" w:sz="2" w:space="0" w:color="DDDDDD"/>
            </w:tcBorders>
          </w:tcPr>
          <w:p>
            <w:pPr>
              <w:pStyle w:val="Normal"/>
              <w:spacing w:lineRule="auto" w:line="252" w:before="0" w:after="0"/>
              <w:ind w:hanging="0"/>
              <w:rPr/>
            </w:pPr>
            <w:r>
              <w:rPr>
                <w:sz w:val="19"/>
                <w:szCs w:val="19"/>
              </w:rPr>
              <w:t>Décima hamburguesa gratis, registrada en el TPV por el teléfono del cliente con su consentimiento (RGPD)</w:t>
            </w:r>
          </w:p>
        </w:tc>
        <w:tc>
          <w:tcPr>
            <w:tcW w:w="1601" w:type="dxa"/>
            <w:tcBorders>
              <w:bottom w:val="single" w:sz="2" w:space="0" w:color="DDDDDD"/>
            </w:tcBorders>
          </w:tcPr>
          <w:p>
            <w:pPr>
              <w:pStyle w:val="Normal"/>
              <w:spacing w:lineRule="auto" w:line="252" w:before="0" w:after="0"/>
              <w:ind w:hanging="0"/>
              <w:rPr/>
            </w:pPr>
            <w:r>
              <w:rPr>
                <w:sz w:val="19"/>
                <w:szCs w:val="19"/>
              </w:rPr>
              <w:t>Incluido en descuentos</w:t>
            </w:r>
          </w:p>
        </w:tc>
        <w:tc>
          <w:tcPr>
            <w:tcW w:w="1825" w:type="dxa"/>
            <w:tcBorders>
              <w:bottom w:val="single" w:sz="2" w:space="0" w:color="DDDDDD"/>
            </w:tcBorders>
          </w:tcPr>
          <w:p>
            <w:pPr>
              <w:pStyle w:val="Normal"/>
              <w:spacing w:lineRule="auto" w:line="252" w:before="0" w:after="0"/>
              <w:ind w:hanging="0"/>
              <w:rPr/>
            </w:pPr>
            <w:r>
              <w:rPr>
                <w:sz w:val="19"/>
                <w:szCs w:val="19"/>
              </w:rPr>
              <w:t>Clientes que repiten en el mes</w:t>
            </w:r>
          </w:p>
        </w:tc>
      </w:tr>
      <w:tr>
        <w:trPr>
          <w:cantSplit w:val="true"/>
        </w:trPr>
        <w:tc>
          <w:tcPr>
            <w:tcW w:w="2000" w:type="dxa"/>
            <w:tcBorders>
              <w:bottom w:val="single" w:sz="6" w:space="0" w:color="808080"/>
            </w:tcBorders>
          </w:tcPr>
          <w:p>
            <w:pPr>
              <w:pStyle w:val="Normal"/>
              <w:spacing w:lineRule="auto" w:line="252" w:before="0" w:after="0"/>
              <w:ind w:hanging="0"/>
              <w:rPr/>
            </w:pPr>
            <w:r>
              <w:rPr>
                <w:sz w:val="19"/>
                <w:szCs w:val="19"/>
              </w:rPr>
              <w:t>Local y barrio</w:t>
            </w:r>
          </w:p>
        </w:tc>
        <w:tc>
          <w:tcPr>
            <w:tcW w:w="3599" w:type="dxa"/>
            <w:tcBorders>
              <w:bottom w:val="single" w:sz="6" w:space="0" w:color="808080"/>
            </w:tcBorders>
          </w:tcPr>
          <w:p>
            <w:pPr>
              <w:pStyle w:val="Normal"/>
              <w:spacing w:lineRule="auto" w:line="252" w:before="0" w:after="0"/>
              <w:ind w:hanging="0"/>
              <w:rPr/>
            </w:pPr>
            <w:r>
              <w:rPr>
                <w:sz w:val="19"/>
                <w:szCs w:val="19"/>
              </w:rPr>
              <w:t>Pizarra en la calle, cartel en la terraza, colaboración con las fiestas del barrio y las Fallas</w:t>
            </w:r>
          </w:p>
        </w:tc>
        <w:tc>
          <w:tcPr>
            <w:tcW w:w="1601" w:type="dxa"/>
            <w:tcBorders>
              <w:bottom w:val="single" w:sz="6" w:space="0" w:color="808080"/>
            </w:tcBorders>
          </w:tcPr>
          <w:p>
            <w:pPr>
              <w:pStyle w:val="Normal"/>
              <w:spacing w:lineRule="auto" w:line="252" w:before="0" w:after="0"/>
              <w:ind w:hanging="0"/>
              <w:rPr/>
            </w:pPr>
            <w:r>
              <w:rPr>
                <w:sz w:val="19"/>
                <w:szCs w:val="19"/>
              </w:rPr>
              <w:t>Variable</w:t>
            </w:r>
          </w:p>
        </w:tc>
        <w:tc>
          <w:tcPr>
            <w:tcW w:w="1825" w:type="dxa"/>
            <w:tcBorders>
              <w:bottom w:val="single" w:sz="6" w:space="0" w:color="808080"/>
            </w:tcBorders>
          </w:tcPr>
          <w:p>
            <w:pPr>
              <w:pStyle w:val="Normal"/>
              <w:spacing w:lineRule="auto" w:line="252" w:before="0" w:after="0"/>
              <w:ind w:hanging="0"/>
              <w:rPr/>
            </w:pPr>
            <w:r>
              <w:rPr>
                <w:sz w:val="19"/>
                <w:szCs w:val="19"/>
              </w:rPr>
              <w:t>Reservas de grupos</w:t>
            </w:r>
          </w:p>
        </w:tc>
      </w:tr>
    </w:tbl>
    <w:p>
      <w:pPr>
        <w:pStyle w:val="Normal"/>
        <w:spacing w:lineRule="auto" w:line="276" w:before="80" w:after="240"/>
        <w:ind w:hanging="0"/>
        <w:rPr/>
      </w:pPr>
      <w:r>
        <w:rPr>
          <w:i/>
          <w:iCs/>
          <w:sz w:val="20"/>
          <w:szCs w:val="20"/>
        </w:rPr>
        <w:t>Nota.</w:t>
      </w:r>
      <w:r>
        <w:rPr>
          <w:sz w:val="20"/>
          <w:szCs w:val="20"/>
        </w:rPr>
        <w:t xml:space="preserve"> Elaboración propia.</w:t>
      </w:r>
    </w:p>
    <w:p>
      <w:pPr>
        <w:pStyle w:val="Normal"/>
        <w:rPr/>
      </w:pPr>
      <w:r>
        <w:rPr/>
        <w:t>El calendario de marketing sigue el curso universitario: inicio de curso en septiembre, exámenes en enero y junio (cuando bajan las cenas y suben los pedidos para llevar), Fallas en marzo y verano, cuando el campus se vacía y el local depende del barrio. El sistema que el proyecto implanta es también una herramienta de marketing: con las ventas registradas plato a plato y por franja horaria, el encargado sabrá qué promocionar, cuándo y a quién, y podrá medir si cada acción ha funcionado, algo que hoy no puede hacer.</w:t>
      </w:r>
      <w:r>
        <w:br w:type="page"/>
      </w:r>
    </w:p>
    <w:p>
      <w:pPr>
        <w:pStyle w:val="Heading1"/>
        <w:rPr/>
      </w:pPr>
      <w:bookmarkStart w:id="19" w:name="__RefHeading___Toc1996_3382994897"/>
      <w:bookmarkEnd w:id="19"/>
      <w:r>
        <w:rPr/>
        <w:t>7. Conclusiones</w:t>
      </w:r>
    </w:p>
    <w:p>
      <w:pPr>
        <w:pStyle w:val="Normal"/>
        <w:rPr/>
      </w:pPr>
      <w:r>
        <w:rPr/>
        <w:t>Burglar King es una hamburguesería de barrio en Burjassot, con trece mesas, cuatro personas y unas ventas de unos 45.000 euros mensuales sin IVA. Pertenece a la restauración independiente, que agrupa al 93 % de los locales del país, y opera en el sector que más empleo crea en España y uno de los que menos margen deja: la rentabilidad de la restauración fue negativa en 2025. Su empresa de referencia, Hundred Burgers, muestra que una hamburguesería valenciana puede crecer con carta corta, buen producto y un flujo de pedido digital; el caso de Goiko muestra lo rápido que se deshace un negocio de hamburguesas cuando el consumo cae y los costes no.</w:t>
      </w:r>
    </w:p>
    <w:p>
      <w:pPr>
        <w:pStyle w:val="Normal"/>
        <w:rPr/>
      </w:pPr>
      <w:r>
        <w:rPr/>
        <w:t>Las cifras del modelo de negocio son coherentes con los ratios del sector: la materia prima supone el 32 % de las ventas, el personal el 33 %, el alquiler el 2 % y los suministros el 8 %, lo que deja un resultado antes de impuestos del 16 %. Los salarios parten del convenio provincial de hostelería, en ultraactividad desde enero de 2026, pero el local paga por encima de él (2.000 euros brutos el que menos cobra), y la cotización empresarial añade un 32 % al bruto; el alquiler, de 1.000 euros por 120 metros cuadrados, está en la media del mercado de Burjassot. Las comisiones de las plataformas de reparto, unos 2.100 euros al mes, son el coste que más margen tiene de reducirse. La financiación del proyecto tecnológico, de entre 5.000 y 8.000 euros, puede cubrirse con tesorería propia y, si hace falta, con un microcrédito de MicroBank; el Kit Digital ya no existe y las ayudas autonómicas no se darán por hechas.</w:t>
      </w:r>
    </w:p>
    <w:p>
      <w:pPr>
        <w:pStyle w:val="Normal"/>
        <w:rPr/>
      </w:pPr>
      <w:r>
        <w:rPr/>
        <w:t>El entorno añade urgencia y oportunidad. Verifactu fija una fecha, el 1 de enero de 2027, a partir de la cual el sistema de facturación actual dejará de ser legal para una sociedad. El fin del soporte de Windows 10 obliga a renovar el puesto de caja en cualquier caso. Y el cliente decide dónde comer mirando las reseñas y la carta en el teléfono, de modo que la reputación en línea es parte del producto. Lo que le falta a la empresa no es dinero, sino alguien que diseñe su infraestructura y la deje funcionando sola: una red separada de la de los clientes, un servidor con copias, cuentas individuales y, sobre todo, que la comanda llegue a la cocina en pantalla y el pedido de reparto no se copie a mano. Ese es el proyecto que este informe deja planteado.</w:t>
      </w:r>
      <w:r>
        <w:br w:type="page"/>
      </w:r>
    </w:p>
    <w:p>
      <w:pPr>
        <w:pStyle w:val="Heading1"/>
        <w:rPr/>
      </w:pPr>
      <w:bookmarkStart w:id="20" w:name="__RefHeading___Toc1998_3382994897"/>
      <w:bookmarkEnd w:id="20"/>
      <w:r>
        <w:rPr/>
        <w:t>8. Bibliografía</w:t>
      </w:r>
    </w:p>
    <w:p>
      <w:pPr>
        <w:pStyle w:val="Normal"/>
        <w:ind w:hanging="720" w:left="720"/>
        <w:rPr/>
      </w:pPr>
      <w:r>
        <w:rPr/>
        <w:t xml:space="preserve">Buenavista Equity Partners. (2025, 20 de octubre). </w:t>
      </w:r>
      <w:r>
        <w:rPr>
          <w:i/>
          <w:iCs/>
        </w:rPr>
        <w:t>Buenavista invests in Hundred Burgers</w:t>
      </w:r>
      <w:r>
        <w:rPr/>
        <w:t>. https://www.buenavistaequity.com/en/buenavista-invests-in-hundred-burgers/</w:t>
      </w:r>
    </w:p>
    <w:p>
      <w:pPr>
        <w:pStyle w:val="Normal"/>
        <w:ind w:hanging="720" w:left="720"/>
        <w:rPr/>
      </w:pPr>
      <w:r>
        <w:rPr/>
        <w:t xml:space="preserve">Cámara de España. (2022). </w:t>
      </w:r>
      <w:r>
        <w:rPr>
          <w:i/>
          <w:iCs/>
        </w:rPr>
        <w:t>MicroBank y Cámara de España renuevan su acuerdo para financiar a autónomos y microempresas</w:t>
      </w:r>
      <w:r>
        <w:rPr/>
        <w:t xml:space="preserve"> [Nota de prensa]. https://www.camara.es/sites/default/files/noticias/NdP%20MicroBank.docxmj.pdf</w:t>
      </w:r>
    </w:p>
    <w:p>
      <w:pPr>
        <w:pStyle w:val="Normal"/>
        <w:ind w:hanging="720" w:left="720"/>
        <w:rPr/>
      </w:pPr>
      <w:r>
        <w:rPr/>
        <w:t xml:space="preserve">Comisiones Obreras. (2025). </w:t>
      </w:r>
      <w:r>
        <w:rPr>
          <w:i/>
          <w:iCs/>
        </w:rPr>
        <w:t>Convenio colectivo de hostelería de Valencia</w:t>
      </w:r>
      <w:r>
        <w:rPr/>
        <w:t xml:space="preserve"> [Texto y tablas salariales]. https://ccoo.app/convenio/convenio-colectivo-hosteleria-de-valencia/</w:t>
      </w:r>
    </w:p>
    <w:p>
      <w:pPr>
        <w:pStyle w:val="Normal"/>
        <w:ind w:hanging="720" w:left="720"/>
        <w:rPr/>
      </w:pPr>
      <w:r>
        <w:rPr/>
        <w:t xml:space="preserve">Economía 3. (2024, 3 de diciembre). </w:t>
      </w:r>
      <w:r>
        <w:rPr>
          <w:i/>
          <w:iCs/>
        </w:rPr>
        <w:t>Hundred, el éxito empresarial detrás de la mejor hamburguesa del mundo</w:t>
      </w:r>
      <w:r>
        <w:rPr/>
        <w:t>. https://economia3.com/2024/12/03/686188-hundred-el-exito-empresarial-detras-de-la-mejor-hamburguesa-del-mundo/</w:t>
      </w:r>
    </w:p>
    <w:p>
      <w:pPr>
        <w:pStyle w:val="Normal"/>
        <w:ind w:hanging="720" w:left="720"/>
        <w:rPr/>
      </w:pPr>
      <w:r>
        <w:rPr/>
        <w:t xml:space="preserve">El Confidencial Digital. (2025, 20 de octubre). </w:t>
      </w:r>
      <w:r>
        <w:rPr>
          <w:i/>
          <w:iCs/>
        </w:rPr>
        <w:t>Una operación en Valencia cambia el destino de la mejor hamburguesa del mundo</w:t>
      </w:r>
      <w:r>
        <w:rPr/>
        <w:t>. https://www.elconfidencialdigital.com/articulo/gourmet/operacion-valencia-cambia-destino-mejor-hamburguesa-mundo/20251020205224985136.html</w:t>
      </w:r>
    </w:p>
    <w:p>
      <w:pPr>
        <w:pStyle w:val="Normal"/>
        <w:ind w:hanging="720" w:left="720"/>
        <w:rPr/>
      </w:pPr>
      <w:r>
        <w:rPr/>
        <w:t xml:space="preserve">El Independiente. (2026, 21 de mayo). </w:t>
      </w:r>
      <w:r>
        <w:rPr>
          <w:i/>
          <w:iCs/>
        </w:rPr>
        <w:t>La digitalización silenciosa impulsa el uso del software TPV en la hostelería española</w:t>
      </w:r>
      <w:r>
        <w:rPr/>
        <w:t>. https://www.elindependiente.com/eli/2026/05/21/la-digitalizacion-silenciosa-impulsa-el-uso-del-software-tpv-en-la-hosteleria-espanola/</w:t>
      </w:r>
    </w:p>
    <w:p>
      <w:pPr>
        <w:pStyle w:val="Normal"/>
        <w:ind w:hanging="720" w:left="720"/>
        <w:rPr/>
      </w:pPr>
      <w:r>
        <w:rPr/>
        <w:t xml:space="preserve">El Periòdic. (2025, 27 de mayo). </w:t>
      </w:r>
      <w:r>
        <w:rPr>
          <w:i/>
          <w:iCs/>
        </w:rPr>
        <w:t>Un bar cada 174 valencianos: la Comunitat Valenciana, tercera con más bares y restaurantes</w:t>
      </w:r>
      <w:r>
        <w:rPr/>
        <w:t>. https://www.elperiodic.com/cada-valencianos-comunitat-valenciana-tercera-bares-restaurantes_1018629</w:t>
      </w:r>
    </w:p>
    <w:p>
      <w:pPr>
        <w:pStyle w:val="Normal"/>
        <w:ind w:hanging="720" w:left="720"/>
        <w:rPr/>
      </w:pPr>
      <w:r>
        <w:rPr/>
        <w:t xml:space="preserve">Forbes España. (2026, 3 de septiembre). </w:t>
      </w:r>
      <w:r>
        <w:rPr>
          <w:i/>
          <w:iCs/>
        </w:rPr>
        <w:t>Goiko dispara un 161 % sus pérdidas hasta los 36,4 millones en 2025</w:t>
      </w:r>
      <w:r>
        <w:rPr/>
        <w:t>. https://forbes.es/ultima-hora/1009888/goiko-dispara-un-161-sus-perdidas-hasta-los-364-millones-en-2025/</w:t>
      </w:r>
    </w:p>
    <w:p>
      <w:pPr>
        <w:pStyle w:val="Normal"/>
        <w:ind w:hanging="720" w:left="720"/>
        <w:rPr/>
      </w:pPr>
      <w:r>
        <w:rPr/>
        <w:t xml:space="preserve">Fotocasa. (2026). </w:t>
      </w:r>
      <w:r>
        <w:rPr>
          <w:i/>
          <w:iCs/>
        </w:rPr>
        <w:t>Locales de alquiler en Burjassot</w:t>
      </w:r>
      <w:r>
        <w:rPr/>
        <w:t>. https://www.fotocasa.es/es/alquiler/locales/burjassot/todas-las-zonas/l</w:t>
      </w:r>
    </w:p>
    <w:p>
      <w:pPr>
        <w:pStyle w:val="Normal"/>
        <w:ind w:hanging="720" w:left="720"/>
        <w:rPr/>
      </w:pPr>
      <w:r>
        <w:rPr/>
        <w:t xml:space="preserve">Garrigues. (2025, diciembre). </w:t>
      </w:r>
      <w:r>
        <w:rPr>
          <w:i/>
          <w:iCs/>
        </w:rPr>
        <w:t>Se retrasa la entrada en vigor de Veri*factu</w:t>
      </w:r>
      <w:r>
        <w:rPr/>
        <w:t>. https://www.garrigues.com/es_ES/noticia/retrasa-entrada-vigor-verifactu</w:t>
      </w:r>
    </w:p>
    <w:p>
      <w:pPr>
        <w:pStyle w:val="Normal"/>
        <w:ind w:hanging="720" w:left="720"/>
        <w:rPr/>
      </w:pPr>
      <w:r>
        <w:rPr/>
        <w:t xml:space="preserve">GM Cash. (2026). </w:t>
      </w:r>
      <w:r>
        <w:rPr>
          <w:i/>
          <w:iCs/>
        </w:rPr>
        <w:t>Quiénes somos</w:t>
      </w:r>
      <w:r>
        <w:rPr/>
        <w:t>. https://www.gmcash.es/quienes-somos/</w:t>
      </w:r>
    </w:p>
    <w:p>
      <w:pPr>
        <w:pStyle w:val="Normal"/>
        <w:ind w:hanging="720" w:left="720"/>
        <w:rPr/>
      </w:pPr>
      <w:r>
        <w:rPr/>
        <w:t xml:space="preserve">Habitaclia. (2026). </w:t>
      </w:r>
      <w:r>
        <w:rPr>
          <w:i/>
          <w:iCs/>
        </w:rPr>
        <w:t>Alquiler de locales comerciales en L'Eixereta, Burjassot</w:t>
      </w:r>
      <w:r>
        <w:rPr/>
        <w:t>. https://www.habitaclia.com/alquiler-locales_comerciales-l_eixereta-burjassot.htm</w:t>
      </w:r>
    </w:p>
    <w:p>
      <w:pPr>
        <w:pStyle w:val="Normal"/>
        <w:ind w:hanging="720" w:left="720"/>
        <w:rPr/>
      </w:pPr>
      <w:r>
        <w:rPr/>
        <w:t xml:space="preserve">Hostelería Madrid. (s.f.). </w:t>
      </w:r>
      <w:r>
        <w:rPr>
          <w:i/>
          <w:iCs/>
        </w:rPr>
        <w:t>¿Cuánto cuesta abrir un local de hostelería?</w:t>
      </w:r>
      <w:r>
        <w:rPr/>
        <w:t xml:space="preserve"> https://www.hosteleriamadrid.com/blog/fiscal/gastos-hosteleria/</w:t>
      </w:r>
    </w:p>
    <w:p>
      <w:pPr>
        <w:pStyle w:val="Normal"/>
        <w:ind w:hanging="720" w:left="720"/>
        <w:rPr/>
      </w:pPr>
      <w:r>
        <w:rPr/>
        <w:t xml:space="preserve">Hosteltur. (2026, 5 de enero). </w:t>
      </w:r>
      <w:r>
        <w:rPr>
          <w:i/>
          <w:iCs/>
        </w:rPr>
        <w:t>La hostelería alcanza los 1,89 millones de empleados en 2025 pero ve amenazada su rentabilidad</w:t>
      </w:r>
      <w:r>
        <w:rPr/>
        <w:t>. https://www.hosteltur.com/173449_la-hosteleria-alcanza-los-189-millones-de-empleados-en-2025-pero-ve-amenazada-su-rentabilidad.html</w:t>
      </w:r>
    </w:p>
    <w:p>
      <w:pPr>
        <w:pStyle w:val="Normal"/>
        <w:ind w:hanging="720" w:left="720"/>
        <w:rPr/>
      </w:pPr>
      <w:r>
        <w:rPr/>
        <w:t xml:space="preserve">Ibermutua. (2026). </w:t>
      </w:r>
      <w:r>
        <w:rPr>
          <w:i/>
          <w:iCs/>
        </w:rPr>
        <w:t>Bases y tipos de cotización a la Seguridad Social para 2026</w:t>
      </w:r>
      <w:r>
        <w:rPr/>
        <w:t>. https://www.ibermutua.es/wp-content/uploads/2026/04/BASES-Y-TIPOS-DE-COTIZACION-A-LA-SEGURIDAD-SOCIAL-PARA-2026.pdf</w:t>
      </w:r>
    </w:p>
    <w:p>
      <w:pPr>
        <w:pStyle w:val="Normal"/>
        <w:ind w:hanging="720" w:left="720"/>
        <w:rPr/>
      </w:pPr>
      <w:r>
        <w:rPr/>
        <w:t xml:space="preserve">idealista. (2026). </w:t>
      </w:r>
      <w:r>
        <w:rPr>
          <w:i/>
          <w:iCs/>
        </w:rPr>
        <w:t>Locales en alquiler en Burjassot, Valencia</w:t>
      </w:r>
      <w:r>
        <w:rPr/>
        <w:t>. https://www.idealista.com/alquiler-locales/burjassot-valencia/</w:t>
      </w:r>
    </w:p>
    <w:p>
      <w:pPr>
        <w:pStyle w:val="Normal"/>
        <w:ind w:hanging="720" w:left="720"/>
        <w:rPr/>
      </w:pPr>
      <w:r>
        <w:rPr/>
        <w:t xml:space="preserve">idealista/news. (2026, 19 de mayo). </w:t>
      </w:r>
      <w:r>
        <w:rPr>
          <w:i/>
          <w:iCs/>
        </w:rPr>
        <w:t>Ayudas 2026 para pymes y autónomos tras el fin del Kit Digital</w:t>
      </w:r>
      <w:r>
        <w:rPr/>
        <w:t>. https://www.idealista.com/news/vacacional/mercado-vacacional/2026/05/19/897606-ayudas-2026-para-pymes-y-autonomos-tras-el-fin-del-kit-digital</w:t>
      </w:r>
    </w:p>
    <w:p>
      <w:pPr>
        <w:pStyle w:val="Normal"/>
        <w:ind w:hanging="720" w:left="720"/>
        <w:rPr/>
      </w:pPr>
      <w:r>
        <w:rPr/>
        <w:t xml:space="preserve">IES Conselleria. (2025a). </w:t>
      </w:r>
      <w:r>
        <w:rPr>
          <w:i/>
          <w:iCs/>
        </w:rPr>
        <w:t>Projecte intermodular 1r ASIR: continguts, criteris i recuperació</w:t>
      </w:r>
      <w:r>
        <w:rPr/>
        <w:t xml:space="preserve"> [Documento interno del centro].</w:t>
      </w:r>
    </w:p>
    <w:p>
      <w:pPr>
        <w:pStyle w:val="Normal"/>
        <w:ind w:hanging="720" w:left="720"/>
        <w:rPr/>
      </w:pPr>
      <w:r>
        <w:rPr/>
        <w:t xml:space="preserve">IES Conselleria. (2025b). </w:t>
      </w:r>
      <w:r>
        <w:rPr>
          <w:i/>
          <w:iCs/>
        </w:rPr>
        <w:t>Manual integral: el proyecto intermodular en FP</w:t>
      </w:r>
      <w:r>
        <w:rPr/>
        <w:t xml:space="preserve"> [Documento interno del centro].</w:t>
      </w:r>
    </w:p>
    <w:p>
      <w:pPr>
        <w:pStyle w:val="Normal"/>
        <w:ind w:hanging="720" w:left="720"/>
        <w:rPr/>
      </w:pPr>
      <w:r>
        <w:rPr/>
        <w:t xml:space="preserve">Instituto de Crédito Oficial. (s.f.). </w:t>
      </w:r>
      <w:r>
        <w:rPr>
          <w:i/>
          <w:iCs/>
        </w:rPr>
        <w:t>ICO Empresas y Emprendedores</w:t>
      </w:r>
      <w:r>
        <w:rPr/>
        <w:t xml:space="preserve"> [Ficha de producto]. https://www.ico.es/</w:t>
      </w:r>
    </w:p>
    <w:p>
      <w:pPr>
        <w:pStyle w:val="Normal"/>
        <w:ind w:hanging="720" w:left="720"/>
        <w:rPr/>
      </w:pPr>
      <w:r>
        <w:rPr/>
        <w:t xml:space="preserve">Instituto Nacional de Estadística. (2025a, 11 de diciembre). </w:t>
      </w:r>
      <w:r>
        <w:rPr>
          <w:i/>
          <w:iCs/>
        </w:rPr>
        <w:t>Directorio Central de Empresas (DIRCE). Datos a 1 de enero de 2025</w:t>
      </w:r>
      <w:r>
        <w:rPr/>
        <w:t xml:space="preserve"> [Nota de prensa]. https://www.ine.es/dyngs/Prensa/DIRCE2025.htm</w:t>
      </w:r>
    </w:p>
    <w:p>
      <w:pPr>
        <w:pStyle w:val="Normal"/>
        <w:ind w:hanging="720" w:left="720"/>
        <w:rPr/>
      </w:pPr>
      <w:r>
        <w:rPr/>
        <w:t xml:space="preserve">Instituto Nacional de Estadística. (2025b). </w:t>
      </w:r>
      <w:r>
        <w:rPr>
          <w:i/>
          <w:iCs/>
        </w:rPr>
        <w:t>Encuesta sobre el uso de TIC y del comercio electrónico en las empresas. Año 2024 – primer trimestre de 2025</w:t>
      </w:r>
      <w:r>
        <w:rPr/>
        <w:t xml:space="preserve"> [Nota de prensa]. https://www.ine.es/dyngs/Prensa/ETICCE20241T2025.htm</w:t>
      </w:r>
    </w:p>
    <w:p>
      <w:pPr>
        <w:pStyle w:val="Normal"/>
        <w:ind w:hanging="720" w:left="720"/>
        <w:rPr/>
      </w:pPr>
      <w:r>
        <w:rPr/>
        <w:t xml:space="preserve">L'Express Franchise. (2026, 15 de julio). </w:t>
      </w:r>
      <w:r>
        <w:rPr>
          <w:i/>
          <w:iCs/>
        </w:rPr>
        <w:t>¿Cuántos españoles descartan un restaurante por sus malas reseñas online?</w:t>
      </w:r>
      <w:r>
        <w:rPr/>
        <w:t xml:space="preserve"> [Estudio de TheFork Lab]. https://lexpress-franchise.com/es/ultimas-noticias/cuantos-espanoles-descartan-restaurante-por-malas-resenas-online/</w:t>
      </w:r>
    </w:p>
    <w:p>
      <w:pPr>
        <w:pStyle w:val="Normal"/>
        <w:ind w:hanging="720" w:left="720"/>
        <w:rPr/>
      </w:pPr>
      <w:r>
        <w:rPr/>
        <w:t xml:space="preserve">Ley 11/2021, de 9 de julio, de medidas de prevención y lucha contra el fraude fiscal. </w:t>
      </w:r>
      <w:r>
        <w:rPr>
          <w:i/>
          <w:iCs/>
        </w:rPr>
        <w:t>BOE</w:t>
      </w:r>
      <w:r>
        <w:rPr/>
        <w:t>, 164. https://www.boe.es/buscar/act.php?id=BOE-A-2021-11473</w:t>
      </w:r>
    </w:p>
    <w:p>
      <w:pPr>
        <w:pStyle w:val="Normal"/>
        <w:ind w:hanging="720" w:left="720"/>
        <w:rPr/>
      </w:pPr>
      <w:r>
        <w:rPr/>
        <w:t xml:space="preserve">Ley 29/1994, de 24 de noviembre, de Arrendamientos Urbanos. </w:t>
      </w:r>
      <w:r>
        <w:rPr>
          <w:i/>
          <w:iCs/>
        </w:rPr>
        <w:t>BOE</w:t>
      </w:r>
      <w:r>
        <w:rPr/>
        <w:t>, 282. https://www.boe.es/buscar/act.php?id=BOE-A-1994-26003</w:t>
      </w:r>
    </w:p>
    <w:p>
      <w:pPr>
        <w:pStyle w:val="Normal"/>
        <w:ind w:hanging="720" w:left="720"/>
        <w:rPr/>
      </w:pPr>
      <w:r>
        <w:rPr/>
        <w:t xml:space="preserve">Ley 37/1992, de 28 de diciembre, del Impuesto sobre el Valor Añadido. </w:t>
      </w:r>
      <w:r>
        <w:rPr>
          <w:i/>
          <w:iCs/>
        </w:rPr>
        <w:t>BOE</w:t>
      </w:r>
      <w:r>
        <w:rPr/>
        <w:t>, 312. https://www.boe.es/buscar/act.php?id=BOE-A-1992-28740</w:t>
      </w:r>
    </w:p>
    <w:p>
      <w:pPr>
        <w:pStyle w:val="Normal"/>
        <w:ind w:hanging="720" w:left="720"/>
        <w:rPr/>
      </w:pPr>
      <w:r>
        <w:rPr/>
        <w:t xml:space="preserve">Ley 7/2022, de 8 de abril, de residuos y suelos contaminados para una economía circular. </w:t>
      </w:r>
      <w:r>
        <w:rPr>
          <w:i/>
          <w:iCs/>
        </w:rPr>
        <w:t>BOE</w:t>
      </w:r>
      <w:r>
        <w:rPr/>
        <w:t>, 85. https://www.boe.es/buscar/act.php?id=BOE-A-2022-5809</w:t>
      </w:r>
    </w:p>
    <w:p>
      <w:pPr>
        <w:pStyle w:val="Normal"/>
        <w:ind w:hanging="720" w:left="720"/>
        <w:rPr/>
      </w:pPr>
      <w:r>
        <w:rPr/>
        <w:t xml:space="preserve">Ley 7/2024, de 20 de diciembre, por la que se establecen un Impuesto Complementario y otras medidas tributarias, entre ellas el tipo reducido del Impuesto sobre Sociedades para microempresas. </w:t>
      </w:r>
      <w:r>
        <w:rPr>
          <w:i/>
          <w:iCs/>
        </w:rPr>
        <w:t>BOE</w:t>
      </w:r>
      <w:r>
        <w:rPr/>
        <w:t>, 307. https://www.boe.es/buscar/act.php?id=BOE-A-2024-26694</w:t>
      </w:r>
    </w:p>
    <w:p>
      <w:pPr>
        <w:pStyle w:val="Normal"/>
        <w:ind w:hanging="720" w:left="720"/>
        <w:rPr/>
      </w:pPr>
      <w:r>
        <w:rPr/>
        <w:t xml:space="preserve">Ley Orgánica 3/2018, de 5 de diciembre, de Protección de Datos Personales y garantía de los derechos digitales. </w:t>
      </w:r>
      <w:r>
        <w:rPr>
          <w:i/>
          <w:iCs/>
        </w:rPr>
        <w:t>BOE</w:t>
      </w:r>
      <w:r>
        <w:rPr/>
        <w:t>, 294. https://www.boe.es/buscar/act.php?id=BOE-A-2018-16673</w:t>
      </w:r>
    </w:p>
    <w:p>
      <w:pPr>
        <w:pStyle w:val="Normal"/>
        <w:ind w:hanging="720" w:left="720"/>
        <w:rPr/>
      </w:pPr>
      <w:r>
        <w:rPr/>
        <w:t xml:space="preserve">Makro España. (2026). </w:t>
      </w:r>
      <w:r>
        <w:rPr>
          <w:i/>
          <w:iCs/>
        </w:rPr>
        <w:t>Cash and carry</w:t>
      </w:r>
      <w:r>
        <w:rPr/>
        <w:t>. https://www.makro.es/compra-como-quieras/cash-and-carry</w:t>
      </w:r>
    </w:p>
    <w:p>
      <w:pPr>
        <w:pStyle w:val="Normal"/>
        <w:ind w:hanging="720" w:left="720"/>
        <w:rPr/>
      </w:pPr>
      <w:r>
        <w:rPr/>
        <w:t xml:space="preserve">Microsoft. (2025). </w:t>
      </w:r>
      <w:r>
        <w:rPr>
          <w:i/>
          <w:iCs/>
        </w:rPr>
        <w:t>El soporte de Windows 10 ha finalizado</w:t>
      </w:r>
      <w:r>
        <w:rPr/>
        <w:t>. https://www.microsoft.com/es-es/windows/end-of-support</w:t>
      </w:r>
    </w:p>
    <w:p>
      <w:pPr>
        <w:pStyle w:val="Normal"/>
        <w:ind w:hanging="720" w:left="720"/>
        <w:rPr/>
      </w:pPr>
      <w:r>
        <w:rPr/>
        <w:t xml:space="preserve">Nuroa. (2026). </w:t>
      </w:r>
      <w:r>
        <w:rPr>
          <w:i/>
          <w:iCs/>
        </w:rPr>
        <w:t>Locales en alquiler en Burjassot</w:t>
      </w:r>
      <w:r>
        <w:rPr/>
        <w:t>. https://www.nuroa.es/alquiler/local-burjassot</w:t>
      </w:r>
    </w:p>
    <w:p>
      <w:pPr>
        <w:pStyle w:val="Normal"/>
        <w:ind w:hanging="720" w:left="720"/>
        <w:rPr/>
      </w:pPr>
      <w:r>
        <w:rPr/>
        <w:t xml:space="preserve">Profesional Horeca. (2025, junio). </w:t>
      </w:r>
      <w:r>
        <w:rPr>
          <w:i/>
          <w:iCs/>
        </w:rPr>
        <w:t>La hostelería en España en 2025: 280.400 establecimientos, transformación y consolidación</w:t>
      </w:r>
      <w:r>
        <w:rPr/>
        <w:t>. https://www.profesionalhoreca.com/la-hosteleria-en-espana-en-2025-280-400-establecimientos-transformacion-y-consolidacion/</w:t>
      </w:r>
    </w:p>
    <w:p>
      <w:pPr>
        <w:pStyle w:val="Normal"/>
        <w:ind w:hanging="720" w:left="720"/>
        <w:rPr/>
      </w:pPr>
      <w:r>
        <w:rPr/>
        <w:t xml:space="preserve">Qamarero. (2025). </w:t>
      </w:r>
      <w:r>
        <w:rPr>
          <w:i/>
          <w:iCs/>
        </w:rPr>
        <w:t>Comisiones delivery 2025: cuánto cobran realmente las plataformas</w:t>
      </w:r>
      <w:r>
        <w:rPr/>
        <w:t>. https://qamarero.com/blog/comisiones-delivery-cuanto-cobran-realmente-las-plataformas/</w:t>
      </w:r>
    </w:p>
    <w:p>
      <w:pPr>
        <w:pStyle w:val="Normal"/>
        <w:ind w:hanging="720" w:left="720"/>
        <w:rPr/>
      </w:pPr>
      <w:r>
        <w:rPr/>
        <w:t xml:space="preserve">Real Decreto 1007/2023, de 5 de diciembre, por el que se aprueba el Reglamento que establece los requisitos que deben adoptar los sistemas y programas informáticos o electrónicos que soporten los procesos de facturación. </w:t>
      </w:r>
      <w:r>
        <w:rPr>
          <w:i/>
          <w:iCs/>
        </w:rPr>
        <w:t>BOE</w:t>
      </w:r>
      <w:r>
        <w:rPr/>
        <w:t>, 291. https://www.boe.es/buscar/act.php?id=BOE-A-2023-24840</w:t>
      </w:r>
    </w:p>
    <w:p>
      <w:pPr>
        <w:pStyle w:val="Normal"/>
        <w:ind w:hanging="720" w:left="720"/>
        <w:rPr/>
      </w:pPr>
      <w:r>
        <w:rPr/>
        <w:t xml:space="preserve">Real Decreto 110/2015, de 20 de febrero, sobre residuos de aparatos eléctricos y electrónicos. </w:t>
      </w:r>
      <w:r>
        <w:rPr>
          <w:i/>
          <w:iCs/>
        </w:rPr>
        <w:t>BOE</w:t>
      </w:r>
      <w:r>
        <w:rPr/>
        <w:t>, 45.</w:t>
      </w:r>
    </w:p>
    <w:p>
      <w:pPr>
        <w:pStyle w:val="Normal"/>
        <w:ind w:hanging="720" w:left="720"/>
        <w:rPr/>
      </w:pPr>
      <w:r>
        <w:rPr/>
        <w:t xml:space="preserve">Real Decreto 126/2015, de 27 de febrero, por el que se aprueba la norma general relativa a la información alimentaria de los alimentos que se presenten sin envasar. </w:t>
      </w:r>
      <w:r>
        <w:rPr>
          <w:i/>
          <w:iCs/>
        </w:rPr>
        <w:t>BOE</w:t>
      </w:r>
      <w:r>
        <w:rPr/>
        <w:t>, 54. https://www.boe.es/buscar/act.php?id=BOE-A-2015-2293</w:t>
      </w:r>
    </w:p>
    <w:p>
      <w:pPr>
        <w:pStyle w:val="Normal"/>
        <w:ind w:hanging="720" w:left="720"/>
        <w:rPr/>
      </w:pPr>
      <w:r>
        <w:rPr/>
        <w:t xml:space="preserve">Real Decreto 126/2026, de 18 de febrero, por el que se fija el salario mínimo interprofesional para 2026. </w:t>
      </w:r>
      <w:r>
        <w:rPr>
          <w:i/>
          <w:iCs/>
        </w:rPr>
        <w:t>BOE</w:t>
      </w:r>
      <w:r>
        <w:rPr/>
        <w:t>, 19 de febrero de 2026. https://www.boe.es/buscar/act.php?id=BOE-A-2026-3815</w:t>
      </w:r>
    </w:p>
    <w:p>
      <w:pPr>
        <w:pStyle w:val="Normal"/>
        <w:ind w:hanging="720" w:left="720"/>
        <w:rPr/>
      </w:pPr>
      <w:r>
        <w:rPr/>
        <w:t xml:space="preserve">Real Decreto Legislativo 2/2015, de 23 de octubre, por el que se aprueba el texto refundido de la Ley del Estatuto de los Trabajadores. </w:t>
      </w:r>
      <w:r>
        <w:rPr>
          <w:i/>
          <w:iCs/>
        </w:rPr>
        <w:t>BOE</w:t>
      </w:r>
      <w:r>
        <w:rPr/>
        <w:t>, 255. https://www.boe.es/buscar/act.php?id=BOE-A-2015-11430</w:t>
      </w:r>
    </w:p>
    <w:p>
      <w:pPr>
        <w:pStyle w:val="Normal"/>
        <w:ind w:hanging="720" w:left="720"/>
        <w:rPr/>
      </w:pPr>
      <w:r>
        <w:rPr/>
        <w:t xml:space="preserve">Real Decreto-ley 15/2025, de 2 de diciembre, por el que se aplaza la entrada en vigor de los requisitos de los sistemas informáticos de facturación. </w:t>
      </w:r>
      <w:r>
        <w:rPr>
          <w:i/>
          <w:iCs/>
        </w:rPr>
        <w:t>BOE</w:t>
      </w:r>
      <w:r>
        <w:rPr/>
        <w:t>, 3 de diciembre de 2025.</w:t>
      </w:r>
    </w:p>
    <w:p>
      <w:pPr>
        <w:pStyle w:val="Normal"/>
        <w:ind w:hanging="720" w:left="720"/>
        <w:rPr/>
      </w:pPr>
      <w:r>
        <w:rPr/>
        <w:t xml:space="preserve">Reglamento (UE) 2016/2235 de la Comisión, de 12 de diciembre de 2016, que modifica el anexo XVII del Reglamento (CE) n.º 1907/2006 en lo que respecta al bisfenol A. </w:t>
      </w:r>
      <w:r>
        <w:rPr>
          <w:i/>
          <w:iCs/>
        </w:rPr>
        <w:t>DOUE</w:t>
      </w:r>
      <w:r>
        <w:rPr/>
        <w:t>, L 337. https://eur-lex.europa.eu/legal-content/ES/TXT/?uri=CELEX%3A32016R2235</w:t>
      </w:r>
    </w:p>
    <w:p>
      <w:pPr>
        <w:pStyle w:val="Normal"/>
        <w:ind w:hanging="720" w:left="720"/>
        <w:rPr/>
      </w:pPr>
      <w:r>
        <w:rPr/>
        <w:t xml:space="preserve">Reglamento (UE) 2016/679 del Parlamento Europeo y del Consejo, de 27 de abril de 2016, relativo a la protección de las personas físicas en lo que respecta al tratamiento de datos personales (RGPD). </w:t>
      </w:r>
      <w:r>
        <w:rPr>
          <w:i/>
          <w:iCs/>
        </w:rPr>
        <w:t>DOUE</w:t>
      </w:r>
      <w:r>
        <w:rPr/>
        <w:t>, L 119. https://eur-lex.europa.eu/legal-content/ES/TXT/?uri=CELEX%3A32016R0679</w:t>
      </w:r>
    </w:p>
    <w:p>
      <w:pPr>
        <w:pStyle w:val="Normal"/>
        <w:ind w:hanging="720" w:left="720"/>
        <w:rPr/>
      </w:pPr>
      <w:r>
        <w:rPr/>
        <w:t xml:space="preserve">Reglamento (UE) n.º 1169/2011 del Parlamento Europeo y del Consejo, de 25 de octubre de 2011, sobre la información alimentaria facilitada al consumidor. </w:t>
      </w:r>
      <w:r>
        <w:rPr>
          <w:i/>
          <w:iCs/>
        </w:rPr>
        <w:t>DOUE</w:t>
      </w:r>
      <w:r>
        <w:rPr/>
        <w:t>, L 304. https://eur-lex.europa.eu/legal-content/ES/TXT/?uri=CELEX%3A32011R1169</w:t>
      </w:r>
    </w:p>
    <w:p>
      <w:pPr>
        <w:pStyle w:val="Normal"/>
        <w:ind w:hanging="720" w:left="720"/>
        <w:rPr/>
      </w:pPr>
      <w:r>
        <w:rPr/>
        <w:t xml:space="preserve">Riches Manuel y Roca. (2026). </w:t>
      </w:r>
      <w:r>
        <w:rPr>
          <w:i/>
          <w:iCs/>
        </w:rPr>
        <w:t>Análisis de la competencia y de los clientes potenciales: sistema KDS + TPV autoalojado para la hostelería independiente</w:t>
      </w:r>
      <w:r>
        <w:rPr/>
        <w:t xml:space="preserve"> [Documento del proyecto]. Proyecto Intermodular I, IES Conselleria.</w:t>
      </w:r>
    </w:p>
    <w:p>
      <w:pPr>
        <w:pStyle w:val="Normal"/>
        <w:ind w:hanging="720" w:left="720"/>
        <w:rPr/>
      </w:pPr>
      <w:r>
        <w:rPr/>
        <w:t xml:space="preserve">Tourinews. (2025). </w:t>
      </w:r>
      <w:r>
        <w:rPr>
          <w:i/>
          <w:iCs/>
        </w:rPr>
        <w:t>La gestión eficiente de un restaurante en 2025</w:t>
      </w:r>
      <w:r>
        <w:rPr/>
        <w:t>. https://www.tourinews.es/opinion/gestion-eficiente-restaurante-en-2025_4484586_102.html</w:t>
      </w:r>
    </w:p>
    <w:p>
      <w:pPr>
        <w:pStyle w:val="Normal"/>
        <w:ind w:hanging="720" w:left="720"/>
        <w:rPr/>
      </w:pPr>
      <w:r>
        <w:rPr/>
        <w:t xml:space="preserve">Turnozo. (2026). </w:t>
      </w:r>
      <w:r>
        <w:rPr>
          <w:i/>
          <w:iCs/>
        </w:rPr>
        <w:t>Convenio hostelería Valencia 2026: tablas, PDF y pluses</w:t>
      </w:r>
      <w:r>
        <w:rPr/>
        <w:t>. https://turnozo.com/es/blog/convenio-hosteleria-valencia-2026</w:t>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1440" w:right="1440" w:gutter="0" w:header="420" w:top="1700" w:footer="708"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spacing w:lineRule="auto" w:line="240"/>
      <w:ind w:hanging="0"/>
      <w:rPr/>
    </w:pPr>
    <w:r>
      <w:rPr>
        <w:color w:val="555555"/>
        <w:sz w:val="18"/>
        <w:szCs w:val="18"/>
      </w:rPr>
      <w:t>Burglar King · Proyecto Intermodular I · 1.º ASIR</w:t>
      <w:tab/>
      <w:t xml:space="preserve">Página </w:t>
    </w:r>
    <w:r>
      <w:rPr/>
      <w:fldChar w:fldCharType="begin"/>
    </w:r>
    <w:r>
      <w:rPr/>
      <w:instrText xml:space="preserve"> PAGE </w:instrText>
    </w:r>
    <w:r>
      <w:rPr/>
      <w:fldChar w:fldCharType="separate"/>
    </w:r>
    <w:r>
      <w:rPr/>
      <w:t>35</w:t>
    </w:r>
    <w:r>
      <w:rPr/>
      <w:fldChar w:fldCharType="end"/>
    </w:r>
    <w:r>
      <w:rPr/>
      <w:t xml:space="preserve"> de </w:t>
    </w:r>
    <w:r>
      <w:rPr/>
      <w:fldChar w:fldCharType="begin"/>
    </w:r>
    <w:r>
      <w:rPr/>
      <w:instrText xml:space="preserve"> NUMPAGES </w:instrText>
    </w:r>
    <w:r>
      <w:rPr/>
      <w:fldChar w:fldCharType="separate"/>
    </w:r>
    <w:r>
      <w:rPr/>
      <w:t>35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60"/>
      <w:ind w:hanging="0"/>
      <w:jc w:val="center"/>
      <w:rPr/>
    </w:pPr>
    <w:r>
      <w:rPr/>
      <w:drawing>
        <wp:inline distT="0" distB="0" distL="0" distR="0">
          <wp:extent cx="4286250" cy="485775"/>
          <wp:effectExtent l="0" t="0" r="0" b="0"/>
          <wp:docPr id="5" name="cabecera_guia.png" descr="Logos&#10;Unión Europea y Conselleria de Edu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becera_guia.png" descr="Logos&#10;Unión Europea y Conselleria de Educación"/>
                  <pic:cNvPicPr>
                    <a:picLocks noChangeAspect="1" noChangeArrowheads="1"/>
                  </pic:cNvPicPr>
                </pic:nvPicPr>
                <pic:blipFill>
                  <a:blip r:embed="rId1"/>
                  <a:stretch>
                    <a:fillRect/>
                  </a:stretch>
                </pic:blipFill>
                <pic:spPr bwMode="auto">
                  <a:xfrm>
                    <a:off x="0" y="0"/>
                    <a:ext cx="4286250" cy="485775"/>
                  </a:xfrm>
                  <a:prstGeom prst="rect">
                    <a:avLst/>
                  </a:prstGeom>
                  <a:noFill/>
                </pic:spPr>
              </pic:pic>
            </a:graphicData>
          </a:graphic>
        </wp:inline>
      </w:drawing>
    </w:r>
  </w:p>
  <w:p>
    <w:pPr>
      <w:pStyle w:val="Normal"/>
      <w:pBdr>
        <w:bottom w:val="single" w:sz="6" w:space="4" w:color="E67E22"/>
      </w:pBdr>
      <w:tabs>
        <w:tab w:val="clear" w:pos="720"/>
        <w:tab w:val="right" w:pos="9026" w:leader="none"/>
      </w:tabs>
      <w:spacing w:lineRule="auto" w:line="240"/>
      <w:ind w:hanging="0"/>
      <w:rPr/>
    </w:pPr>
    <w:r>
      <w:rPr>
        <w:color w:val="555555"/>
        <w:sz w:val="18"/>
        <w:szCs w:val="18"/>
      </w:rPr>
      <w:t>Burglar King · Reto 1</w:t>
      <w:tab/>
      <w:t>1.º ASIR · IES Conselleria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default="1">
    <w:name w:val="Normal"/>
    <w:qFormat/>
    <w:pPr>
      <w:widowControl/>
      <w:bidi w:val="0"/>
      <w:spacing w:lineRule="auto" w:line="480" w:before="0" w:after="0"/>
      <w:ind w:firstLine="720"/>
      <w:jc w:val="left"/>
    </w:pPr>
    <w:rPr>
      <w:rFonts w:ascii="Arial" w:hAnsi="Arial" w:eastAsia="Arial" w:cs="Arial"/>
      <w:color w:val="auto"/>
      <w:kern w:val="0"/>
      <w:sz w:val="22"/>
      <w:szCs w:val="22"/>
      <w:lang w:val="es-ES" w:eastAsia="zh-CN" w:bidi="hi-IN"/>
    </w:rPr>
  </w:style>
  <w:style w:type="paragraph" w:styleId="Heading1">
    <w:name w:val="heading 1"/>
    <w:basedOn w:val="Normal"/>
    <w:next w:val="Normal"/>
    <w:qFormat/>
    <w:pPr>
      <w:keepNext w:val="true"/>
      <w:spacing w:lineRule="auto" w:line="480" w:before="240" w:after="240"/>
      <w:ind w:hanging="0"/>
      <w:jc w:val="center"/>
      <w:outlineLvl w:val="0"/>
    </w:pPr>
    <w:rPr>
      <w:rFonts w:ascii="Arial" w:hAnsi="Arial" w:eastAsia="Arial" w:cs="Arial"/>
      <w:b/>
      <w:bCs/>
      <w:color w:val="000000"/>
      <w:sz w:val="24"/>
      <w:szCs w:val="24"/>
    </w:rPr>
  </w:style>
  <w:style w:type="paragraph" w:styleId="Heading2">
    <w:name w:val="heading 2"/>
    <w:basedOn w:val="Normal"/>
    <w:next w:val="Normal"/>
    <w:qFormat/>
    <w:pPr>
      <w:keepNext w:val="true"/>
      <w:spacing w:lineRule="auto" w:line="480" w:before="240" w:after="0"/>
      <w:ind w:hanging="0"/>
      <w:outlineLvl w:val="1"/>
    </w:pPr>
    <w:rPr>
      <w:rFonts w:ascii="Arial" w:hAnsi="Arial" w:eastAsia="Arial" w:cs="Arial"/>
      <w:b/>
      <w:bCs/>
      <w:color w:val="000000"/>
      <w:sz w:val="22"/>
      <w:szCs w:val="22"/>
    </w:rPr>
  </w:style>
  <w:style w:type="paragraph" w:styleId="Heading3">
    <w:name w:val="heading 3"/>
    <w:basedOn w:val="Normal"/>
    <w:next w:val="Normal"/>
    <w:qFormat/>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LibreOffice/25.2.3.2$Linux_AARCH64 LibreOffice_project/520$Build-2</Application>
  <AppVersion>15.0000</AppVersion>
  <Pages>35</Pages>
  <Words>8520</Words>
  <Characters>44655</Characters>
  <CharactersWithSpaces>52436</CharactersWithSpaces>
  <Paragraphs>737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2026-10-15T07:16:25Z</dcterms:created>
  <dc:creator>Riches Manuel y Roca</dc:creator>
  <dc:description>Informe del Reto 1 del Proyecto Intermodular I</dc:description>
  <dc:language>en-GB</dc:language>
  <cp:lastModifiedBy/>
  <dcterms:modified xsi:type="dcterms:W3CDTF">2026-10-15T09:16:31Z</dcterms:modified>
  <cp:revision>2</cp:revision>
  <dc:subject/>
  <dc:title>Burglar King: contextualización de la empresa y análisis de su entorno económico</dc:title>
</cp:coreProperties>
</file>