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SENSOR COUNTER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OTOMATISASI MONITORING JUMLAH PRODUK JADI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PRODUKSI, KERUPUK, BISKUIT, MIE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SISTEM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 &amp; 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BRIEFIENG DAN PENGARAHAN PERANCANGAN ALAT KE TIM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PENGAJUAN PEMBELIAN ALAT (PP)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27/10/2023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TARGET KEDATANGAN ALAT DARI PURCHASING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28/10/2023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WEB APLIKASI COUNTER HIT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&amp; SIMULASI ALAT IOT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IOT KE APLIKASI WEB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HADI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18/11/2023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  <w:highlight w:val="none"/>
              </w:rPr>
              <w:t xml:space="preserve">TRIAL DI DEPT IT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SELELSAI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KOODINASI DEPARTEMEN PRODUKSI UNTUK TRIAL DI AREA PRODUKSI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PEMASANGAN ALAT DI AREA PRODUKSI TIC TIC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  <w:highlight w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MEMBUAT KONEKTIVITAS ALAT DENGAN APLIKASI TOTALAN</w:t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  <w:r>
              <w:rPr>
                <w:rFonts w:ascii="Ubuntu" w:hAnsi="Ubuntu"/>
                <w:sz w:val="20"/>
                <w:szCs w:val="20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SISKA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TIC TIC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22/11/2023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GORIORIO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GRORIORIO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13/02/2024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AREA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MIE HANCUR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eastAsia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SENSOR COUNTER UNTUK PRODUKSI KERUPUK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13/08/2024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TARGET KEDATANGAN ALAT COUNTER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02/09/2024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PERANCANGAN, SIMULASI &amp; PEMASANGAN ALAT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HADI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21/09/2024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SENSOR DI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TRIAL SENSOR DI PRODUKSI KERUPUK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JAJAT &amp; SASTRA</w:t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23/10/2024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30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9</cp:revision>
  <dcterms:created xsi:type="dcterms:W3CDTF">2024-07-03T09:19:50Z</dcterms:created>
  <dcterms:modified xsi:type="dcterms:W3CDTF">2024-09-19T08:51:15Z</dcterms:modified>
</cp:coreProperties>
</file>