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57" w:after="57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CONSTRUÇÃO DO DICIONÁRIO</w:t>
      </w:r>
    </w:p>
    <w:p>
      <w:pPr>
        <w:pStyle w:val="Normal"/>
        <w:spacing w:lineRule="auto" w:line="360" w:before="57" w:after="57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57" w:after="57"/>
        <w:jc w:val="both"/>
        <w:rPr>
          <w:highlight w:val="blue"/>
        </w:rPr>
      </w:pPr>
      <w:r>
        <w:rPr>
          <w:rFonts w:ascii="Times New Roman" w:hAnsi="Times New Roman"/>
          <w:b/>
          <w:bCs/>
          <w:u w:val="none"/>
        </w:rPr>
        <w:t>Categoria “Países e Regiões”</w:t>
      </w:r>
    </w:p>
    <w:p>
      <w:pPr>
        <w:pStyle w:val="Normal"/>
        <w:numPr>
          <w:ilvl w:val="1"/>
          <w:numId w:val="1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De certo modo, todos os textos explorados advocam a favor da inclusão de uma categoria referente aos países e regiões. Para isso, usaremos como base no dicionário geográfico que está em inglês e em espanhol. Traduções para o Francês e Português serão feitas livremente pelo autor da tese. </w:t>
      </w:r>
    </w:p>
    <w:p>
      <w:pPr>
        <w:pStyle w:val="Normal"/>
        <w:numPr>
          <w:ilvl w:val="1"/>
          <w:numId w:val="1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Dicionário geográfico: </w:t>
      </w:r>
      <w:hyperlink r:id="rId2">
        <w:r>
          <w:rPr>
            <w:rStyle w:val="LinkdaInternet"/>
            <w:b w:val="false"/>
            <w:bCs w:val="false"/>
          </w:rPr>
          <w:t>https://github.com/koheiw/newsmap/tree/master/dict</w:t>
        </w:r>
      </w:hyperlink>
    </w:p>
    <w:p>
      <w:pPr>
        <w:pStyle w:val="Normal"/>
        <w:numPr>
          <w:ilvl w:val="0"/>
          <w:numId w:val="0"/>
        </w:numPr>
        <w:spacing w:lineRule="auto" w:line="360" w:before="57" w:after="57"/>
        <w:ind w:left="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360" w:before="57" w:after="57"/>
        <w:jc w:val="both"/>
        <w:rPr>
          <w:b/>
          <w:b/>
          <w:bCs/>
          <w:highlight w:val="blue"/>
        </w:rPr>
      </w:pPr>
      <w:r>
        <w:rPr>
          <w:b/>
          <w:bCs/>
        </w:rPr>
        <w:t>Categoria “Regionalismo”</w:t>
      </w:r>
    </w:p>
    <w:p>
      <w:pPr>
        <w:pStyle w:val="Normal"/>
        <w:numPr>
          <w:ilvl w:val="1"/>
          <w:numId w:val="2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>Seja através dos resultados das análises exploratórias (estruturais e categóricas) ou do arcabouço teórico utilizado, não há dúvidas em relação a inclusão de uma categoria que dê conta de mensurar os mecanismos regionais ao redor do globo. Convém salientar que essa categoria dá conta apenas de projetos com fôlego regional e que, de certo modo, se encaixem na tipologia de Bela Balassa.</w:t>
      </w:r>
    </w:p>
    <w:p>
      <w:pPr>
        <w:pStyle w:val="Normal"/>
        <w:numPr>
          <w:ilvl w:val="1"/>
          <w:numId w:val="2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Subcategorias: </w:t>
      </w:r>
    </w:p>
    <w:p>
      <w:pPr>
        <w:pStyle w:val="Normal"/>
        <w:numPr>
          <w:ilvl w:val="4"/>
          <w:numId w:val="2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>Menções gerais: a) Integração Regional; b) Cooperação Regional; c) Regionalismo;</w:t>
      </w:r>
    </w:p>
    <w:p>
      <w:pPr>
        <w:pStyle w:val="Normal"/>
        <w:numPr>
          <w:ilvl w:val="4"/>
          <w:numId w:val="2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Projetos: a) América; b) Europa; c) Ásia; d) África e Oriente Médio; e) Oceania;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360" w:before="57" w:after="57"/>
        <w:jc w:val="both"/>
        <w:rPr>
          <w:b/>
          <w:b/>
          <w:bCs/>
        </w:rPr>
      </w:pPr>
      <w:r>
        <w:rPr>
          <w:b/>
          <w:bCs/>
        </w:rPr>
        <w:t>Categoria “Mecanismos Internacionais”</w:t>
      </w:r>
    </w:p>
    <w:p>
      <w:pPr>
        <w:pStyle w:val="Normal"/>
        <w:numPr>
          <w:ilvl w:val="1"/>
          <w:numId w:val="3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Essa categoria dá conta de mensurar o peso dos fóruns, agências, grupos de coalizão variáveis, bancos de desenvolvimento, cúpulas, organismos e organizações regionais e/ou internacionais. Diferentemente da categoria regionalismo, os projetos aqui alocados não possuem a ambição de seguir a evolução tipológica de Bela Balassa e são apenas mecanismos de atuação internacional. Boa parte dos organismos alocados aqui estão listados no site do Itamaraty: </w:t>
      </w:r>
      <w:hyperlink r:id="rId3">
        <w:r>
          <w:rPr>
            <w:rStyle w:val="LinkdaInternet"/>
            <w:b w:val="false"/>
            <w:bCs w:val="false"/>
          </w:rPr>
          <w:t>http://www.itamaraty.gov.br/pt-BR/cerimonial/5701-organismos-internacionais</w:t>
        </w:r>
      </w:hyperlink>
      <w:r>
        <w:rPr>
          <w:b w:val="false"/>
          <w:bCs w:val="false"/>
        </w:rPr>
        <w:t xml:space="preserve">.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spacing w:lineRule="auto" w:line="360" w:before="57" w:after="57"/>
        <w:jc w:val="both"/>
        <w:rPr/>
      </w:pPr>
      <w:r>
        <w:rPr>
          <w:b/>
          <w:bCs/>
        </w:rPr>
        <w:t>Categoria: “Meio Ambiente”: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1"/>
          <w:numId w:val="3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Como se percebe pela análise das inspirações teóricas e empíricas e, de certo modo, por já estar previsto no dicionário de Vilela e Neiva (2011), não há como desviar do tema ambiental na PEB. Assim, serão contabilizadas as seguintes subcategorias: </w:t>
      </w:r>
    </w:p>
    <w:p>
      <w:pPr>
        <w:pStyle w:val="Normal"/>
        <w:numPr>
          <w:ilvl w:val="0"/>
          <w:numId w:val="4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>Temas: Em que serão incluídos os principais assuntos discutidos ao se remeter à questão ambiental nas RI;</w:t>
      </w:r>
    </w:p>
    <w:p>
      <w:pPr>
        <w:pStyle w:val="Normal"/>
        <w:numPr>
          <w:ilvl w:val="0"/>
          <w:numId w:val="4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Acordos e Conferências: Com o intuito de saber o padrão de referências dos atores analisados aos acordos e conferências multilaterais já realizados sobre o tema ambiental.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both"/>
        <w:rPr>
          <w:b/>
          <w:b/>
          <w:bCs/>
        </w:rPr>
      </w:pPr>
      <w:r>
        <w:rPr>
          <w:b/>
          <w:bCs/>
        </w:rPr>
        <w:t>Categoria: “Diplomacia Econômica”:</w:t>
      </w:r>
    </w:p>
    <w:p>
      <w:pPr>
        <w:pStyle w:val="Normal"/>
        <w:numPr>
          <w:ilvl w:val="1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Refere-se a temas de diplomacia econômica, financeira e comercial. Não há subcategorias, pois optamos por tratar dos temas mais visíveis no que concerne a PEB e os assuntos econômicos.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both"/>
        <w:rPr/>
      </w:pPr>
      <w:r>
        <w:rPr>
          <w:b/>
          <w:bCs/>
        </w:rPr>
        <w:t>Categoria: “Direitos Humanos e Questões Sociais”: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1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>Categoria já prevista no dicionário de Vilela e Neiva (2011), encontrada na divisão do site do Itamaraty e constantemente reforçada nos resultados empíricos exploratórios. Para facilitação, há duas subcategorias:</w:t>
      </w:r>
    </w:p>
    <w:p>
      <w:pPr>
        <w:pStyle w:val="Normal"/>
        <w:numPr>
          <w:ilvl w:val="5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>Direitos Humanos</w:t>
      </w:r>
    </w:p>
    <w:p>
      <w:pPr>
        <w:pStyle w:val="Normal"/>
        <w:numPr>
          <w:ilvl w:val="5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>Questões Sociais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both"/>
        <w:rPr/>
      </w:pPr>
      <w:r>
        <w:rPr>
          <w:b/>
          <w:bCs/>
        </w:rPr>
        <w:t>Categoria: “Segurança e Defesa Internacionais”:</w:t>
      </w:r>
    </w:p>
    <w:p>
      <w:pPr>
        <w:pStyle w:val="Normal"/>
        <w:numPr>
          <w:ilvl w:val="1"/>
          <w:numId w:val="5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Já prevista originalmente, reforçada com os resultados exploratórios e presente também no site do Itamaraty, essa categoria tentará mensurar boa parte das preocupações brasileiras quanto à Segurança e Defesa Internacionais. Não há subcategorias.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both"/>
        <w:rPr/>
      </w:pPr>
      <w:r>
        <w:rPr>
          <w:b/>
          <w:bCs/>
        </w:rPr>
        <w:t>Categoria: “PEB, diplomacia e Itamaraty”:</w:t>
      </w:r>
    </w:p>
    <w:p>
      <w:pPr>
        <w:pStyle w:val="Normal"/>
        <w:numPr>
          <w:ilvl w:val="1"/>
          <w:numId w:val="5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ideia dessa categoria que aglutina temas referentes à PEB, diplomacia e Itamaraty adveio de variadas fontes de inspirações. Primeiro, o próprio objeto da tese requeria que esses tópicos estivessem, de certa forma, a baila da análise empírica realizada. O propósito é saber o quanto os Presidentes e Chanceleres falaram sobre características chaves do fazer diplomático. Além disso, inspirações teóricas e empíricas exploratórias atestaram para a necessidade de saber certos aspectos da natureza da PEB. Por esses motivos, a presente categoria será incluída com os determinados subtemas:</w:t>
      </w:r>
    </w:p>
    <w:p>
      <w:pPr>
        <w:pStyle w:val="Normal"/>
        <w:numPr>
          <w:ilvl w:val="5"/>
          <w:numId w:val="5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Natureza da PEB: Contabilização dos termos que transmitem a ideia de características amplamente debatidas sobre a PEB, como politização, ideologização, partidarização, rupturas, continuidades, insulamento, entre outros.</w:t>
      </w:r>
    </w:p>
    <w:p>
      <w:pPr>
        <w:pStyle w:val="Normal"/>
        <w:numPr>
          <w:ilvl w:val="5"/>
          <w:numId w:val="5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Diplomacia: Subtema para saber o quanto os atores mencionaram alguns predicados dado ao conceito de diplomacia, como diplomacia presidencial, profissional e pública.</w:t>
      </w:r>
    </w:p>
    <w:p>
      <w:pPr>
        <w:pStyle w:val="Normal"/>
        <w:numPr>
          <w:ilvl w:val="5"/>
          <w:numId w:val="5"/>
        </w:numPr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Itamaraty: Contabilizar o quanto de referências ao Itamaraty, seus órgãos, personalidades históricas, eventos, etc está presente nos discursos dos atores analisados.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both"/>
        <w:rPr/>
      </w:pPr>
      <w:r>
        <w:rPr>
          <w:b/>
          <w:bCs/>
        </w:rPr>
        <w:t>Categoria: “Religiões e Civilizações”:</w:t>
      </w:r>
    </w:p>
    <w:p>
      <w:pPr>
        <w:pStyle w:val="Normal"/>
        <w:numPr>
          <w:ilvl w:val="1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>Originalmente,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a categoria não se faz presente nem no dicionário original de Vilela e Neiva, nem na página do Itamaraty e, de certo modo, aparece de um modo bem residual nos resultados empíricos exploratórios. Entretanto, optamos por inserir essa categoria por motivos teóricos e por entender que as religiões e suas respectivas civilizações exercem um significativo papel nas relações entre os Estados. As subcategorias são: </w:t>
      </w:r>
    </w:p>
    <w:p>
      <w:pPr>
        <w:pStyle w:val="Normal"/>
        <w:numPr>
          <w:ilvl w:val="5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>Menções às civilizações e ao choque civilizacional</w:t>
      </w:r>
    </w:p>
    <w:p>
      <w:pPr>
        <w:pStyle w:val="Normal"/>
        <w:numPr>
          <w:ilvl w:val="5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Menções às matrizes religiosas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both"/>
        <w:rPr/>
      </w:pPr>
      <w:r>
        <w:rPr>
          <w:b/>
          <w:bCs/>
        </w:rPr>
        <w:t>Categoria: “Diplomacia Cultural’: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1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Pensada para agregar temas referentes à cultura e à imagem brasileira no exterior. Não há subcategorias, mas variados temas estão incluídos aqui, desde menções gerais até </w:t>
      </w:r>
      <w:r>
        <w:rPr>
          <w:b w:val="false"/>
          <w:bCs w:val="false"/>
          <w:i/>
          <w:iCs/>
        </w:rPr>
        <w:t>soft power</w:t>
      </w:r>
      <w:r>
        <w:rPr>
          <w:b w:val="false"/>
          <w:bCs w:val="false"/>
        </w:rPr>
        <w:t xml:space="preserve">, música, artes, etc. </w:t>
      </w:r>
    </w:p>
    <w:p>
      <w:pPr>
        <w:pStyle w:val="Normal"/>
        <w:spacing w:lineRule="auto" w:line="36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spacing w:lineRule="auto" w:line="360" w:before="57" w:after="57"/>
        <w:jc w:val="both"/>
        <w:rPr/>
      </w:pPr>
      <w:r>
        <w:rPr>
          <w:b/>
          <w:bCs/>
        </w:rPr>
        <w:t>Categoria: “Ciência e Tecnologia”: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1"/>
          <w:numId w:val="5"/>
        </w:numPr>
        <w:spacing w:lineRule="auto" w:line="360" w:before="57" w:after="57"/>
        <w:jc w:val="both"/>
        <w:rPr/>
      </w:pPr>
      <w:r>
        <w:rPr>
          <w:b w:val="false"/>
          <w:bCs w:val="false"/>
        </w:rPr>
        <w:t xml:space="preserve">Reúne os temas associados com ciência (no sentido amplo de inovação, educação e conformação do saber) e tecnologia.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b w:val="false"/>
      <w:bCs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  <w:b w:val="false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  <w:b/>
    </w:rPr>
  </w:style>
  <w:style w:type="character" w:styleId="ListLabel49">
    <w:name w:val="ListLabel 49"/>
    <w:qFormat/>
    <w:rPr>
      <w:rFonts w:cs="OpenSymbol"/>
      <w:b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  <w:b w:val="false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  <w:b/>
    </w:rPr>
  </w:style>
  <w:style w:type="character" w:styleId="ListLabel68">
    <w:name w:val="ListLabel 68"/>
    <w:qFormat/>
    <w:rPr>
      <w:rFonts w:cs="OpenSymbol"/>
      <w:b w:val="false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  <w:b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b w:val="false"/>
      <w:bCs w:val="false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  <w:b w:val="false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  <w:b/>
    </w:rPr>
  </w:style>
  <w:style w:type="character" w:styleId="ListLabel105">
    <w:name w:val="ListLabel 105"/>
    <w:qFormat/>
    <w:rPr>
      <w:rFonts w:cs="OpenSymbol"/>
      <w:b w:val="fals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  <w:b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  <w:b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b w:val="false"/>
      <w:bCs w:val="false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  <w:b w:val="false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  <w:b/>
    </w:rPr>
  </w:style>
  <w:style w:type="character" w:styleId="ListLabel151">
    <w:name w:val="ListLabel 151"/>
    <w:qFormat/>
    <w:rPr>
      <w:rFonts w:cs="OpenSymbol"/>
      <w:b w:val="false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  <w:b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  <w:b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b w:val="false"/>
      <w:bCs w:val="false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  <w:b w:val="false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  <w:b/>
    </w:rPr>
  </w:style>
  <w:style w:type="character" w:styleId="ListLabel197">
    <w:name w:val="ListLabel 197"/>
    <w:qFormat/>
    <w:rPr>
      <w:rFonts w:cs="OpenSymbol"/>
      <w:b w:val="false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  <w:b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  <w:b/>
    </w:rPr>
  </w:style>
  <w:style w:type="character" w:styleId="ListLabel224">
    <w:name w:val="ListLabel 224"/>
    <w:qFormat/>
    <w:rPr>
      <w:rFonts w:cs="OpenSymbol"/>
      <w:b w:val="false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b w:val="false"/>
      <w:bCs w:val="false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  <w:b w:val="false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  <w:b/>
    </w:rPr>
  </w:style>
  <w:style w:type="character" w:styleId="ListLabel243">
    <w:name w:val="ListLabel 243"/>
    <w:qFormat/>
    <w:rPr>
      <w:rFonts w:cs="OpenSymbol"/>
      <w:b w:val="false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  <w:b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  <w:b/>
    </w:rPr>
  </w:style>
  <w:style w:type="character" w:styleId="ListLabel270">
    <w:name w:val="ListLabel 270"/>
    <w:qFormat/>
    <w:rPr>
      <w:rFonts w:cs="OpenSymbol"/>
      <w:b w:val="false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b w:val="false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b w:val="false"/>
      <w:bCs w:val="false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  <w:b/>
    </w:rPr>
  </w:style>
  <w:style w:type="character" w:styleId="ListLabel289">
    <w:name w:val="ListLabel 289"/>
    <w:qFormat/>
    <w:rPr>
      <w:rFonts w:cs="OpenSymbol"/>
      <w:b w:val="false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  <w:b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  <w:b/>
    </w:rPr>
  </w:style>
  <w:style w:type="character" w:styleId="ListLabel316">
    <w:name w:val="ListLabel 316"/>
    <w:qFormat/>
    <w:rPr>
      <w:rFonts w:cs="OpenSymbol"/>
      <w:b w:val="false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  <w:b w:val="false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b w:val="false"/>
      <w:bCs w:val="false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  <w:b w:val="false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/>
    </w:rPr>
  </w:style>
  <w:style w:type="character" w:styleId="ListLabel335">
    <w:name w:val="ListLabel 335"/>
    <w:qFormat/>
    <w:rPr>
      <w:rFonts w:cs="OpenSymbol"/>
      <w:b w:val="false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b/>
    </w:rPr>
  </w:style>
  <w:style w:type="character" w:styleId="ListLabel362">
    <w:name w:val="ListLabel 362"/>
    <w:qFormat/>
    <w:rPr>
      <w:rFonts w:cs="OpenSymbol"/>
      <w:b w:val="false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b w:val="false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b w:val="false"/>
      <w:bCs w:val="fals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dro">
    <w:name w:val="Padrão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Linhadecota">
    <w:name w:val="Linha de cot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Preenchido">
    <w:name w:val="Preenchido"/>
    <w:qFormat/>
    <w:pPr>
      <w:widowControl/>
      <w:bidi w:val="0"/>
      <w:jc w:val="left"/>
    </w:pPr>
    <w:rPr>
      <w:rFonts w:ascii="Noto Sans" w:hAnsi="Noto Sans" w:eastAsia="DejaVu Sans" w:cs="Liberation Sans"/>
      <w:b/>
      <w:color w:val="auto"/>
      <w:kern w:val="2"/>
      <w:sz w:val="28"/>
      <w:szCs w:val="24"/>
      <w:lang w:val="pt-BR" w:eastAsia="zh-CN" w:bidi="hi-IN"/>
    </w:rPr>
  </w:style>
  <w:style w:type="paragraph" w:styleId="Preenchidoazul">
    <w:name w:val="Preenchido azul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Noto Sans" w:hAnsi="Noto Sans"/>
      <w:b/>
      <w:color w:val="FFFFFF"/>
      <w:sz w:val="28"/>
    </w:rPr>
  </w:style>
  <w:style w:type="paragraph" w:styleId="Contorno">
    <w:name w:val="Contorno"/>
    <w:qFormat/>
    <w:pPr>
      <w:widowControl/>
      <w:bidi w:val="0"/>
      <w:jc w:val="left"/>
    </w:pPr>
    <w:rPr>
      <w:rFonts w:ascii="Noto Sans" w:hAnsi="Noto Sans" w:eastAsia="DejaVu Sans" w:cs="Liberation Sans"/>
      <w:b/>
      <w:color w:val="auto"/>
      <w:kern w:val="2"/>
      <w:sz w:val="28"/>
      <w:szCs w:val="24"/>
      <w:lang w:val="pt-BR" w:eastAsia="zh-CN" w:bidi="hi-IN"/>
    </w:rPr>
  </w:style>
  <w:style w:type="paragraph" w:styleId="Contornoazul">
    <w:name w:val="Contorno azul"/>
    <w:basedOn w:val="Contorno"/>
    <w:qFormat/>
    <w:pPr/>
    <w:rPr>
      <w:rFonts w:ascii="Noto Sans" w:hAnsi="Noto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Noto Sans" w:hAnsi="Noto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Noto Sans" w:hAnsi="Noto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Noto Sans" w:hAnsi="Noto Sans"/>
      <w:b/>
      <w:color w:val="B47804"/>
      <w:sz w:val="28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pt-BR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heiw/newsmap/tree/master/dict" TargetMode="External"/><Relationship Id="rId3" Type="http://schemas.openxmlformats.org/officeDocument/2006/relationships/hyperlink" Target="http://www.itamaraty.gov.br/pt-BR/cerimonial/5701-organismos-internacionai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3</Pages>
  <Words>742</Words>
  <Characters>4385</Characters>
  <CharactersWithSpaces>5073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2019-03-05T16:43:52Z</dcterms:created>
  <dc:creator/>
  <dc:description/>
  <dc:language>pt-BR</dc:language>
  <cp:lastModifiedBy/>
  <cp:revision>1</cp:revision>
  <dc:subject/>
  <dc:title/>
</cp:coreProperties>
</file>