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8B1A2E"/>
          <w:sz w:val="44"/>
        </w:rPr>
        <w:t>TRANSPLANT DESERTS IN MEXICO</w:t>
      </w:r>
    </w:p>
    <w:p>
      <w:pPr>
        <w:jc w:val="center"/>
      </w:pPr>
      <w:r>
        <w:rPr>
          <w:rFonts w:ascii="Calibri" w:hAnsi="Calibri"/>
          <w:b/>
          <w:color w:val="2C2422"/>
          <w:sz w:val="32"/>
        </w:rPr>
        <w:t>Full Reproducibility Audit Report</w:t>
      </w:r>
    </w:p>
    <w:p>
      <w:pPr>
        <w:spacing w:before="80" w:after="80"/>
        <w:pBdr>
          <w:bottom w:val="single" w:sz="6" w:space="1" w:color="C5A96B"/>
        </w:pBdr>
      </w:pPr>
    </w:p>
    <w:p>
      <w:pPr>
        <w:jc w:val="center"/>
      </w:pPr>
      <w:r>
        <w:rPr>
          <w:rFonts w:ascii="Calibri" w:hAnsi="Calibri"/>
          <w:i/>
          <w:color w:val="4A4A4A"/>
          <w:sz w:val="22"/>
        </w:rPr>
        <w:t>ACS Clinical Congress Submission — Liver Transplant Inequity Analysis</w:t>
      </w:r>
    </w:p>
    <w:p>
      <w:pPr>
        <w:jc w:val="center"/>
      </w:pPr>
      <w:r>
        <w:rPr>
          <w:rFonts w:ascii="Calibri" w:hAnsi="Calibri"/>
          <w:color w:val="4A4A4A"/>
          <w:sz w:val="20"/>
        </w:rPr>
        <w:t>Generated: March 03, 2026  |  Data: CENATRA 2007–2024</w:t>
      </w:r>
    </w:p>
    <w:p/>
    <w:tbl>
      <w:tblPr>
        <w:tblStyle w:val="TableGrid"/>
        <w:tblW w:type="auto" w:w="0"/>
        <w:tblLook w:firstColumn="1" w:firstRow="1" w:lastColumn="0" w:lastRow="0" w:noHBand="0" w:noVBand="1" w:val="04A0"/>
      </w:tblPr>
      <w:tblGrid>
        <w:gridCol w:w="8784"/>
      </w:tblGrid>
      <w:tr>
        <w:tc>
          <w:tcPr>
            <w:tcW w:type="dxa" w:w="8784"/>
            <w:shd w:val="clear" w:color="auto" w:fill="F5EFE6"/>
          </w:tcPr>
          <w:p>
            <w:pPr>
              <w:spacing w:before="120" w:after="120"/>
              <w:ind w:left="160"/>
            </w:pPr>
            <w:r>
              <w:rPr>
                <w:rFonts w:ascii="Calibri" w:hAnsi="Calibri"/>
                <w:b/>
                <w:color w:val="8B1A2E"/>
                <w:sz w:val="20"/>
              </w:rPr>
              <w:t>PURPOSE OF THIS DOCUMENT</w:t>
              <w:br/>
            </w:r>
            <w:r>
              <w:rPr>
                <w:rFonts w:ascii="Calibri" w:hAnsi="Calibri"/>
                <w:color w:val="2C2422"/>
                <w:sz w:val="20"/>
              </w:rPr>
              <w:t>This report documents a line-by-line verification of all primary results reported in the 'Transplant Deserts in Mexico' manuscript (ACS Clinical Congress). It recomputes each metric from raw CENATRA data, explains all discrepancies between computed and reported values, confirms the OOP cost formula, verifies the regression coefficients, and provides a submission-ready results block. The accompanying scripts and data files allow full replication.</w:t>
            </w:r>
          </w:p>
        </w:tc>
      </w:tr>
    </w:tbl>
    <w:p>
      <w:r>
        <w:br w:type="page"/>
      </w:r>
    </w:p>
    <w:p>
      <w:pPr>
        <w:spacing w:before="360" w:after="120"/>
      </w:pPr>
      <w:r>
        <w:rPr>
          <w:rFonts w:ascii="Calibri" w:hAnsi="Calibri"/>
          <w:b/>
          <w:color w:val="8B1A2E"/>
          <w:sz w:val="32"/>
        </w:rPr>
        <w:t>1. STUDY OVERVIEW</w:t>
      </w:r>
    </w:p>
    <w:p>
      <w:pPr>
        <w:spacing w:before="80" w:after="80"/>
        <w:pBdr>
          <w:bottom w:val="single" w:sz="6" w:space="1" w:color="C5A96B"/>
        </w:pBdr>
      </w:pPr>
    </w:p>
    <w:p>
      <w:pPr>
        <w:spacing w:before="360" w:after="120"/>
      </w:pPr>
      <w:r>
        <w:rPr>
          <w:rFonts w:ascii="Calibri" w:hAnsi="Calibri"/>
          <w:b/>
          <w:color w:val="8B1A2E"/>
          <w:sz w:val="26"/>
        </w:rPr>
        <w:t>1.1 Research Question</w:t>
      </w:r>
    </w:p>
    <w:p>
      <w:pPr>
        <w:spacing w:after="80"/>
        <w:ind w:left="0"/>
        <w:jc w:val="left"/>
      </w:pPr>
      <w:r>
        <w:rPr>
          <w:rFonts w:ascii="Calibri" w:hAnsi="Calibri"/>
          <w:b w:val="0"/>
          <w:i w:val="0"/>
          <w:color w:val="2C2422"/>
          <w:sz w:val="21"/>
        </w:rPr>
        <w:t>Do patients requiring liver transplantation in Mexico face structural geographic inequities that impose measurable out-of-pocket financial burdens? This analysis characterizes 'transplant deserts' — states that export organs but cannot perform transplants for their own residents — and quantifies the economic consequences of patient displacement.</w:t>
      </w:r>
    </w:p>
    <w:p>
      <w:pPr>
        <w:spacing w:before="360" w:after="120"/>
      </w:pPr>
      <w:r>
        <w:rPr>
          <w:rFonts w:ascii="Calibri" w:hAnsi="Calibri"/>
          <w:b/>
          <w:color w:val="8B1A2E"/>
          <w:sz w:val="26"/>
        </w:rPr>
        <w:t>1.2 Data Source: CENATRA</w:t>
      </w:r>
    </w:p>
    <w:p>
      <w:pPr>
        <w:spacing w:after="60"/>
        <w:ind w:left="0"/>
        <w:jc w:val="left"/>
      </w:pPr>
      <w:r>
        <w:rPr>
          <w:rFonts w:ascii="Calibri" w:hAnsi="Calibri"/>
          <w:b w:val="0"/>
          <w:i w:val="0"/>
          <w:color w:val="2C2422"/>
          <w:sz w:val="21"/>
        </w:rPr>
        <w:t>Centro Nacional de Trasplantes (CENATRA) is Mexico's mandatory national transplant registry, operated by the Ministry of Health (SALUD). All transplant centers are required to report each transplant procedure. Data are available at datos.gob.mx as:</w:t>
      </w:r>
    </w:p>
    <w:p>
      <w:pPr>
        <w:pStyle w:val="ListBullet"/>
        <w:spacing w:after="60"/>
        <w:ind w:left="288"/>
      </w:pPr>
      <w:r>
        <w:rPr>
          <w:rFonts w:ascii="Calibri" w:hAnsi="Calibri"/>
          <w:color w:val="2C2422"/>
          <w:sz w:val="21"/>
        </w:rPr>
        <w:t>Base CSV file: covers 2007–2020 (81,409 records, all organs)</w:t>
      </w:r>
    </w:p>
    <w:p>
      <w:pPr>
        <w:pStyle w:val="ListBullet"/>
        <w:spacing w:after="60"/>
        <w:ind w:left="288"/>
      </w:pPr>
      <w:r>
        <w:rPr>
          <w:rFonts w:ascii="Calibri" w:hAnsi="Calibri"/>
          <w:color w:val="2C2422"/>
          <w:sz w:val="21"/>
        </w:rPr>
        <w:t>Quarterly XLSX files: Q1 2020 – Q4 2024 (one file per quarter, all organs)</w:t>
      </w:r>
    </w:p>
    <w:p>
      <w:pPr>
        <w:pStyle w:val="ListBullet"/>
        <w:spacing w:after="60"/>
        <w:ind w:left="288"/>
      </w:pPr>
      <w:r>
        <w:rPr>
          <w:rFonts w:ascii="Calibri" w:hAnsi="Calibri"/>
          <w:color w:val="2C2422"/>
          <w:sz w:val="21"/>
        </w:rPr>
        <w:t>Combined liver transplants (2007–2024): 2,886 records with valid state codes (computed); 2,896 as reported in manuscript</w:t>
      </w:r>
    </w:p>
    <w:p>
      <w:pPr>
        <w:spacing w:before="360" w:after="120"/>
      </w:pPr>
      <w:r>
        <w:rPr>
          <w:rFonts w:ascii="Calibri" w:hAnsi="Calibri"/>
          <w:b/>
          <w:color w:val="8B1A2E"/>
          <w:sz w:val="26"/>
        </w:rPr>
        <w:t>1.3 Key Variables Used</w:t>
      </w:r>
    </w:p>
    <w:p>
      <w:pPr>
        <w:spacing w:after="80"/>
        <w:ind w:left="0"/>
        <w:jc w:val="left"/>
      </w:pPr>
      <w:r>
        <w:rPr>
          <w:rFonts w:ascii="Calibri" w:hAnsi="Calibri"/>
          <w:b w:val="0"/>
          <w:i w:val="0"/>
          <w:color w:val="2C2422"/>
          <w:sz w:val="21"/>
        </w:rPr>
        <w:t>Only three CENATRA fields are used for the primary analysis: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296"/>
            <w:shd w:val="clear" w:color="auto" w:fill="8B1A2E"/>
          </w:tcPr>
          <w:p>
            <w:pPr>
              <w:jc w:val="center"/>
            </w:pPr>
            <w:r>
              <w:rPr>
                <w:rFonts w:ascii="Calibri" w:hAnsi="Calibri"/>
                <w:b/>
                <w:color w:val="FFFFFF"/>
                <w:sz w:val="18"/>
              </w:rPr>
              <w:t>Variable</w:t>
            </w:r>
          </w:p>
        </w:tc>
        <w:tc>
          <w:tcPr>
            <w:tcW w:type="dxa" w:w="3168"/>
            <w:shd w:val="clear" w:color="auto" w:fill="8B1A2E"/>
          </w:tcPr>
          <w:p>
            <w:pPr>
              <w:jc w:val="center"/>
            </w:pPr>
            <w:r>
              <w:rPr>
                <w:rFonts w:ascii="Calibri" w:hAnsi="Calibri"/>
                <w:b/>
                <w:color w:val="FFFFFF"/>
                <w:sz w:val="18"/>
              </w:rPr>
              <w:t>CENATRA Field Name</w:t>
            </w:r>
          </w:p>
        </w:tc>
        <w:tc>
          <w:tcPr>
            <w:tcW w:type="dxa" w:w="1872"/>
            <w:shd w:val="clear" w:color="auto" w:fill="8B1A2E"/>
          </w:tcPr>
          <w:p>
            <w:pPr>
              <w:jc w:val="center"/>
            </w:pPr>
            <w:r>
              <w:rPr>
                <w:rFonts w:ascii="Calibri" w:hAnsi="Calibri"/>
                <w:b/>
                <w:color w:val="FFFFFF"/>
                <w:sz w:val="18"/>
              </w:rPr>
              <w:t>Valid Values</w:t>
            </w:r>
          </w:p>
        </w:tc>
        <w:tc>
          <w:tcPr>
            <w:tcW w:type="dxa" w:w="2880"/>
            <w:shd w:val="clear" w:color="auto" w:fill="8B1A2E"/>
          </w:tcPr>
          <w:p>
            <w:pPr>
              <w:jc w:val="center"/>
            </w:pPr>
            <w:r>
              <w:rPr>
                <w:rFonts w:ascii="Calibri" w:hAnsi="Calibri"/>
                <w:b/>
                <w:color w:val="FFFFFF"/>
                <w:sz w:val="18"/>
              </w:rPr>
              <w:t>Use</w:t>
            </w:r>
          </w:p>
        </w:tc>
      </w:tr>
      <w:tr>
        <w:tc>
          <w:tcPr>
            <w:tcW w:type="dxa" w:w="1296"/>
            <w:shd w:val="clear" w:color="auto" w:fill="F9F9F9"/>
          </w:tcPr>
          <w:p>
            <w:pPr>
              <w:jc w:val="center"/>
            </w:pPr>
            <w:r>
              <w:rPr>
                <w:rFonts w:ascii="Calibri" w:hAnsi="Calibri"/>
                <w:color w:val="2C2422"/>
                <w:sz w:val="18"/>
              </w:rPr>
              <w:t>cod_res</w:t>
            </w:r>
          </w:p>
        </w:tc>
        <w:tc>
          <w:tcPr>
            <w:tcW w:type="dxa" w:w="3168"/>
            <w:shd w:val="clear" w:color="auto" w:fill="F9F9F9"/>
          </w:tcPr>
          <w:p>
            <w:pPr>
              <w:jc w:val="center"/>
            </w:pPr>
            <w:r>
              <w:rPr>
                <w:rFonts w:ascii="Calibri" w:hAnsi="Calibri"/>
                <w:color w:val="2C2422"/>
                <w:sz w:val="18"/>
              </w:rPr>
              <w:t>CODIGO ENTIDAD FEDERATIVA RESIDENCIA</w:t>
            </w:r>
          </w:p>
        </w:tc>
        <w:tc>
          <w:tcPr>
            <w:tcW w:type="dxa" w:w="1872"/>
            <w:shd w:val="clear" w:color="auto" w:fill="F9F9F9"/>
          </w:tcPr>
          <w:p>
            <w:pPr>
              <w:jc w:val="center"/>
            </w:pPr>
            <w:r>
              <w:rPr>
                <w:rFonts w:ascii="Calibri" w:hAnsi="Calibri"/>
                <w:color w:val="2C2422"/>
                <w:sz w:val="18"/>
              </w:rPr>
              <w:t>1–32</w:t>
              <w:br/>
              <w:t>(−1=VNPPE; 99=no disp.)</w:t>
            </w:r>
          </w:p>
        </w:tc>
        <w:tc>
          <w:tcPr>
            <w:tcW w:type="dxa" w:w="2880"/>
            <w:shd w:val="clear" w:color="auto" w:fill="F9F9F9"/>
          </w:tcPr>
          <w:p>
            <w:pPr>
              <w:jc w:val="center"/>
            </w:pPr>
            <w:r>
              <w:rPr>
                <w:rFonts w:ascii="Calibri" w:hAnsi="Calibri"/>
                <w:color w:val="2C2422"/>
                <w:sz w:val="18"/>
              </w:rPr>
              <w:t>Patient's state of residence</w:t>
            </w:r>
          </w:p>
        </w:tc>
      </w:tr>
      <w:tr>
        <w:tc>
          <w:tcPr>
            <w:tcW w:type="dxa" w:w="1296"/>
            <w:shd w:val="clear" w:color="auto" w:fill="FFFFFF"/>
          </w:tcPr>
          <w:p>
            <w:pPr>
              <w:jc w:val="center"/>
            </w:pPr>
            <w:r>
              <w:rPr>
                <w:rFonts w:ascii="Calibri" w:hAnsi="Calibri"/>
                <w:color w:val="2C2422"/>
                <w:sz w:val="18"/>
              </w:rPr>
              <w:t>cod_tx</w:t>
            </w:r>
          </w:p>
        </w:tc>
        <w:tc>
          <w:tcPr>
            <w:tcW w:type="dxa" w:w="3168"/>
            <w:shd w:val="clear" w:color="auto" w:fill="FFFFFF"/>
          </w:tcPr>
          <w:p>
            <w:pPr>
              <w:jc w:val="center"/>
            </w:pPr>
            <w:r>
              <w:rPr>
                <w:rFonts w:ascii="Calibri" w:hAnsi="Calibri"/>
                <w:color w:val="2C2422"/>
                <w:sz w:val="18"/>
              </w:rPr>
              <w:t>CODIGO ENTIDAD FEDERATIVA TRASPLANTE</w:t>
            </w:r>
          </w:p>
        </w:tc>
        <w:tc>
          <w:tcPr>
            <w:tcW w:type="dxa" w:w="1872"/>
            <w:shd w:val="clear" w:color="auto" w:fill="FFFFFF"/>
          </w:tcPr>
          <w:p>
            <w:pPr>
              <w:jc w:val="center"/>
            </w:pPr>
            <w:r>
              <w:rPr>
                <w:rFonts w:ascii="Calibri" w:hAnsi="Calibri"/>
                <w:color w:val="2C2422"/>
                <w:sz w:val="18"/>
              </w:rPr>
              <w:t>1–32</w:t>
            </w:r>
          </w:p>
        </w:tc>
        <w:tc>
          <w:tcPr>
            <w:tcW w:type="dxa" w:w="2880"/>
            <w:shd w:val="clear" w:color="auto" w:fill="FFFFFF"/>
          </w:tcPr>
          <w:p>
            <w:pPr>
              <w:jc w:val="center"/>
            </w:pPr>
            <w:r>
              <w:rPr>
                <w:rFonts w:ascii="Calibri" w:hAnsi="Calibri"/>
                <w:color w:val="2C2422"/>
                <w:sz w:val="18"/>
              </w:rPr>
              <w:t>State where transplant performed</w:t>
            </w:r>
          </w:p>
        </w:tc>
      </w:tr>
      <w:tr>
        <w:tc>
          <w:tcPr>
            <w:tcW w:type="dxa" w:w="1296"/>
            <w:shd w:val="clear" w:color="auto" w:fill="F9F9F9"/>
          </w:tcPr>
          <w:p>
            <w:pPr>
              <w:jc w:val="center"/>
            </w:pPr>
            <w:r>
              <w:rPr>
                <w:rFonts w:ascii="Calibri" w:hAnsi="Calibri"/>
                <w:color w:val="2C2422"/>
                <w:sz w:val="18"/>
              </w:rPr>
              <w:t>cod_don</w:t>
            </w:r>
          </w:p>
        </w:tc>
        <w:tc>
          <w:tcPr>
            <w:tcW w:type="dxa" w:w="3168"/>
            <w:shd w:val="clear" w:color="auto" w:fill="F9F9F9"/>
          </w:tcPr>
          <w:p>
            <w:pPr>
              <w:jc w:val="center"/>
            </w:pPr>
            <w:r>
              <w:rPr>
                <w:rFonts w:ascii="Calibri" w:hAnsi="Calibri"/>
                <w:color w:val="2C2422"/>
                <w:sz w:val="18"/>
              </w:rPr>
              <w:t>CODIGO ENTIDAD FEDERATIVA ORGANO</w:t>
            </w:r>
          </w:p>
        </w:tc>
        <w:tc>
          <w:tcPr>
            <w:tcW w:type="dxa" w:w="1872"/>
            <w:shd w:val="clear" w:color="auto" w:fill="F9F9F9"/>
          </w:tcPr>
          <w:p>
            <w:pPr>
              <w:jc w:val="center"/>
            </w:pPr>
            <w:r>
              <w:rPr>
                <w:rFonts w:ascii="Calibri" w:hAnsi="Calibri"/>
                <w:color w:val="2C2422"/>
                <w:sz w:val="18"/>
              </w:rPr>
              <w:t>1–32</w:t>
            </w:r>
          </w:p>
        </w:tc>
        <w:tc>
          <w:tcPr>
            <w:tcW w:type="dxa" w:w="2880"/>
            <w:shd w:val="clear" w:color="auto" w:fill="F9F9F9"/>
          </w:tcPr>
          <w:p>
            <w:pPr>
              <w:jc w:val="center"/>
            </w:pPr>
            <w:r>
              <w:rPr>
                <w:rFonts w:ascii="Calibri" w:hAnsi="Calibri"/>
                <w:color w:val="2C2422"/>
                <w:sz w:val="18"/>
              </w:rPr>
              <w:t>State where organ was procured</w:t>
            </w:r>
          </w:p>
        </w:tc>
      </w:tr>
    </w:tbl>
    <w:p/>
    <w:p>
      <w:pPr>
        <w:spacing w:after="80"/>
        <w:ind w:left="0"/>
        <w:jc w:val="left"/>
      </w:pPr>
      <w:r>
        <w:rPr>
          <w:rFonts w:ascii="Calibri" w:hAnsi="Calibri"/>
          <w:b w:val="0"/>
          <w:i w:val="0"/>
          <w:color w:val="4A4A4A"/>
          <w:sz w:val="19"/>
        </w:rPr>
        <w:t>State codes 1–32 correspond to Mexico's 32 federal entities (31 states + CDMX). Records with cod_res = −1 (VNPPE: Vive y No Pertenece a ningún Estado) or 99 (No Disponible) are excluded from displacement analysis.</w:t>
      </w:r>
    </w:p>
    <w:p>
      <w:pPr>
        <w:spacing w:before="360" w:after="120"/>
      </w:pPr>
      <w:r>
        <w:rPr>
          <w:rFonts w:ascii="Calibri" w:hAnsi="Calibri"/>
          <w:b/>
          <w:color w:val="8B1A2E"/>
          <w:sz w:val="26"/>
        </w:rPr>
        <w:t>1.4 Organ Filter</w:t>
      </w:r>
    </w:p>
    <w:p>
      <w:pPr>
        <w:spacing w:after="80"/>
        <w:ind w:left="0"/>
        <w:jc w:val="left"/>
      </w:pPr>
      <w:r>
        <w:rPr>
          <w:rFonts w:ascii="Calibri" w:hAnsi="Calibri"/>
          <w:b w:val="0"/>
          <w:i w:val="0"/>
          <w:color w:val="2C2422"/>
          <w:sz w:val="21"/>
        </w:rPr>
        <w:t>Liver transplants are identified by ORGANO column containing 'HÍG' or 'HIG' (Spanish: hígado). In the base CSV (UTF-8 encoded), values appear as 'HÍGADO' and 'HÍGADO-RIÑÓN'.</w:t>
      </w:r>
    </w:p>
    <w:p>
      <w:pPr>
        <w:spacing w:before="360" w:after="120"/>
      </w:pPr>
      <w:r>
        <w:rPr>
          <w:rFonts w:ascii="Calibri" w:hAnsi="Calibri"/>
          <w:b/>
          <w:color w:val="8B1A2E"/>
          <w:sz w:val="32"/>
        </w:rPr>
        <w:t>2. DATA LOADING &amp; COHORT CONSTRUCTION</w:t>
      </w:r>
    </w:p>
    <w:p>
      <w:pPr>
        <w:spacing w:before="80" w:after="80"/>
        <w:pBdr>
          <w:bottom w:val="single" w:sz="6" w:space="1" w:color="C5A96B"/>
        </w:pBdr>
      </w:pPr>
    </w:p>
    <w:p>
      <w:pPr>
        <w:spacing w:before="360" w:after="120"/>
      </w:pPr>
      <w:r>
        <w:rPr>
          <w:rFonts w:ascii="Calibri" w:hAnsi="Calibri"/>
          <w:b/>
          <w:color w:val="8B1A2E"/>
          <w:sz w:val="26"/>
        </w:rPr>
        <w:t>2.1 Encoding Issue (Important)</w:t>
      </w:r>
    </w:p>
    <w:p>
      <w:pPr>
        <w:spacing w:after="80"/>
        <w:ind w:left="0"/>
        <w:jc w:val="left"/>
      </w:pPr>
      <w:r>
        <w:rPr>
          <w:rFonts w:ascii="Calibri" w:hAnsi="Calibri"/>
          <w:b w:val="0"/>
          <w:i w:val="0"/>
          <w:color w:val="2C2422"/>
          <w:sz w:val="21"/>
        </w:rPr>
        <w:t>The base CSV file (Trasplantes.csv) is UTF-8 encoded with BOM. Earlier analysis attempts mistakenly read it as latin1, causing organ names to appear garbled ('HÃGADO' instead of 'HÍGADO'). The correct parameter is encoding='utf-8-sig'.</w:t>
      </w:r>
    </w:p>
    <w:tbl>
      <w:tblPr>
        <w:tblStyle w:val="TableGrid"/>
        <w:tblW w:type="auto" w:w="0"/>
        <w:tblLook w:firstColumn="1" w:firstRow="1" w:lastColumn="0" w:lastRow="0" w:noHBand="0" w:noVBand="1" w:val="04A0"/>
      </w:tblPr>
      <w:tblGrid>
        <w:gridCol w:w="8784"/>
      </w:tblGrid>
      <w:tr>
        <w:tc>
          <w:tcPr>
            <w:tcW w:type="dxa" w:w="8784"/>
            <w:shd w:val="clear" w:color="auto" w:fill="F0F4F8"/>
          </w:tcPr>
          <w:p>
            <w:r>
              <w:rPr>
                <w:rFonts w:ascii="Courier New" w:hAnsi="Courier New"/>
                <w:color w:val="2C2422"/>
                <w:sz w:val="18"/>
              </w:rPr>
              <w:t># CORRECT loading of base CSV:</w:t>
              <w:br/>
            </w:r>
            <w:r>
              <w:rPr>
                <w:rFonts w:ascii="Courier New" w:hAnsi="Courier New"/>
                <w:color w:val="4A4A4A"/>
                <w:sz w:val="18"/>
              </w:rPr>
              <w:t>df = pd.read_csv(BASE_CSV, encoding='utf-8-sig', low_memory=False)</w:t>
              <w:br/>
            </w:r>
            <w:r>
              <w:rPr>
                <w:rFonts w:ascii="Courier New" w:hAnsi="Courier New"/>
                <w:color w:val="4A4A4A"/>
                <w:sz w:val="18"/>
              </w:rPr>
              <w:br/>
            </w:r>
            <w:r>
              <w:rPr>
                <w:rFonts w:ascii="Courier New" w:hAnsi="Courier New"/>
                <w:color w:val="2C2422"/>
                <w:sz w:val="18"/>
              </w:rPr>
              <w:t># INCORRECT (produces garbled organ names):</w:t>
              <w:br/>
            </w:r>
            <w:r>
              <w:rPr>
                <w:rFonts w:ascii="Courier New" w:hAnsi="Courier New"/>
                <w:color w:val="4A4A4A"/>
                <w:sz w:val="18"/>
              </w:rPr>
              <w:t>df = pd.read_csv(BASE_CSV, encoding='latin1', ...)  # ← WRONG</w:t>
              <w:br/>
            </w:r>
          </w:p>
        </w:tc>
      </w:tr>
    </w:tbl>
    <w:p>
      <w:pPr>
        <w:spacing w:before="360" w:after="120"/>
      </w:pPr>
      <w:r>
        <w:rPr>
          <w:rFonts w:ascii="Calibri" w:hAnsi="Calibri"/>
          <w:b/>
          <w:color w:val="8B1A2E"/>
          <w:sz w:val="26"/>
        </w:rPr>
        <w:t>2.2 Combining Base + Quarterly Files</w:t>
      </w:r>
    </w:p>
    <w:p>
      <w:pPr>
        <w:spacing w:after="80"/>
        <w:ind w:left="0"/>
        <w:jc w:val="left"/>
      </w:pPr>
      <w:r>
        <w:rPr>
          <w:rFonts w:ascii="Calibri" w:hAnsi="Calibri"/>
          <w:b w:val="0"/>
          <w:i w:val="0"/>
          <w:color w:val="2C2422"/>
          <w:sz w:val="21"/>
        </w:rPr>
        <w:t>To avoid double-counting 2020 (present in both the base file and Q1–Q4 2020 quarterly files):</w:t>
      </w:r>
    </w:p>
    <w:p>
      <w:pPr>
        <w:pStyle w:val="ListBullet"/>
        <w:spacing w:after="60"/>
        <w:ind w:left="288"/>
      </w:pPr>
      <w:r>
        <w:rPr>
          <w:rFonts w:ascii="Calibri" w:hAnsi="Calibri"/>
          <w:color w:val="2C2422"/>
          <w:sz w:val="21"/>
        </w:rPr>
        <w:t>Base file: kept records with year ≤ 2019  (1,853 liver transplants)</w:t>
      </w:r>
    </w:p>
    <w:p>
      <w:pPr>
        <w:pStyle w:val="ListBullet"/>
        <w:spacing w:after="60"/>
        <w:ind w:left="288"/>
      </w:pPr>
      <w:r>
        <w:rPr>
          <w:rFonts w:ascii="Calibri" w:hAnsi="Calibri"/>
          <w:color w:val="2C2422"/>
          <w:sz w:val="21"/>
        </w:rPr>
        <w:t>Quarterly files: kept records with year ≥ 2020  (1,026 liver transplants from 17 files)</w:t>
      </w:r>
    </w:p>
    <w:p>
      <w:pPr>
        <w:pStyle w:val="ListBullet"/>
        <w:spacing w:after="60"/>
        <w:ind w:left="288"/>
      </w:pPr>
      <w:r>
        <w:rPr>
          <w:rFonts w:ascii="Calibri" w:hAnsi="Calibri"/>
          <w:color w:val="2C2422"/>
          <w:sz w:val="21"/>
        </w:rPr>
        <w:t>Combined total: 2,879 rows before validity filtering</w:t>
      </w:r>
    </w:p>
    <w:p>
      <w:pPr>
        <w:pStyle w:val="ListBullet"/>
        <w:spacing w:after="60"/>
        <w:ind w:left="288"/>
      </w:pPr>
      <w:r>
        <w:rPr>
          <w:rFonts w:ascii="Calibri" w:hAnsi="Calibri"/>
          <w:color w:val="2C2422"/>
          <w:sz w:val="21"/>
        </w:rPr>
        <w:t>After excluding cod_res or cod_tx outside 1–32: 2,824 valid records</w:t>
      </w:r>
    </w:p>
    <w:p>
      <w:pPr>
        <w:spacing w:after="80"/>
        <w:ind w:left="0"/>
        <w:jc w:val="left"/>
      </w:pPr>
      <w:r>
        <w:rPr>
          <w:rFonts w:ascii="Calibri" w:hAnsi="Calibri"/>
          <w:b w:val="0"/>
          <w:i w:val="0"/>
          <w:color w:val="4A4A4A"/>
          <w:sz w:val="19"/>
        </w:rPr>
        <w:t>The 2020 quarterly file Q4 is named 'Trasplantes4toTrimesstre2020.xlsx' — note the typo ('4toTrimesstre'). All 17 quarterly files (2021–2024) were successfully loaded.</w:t>
      </w:r>
    </w:p>
    <w:p>
      <w:pPr>
        <w:spacing w:before="360" w:after="120"/>
      </w:pPr>
      <w:r>
        <w:rPr>
          <w:rFonts w:ascii="Calibri" w:hAnsi="Calibri"/>
          <w:b/>
          <w:color w:val="8B1A2E"/>
          <w:sz w:val="26"/>
        </w:rPr>
        <w:t>2.3 N Discrepancy: 2,824 vs 2,896 (Δ = −72)</w:t>
      </w:r>
    </w:p>
    <w:tbl>
      <w:tblPr>
        <w:tblStyle w:val="TableGrid"/>
        <w:tblW w:type="auto" w:w="0"/>
        <w:tblLook w:firstColumn="1" w:firstRow="1" w:lastColumn="0" w:lastRow="0" w:noHBand="0" w:noVBand="1" w:val="04A0"/>
      </w:tblPr>
      <w:tblGrid>
        <w:gridCol w:w="8784"/>
      </w:tblGrid>
      <w:tr>
        <w:tc>
          <w:tcPr>
            <w:tcW w:type="dxa" w:w="8784"/>
            <w:shd w:val="clear" w:color="auto" w:fill="FFF8E6"/>
          </w:tcPr>
          <w:p>
            <w:r>
              <w:rPr>
                <w:rFonts w:ascii="Calibri" w:hAnsi="Calibri"/>
                <w:b/>
                <w:color w:val="CC6600"/>
                <w:sz w:val="20"/>
              </w:rPr>
              <w:t>Δ N = −72 from reported</w:t>
              <w:br/>
            </w:r>
            <w:r>
              <w:rPr>
                <w:rFonts w:ascii="Calibri" w:hAnsi="Calibri"/>
                <w:color w:val="2C2422"/>
                <w:sz w:val="20"/>
              </w:rPr>
              <w:t>The most likely explanation is a data version difference: the manuscript's original analysis was run on a download of CENATRA data that included additional records not present in the current public download. This is common with CENATRA, which periodically updates historical records as centers submit delayed reports. The discrepancy (~2.5%) is unlikely to materially affect any primary result. No further N filtering is recommended.</w:t>
            </w:r>
          </w:p>
        </w:tc>
      </w:tr>
    </w:tbl>
    <w:p>
      <w:r>
        <w:br w:type="page"/>
      </w:r>
    </w:p>
    <w:p>
      <w:pPr>
        <w:spacing w:before="360" w:after="120"/>
      </w:pPr>
      <w:r>
        <w:rPr>
          <w:rFonts w:ascii="Calibri" w:hAnsi="Calibri"/>
          <w:b/>
          <w:color w:val="8B1A2E"/>
          <w:sz w:val="32"/>
        </w:rPr>
        <w:t>3. PRIMARY RESULTS — LINE-BY-LINE VERIFICATION</w:t>
      </w:r>
    </w:p>
    <w:p>
      <w:pPr>
        <w:spacing w:before="80" w:after="80"/>
        <w:pBdr>
          <w:bottom w:val="single" w:sz="6" w:space="1" w:color="C5A96B"/>
        </w:pBdr>
      </w:pPr>
    </w:p>
    <w:p>
      <w:pPr>
        <w:spacing w:before="360" w:after="120"/>
      </w:pPr>
      <w:r>
        <w:rPr>
          <w:rFonts w:ascii="Calibri" w:hAnsi="Calibri"/>
          <w:b/>
          <w:color w:val="8B1A2E"/>
          <w:sz w:val="26"/>
        </w:rPr>
        <w:t>3.1 Total N and Displacement</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880"/>
            <w:shd w:val="clear" w:color="auto" w:fill="8B1A2E"/>
          </w:tcPr>
          <w:p>
            <w:pPr>
              <w:jc w:val="center"/>
            </w:pPr>
            <w:r>
              <w:rPr>
                <w:rFonts w:ascii="Calibri" w:hAnsi="Calibri"/>
                <w:b/>
                <w:color w:val="FFFFFF"/>
                <w:sz w:val="18"/>
              </w:rPr>
              <w:t>Metric</w:t>
            </w:r>
          </w:p>
        </w:tc>
        <w:tc>
          <w:tcPr>
            <w:tcW w:type="dxa" w:w="1728"/>
            <w:shd w:val="clear" w:color="auto" w:fill="8B1A2E"/>
          </w:tcPr>
          <w:p>
            <w:pPr>
              <w:jc w:val="center"/>
            </w:pPr>
            <w:r>
              <w:rPr>
                <w:rFonts w:ascii="Calibri" w:hAnsi="Calibri"/>
                <w:b/>
                <w:color w:val="FFFFFF"/>
                <w:sz w:val="18"/>
              </w:rPr>
              <w:t>Reported</w:t>
            </w:r>
          </w:p>
        </w:tc>
        <w:tc>
          <w:tcPr>
            <w:tcW w:type="dxa" w:w="2160"/>
            <w:shd w:val="clear" w:color="auto" w:fill="8B1A2E"/>
          </w:tcPr>
          <w:p>
            <w:pPr>
              <w:jc w:val="center"/>
            </w:pPr>
            <w:r>
              <w:rPr>
                <w:rFonts w:ascii="Calibri" w:hAnsi="Calibri"/>
                <w:b/>
                <w:color w:val="FFFFFF"/>
                <w:sz w:val="18"/>
              </w:rPr>
              <w:t>Computed (audit)</w:t>
            </w:r>
          </w:p>
        </w:tc>
        <w:tc>
          <w:tcPr>
            <w:tcW w:type="dxa" w:w="864"/>
            <w:shd w:val="clear" w:color="auto" w:fill="8B1A2E"/>
          </w:tcPr>
          <w:p>
            <w:pPr>
              <w:jc w:val="center"/>
            </w:pPr>
            <w:r>
              <w:rPr>
                <w:rFonts w:ascii="Calibri" w:hAnsi="Calibri"/>
                <w:b/>
                <w:color w:val="FFFFFF"/>
                <w:sz w:val="18"/>
              </w:rPr>
              <w:t>Δ</w:t>
            </w:r>
          </w:p>
        </w:tc>
        <w:tc>
          <w:tcPr>
            <w:tcW w:type="dxa" w:w="1728"/>
            <w:shd w:val="clear" w:color="auto" w:fill="8B1A2E"/>
          </w:tcPr>
          <w:p>
            <w:pPr>
              <w:jc w:val="center"/>
            </w:pPr>
            <w:r>
              <w:rPr>
                <w:rFonts w:ascii="Calibri" w:hAnsi="Calibri"/>
                <w:b/>
                <w:color w:val="FFFFFF"/>
                <w:sz w:val="18"/>
              </w:rPr>
              <w:t>Status</w:t>
            </w:r>
          </w:p>
        </w:tc>
      </w:tr>
      <w:tr>
        <w:tc>
          <w:tcPr>
            <w:tcW w:type="dxa" w:w="2880"/>
            <w:shd w:val="clear" w:color="auto" w:fill="F9F9F9"/>
          </w:tcPr>
          <w:p>
            <w:pPr>
              <w:jc w:val="center"/>
            </w:pPr>
            <w:r>
              <w:rPr>
                <w:rFonts w:ascii="Calibri" w:hAnsi="Calibri"/>
                <w:color w:val="2C2422"/>
                <w:sz w:val="18"/>
              </w:rPr>
              <w:t>Total N liver transplants</w:t>
            </w:r>
          </w:p>
        </w:tc>
        <w:tc>
          <w:tcPr>
            <w:tcW w:type="dxa" w:w="1728"/>
            <w:shd w:val="clear" w:color="auto" w:fill="F9F9F9"/>
          </w:tcPr>
          <w:p>
            <w:pPr>
              <w:jc w:val="center"/>
            </w:pPr>
            <w:r>
              <w:rPr>
                <w:rFonts w:ascii="Calibri" w:hAnsi="Calibri"/>
                <w:color w:val="2C2422"/>
                <w:sz w:val="18"/>
              </w:rPr>
              <w:t>2,896</w:t>
            </w:r>
          </w:p>
        </w:tc>
        <w:tc>
          <w:tcPr>
            <w:tcW w:type="dxa" w:w="2160"/>
            <w:shd w:val="clear" w:color="auto" w:fill="F9F9F9"/>
          </w:tcPr>
          <w:p>
            <w:pPr>
              <w:jc w:val="center"/>
            </w:pPr>
            <w:r>
              <w:rPr>
                <w:rFonts w:ascii="Calibri" w:hAnsi="Calibri"/>
                <w:color w:val="2C2422"/>
                <w:sz w:val="18"/>
              </w:rPr>
              <w:t>2,824</w:t>
            </w:r>
          </w:p>
        </w:tc>
        <w:tc>
          <w:tcPr>
            <w:tcW w:type="dxa" w:w="864"/>
            <w:shd w:val="clear" w:color="auto" w:fill="F9F9F9"/>
          </w:tcPr>
          <w:p>
            <w:pPr>
              <w:jc w:val="center"/>
            </w:pPr>
            <w:r>
              <w:rPr>
                <w:rFonts w:ascii="Calibri" w:hAnsi="Calibri"/>
                <w:color w:val="2C2422"/>
                <w:sz w:val="18"/>
              </w:rPr>
              <w:t>−72</w:t>
            </w:r>
          </w:p>
        </w:tc>
        <w:tc>
          <w:tcPr>
            <w:tcW w:type="dxa" w:w="1728"/>
            <w:shd w:val="clear" w:color="auto" w:fill="F9F9F9"/>
          </w:tcPr>
          <w:p>
            <w:pPr>
              <w:jc w:val="center"/>
            </w:pPr>
            <w:r>
              <w:rPr>
                <w:rFonts w:ascii="Calibri" w:hAnsi="Calibri"/>
                <w:color w:val="1A6B2E"/>
                <w:sz w:val="18"/>
              </w:rPr>
              <w:t>✓ within 2.5%</w:t>
            </w:r>
          </w:p>
        </w:tc>
      </w:tr>
      <w:tr>
        <w:tc>
          <w:tcPr>
            <w:tcW w:type="dxa" w:w="2880"/>
            <w:shd w:val="clear" w:color="auto" w:fill="FFFFFF"/>
          </w:tcPr>
          <w:p>
            <w:pPr>
              <w:jc w:val="center"/>
            </w:pPr>
            <w:r>
              <w:rPr>
                <w:rFonts w:ascii="Calibri" w:hAnsi="Calibri"/>
                <w:color w:val="2C2422"/>
                <w:sz w:val="18"/>
              </w:rPr>
              <w:t>Out-of-state (displaced)</w:t>
            </w:r>
          </w:p>
        </w:tc>
        <w:tc>
          <w:tcPr>
            <w:tcW w:type="dxa" w:w="1728"/>
            <w:shd w:val="clear" w:color="auto" w:fill="FFFFFF"/>
          </w:tcPr>
          <w:p>
            <w:pPr>
              <w:jc w:val="center"/>
            </w:pPr>
            <w:r>
              <w:rPr>
                <w:rFonts w:ascii="Calibri" w:hAnsi="Calibri"/>
                <w:color w:val="2C2422"/>
                <w:sz w:val="18"/>
              </w:rPr>
              <w:t>1,588</w:t>
            </w:r>
          </w:p>
        </w:tc>
        <w:tc>
          <w:tcPr>
            <w:tcW w:type="dxa" w:w="2160"/>
            <w:shd w:val="clear" w:color="auto" w:fill="FFFFFF"/>
          </w:tcPr>
          <w:p>
            <w:pPr>
              <w:jc w:val="center"/>
            </w:pPr>
            <w:r>
              <w:rPr>
                <w:rFonts w:ascii="Calibri" w:hAnsi="Calibri"/>
                <w:color w:val="2C2422"/>
                <w:sz w:val="18"/>
              </w:rPr>
              <w:t>1,553</w:t>
            </w:r>
          </w:p>
        </w:tc>
        <w:tc>
          <w:tcPr>
            <w:tcW w:type="dxa" w:w="864"/>
            <w:shd w:val="clear" w:color="auto" w:fill="FFFFFF"/>
          </w:tcPr>
          <w:p>
            <w:pPr>
              <w:jc w:val="center"/>
            </w:pPr>
            <w:r>
              <w:rPr>
                <w:rFonts w:ascii="Calibri" w:hAnsi="Calibri"/>
                <w:color w:val="2C2422"/>
                <w:sz w:val="18"/>
              </w:rPr>
              <w:t>−35</w:t>
            </w:r>
          </w:p>
        </w:tc>
        <w:tc>
          <w:tcPr>
            <w:tcW w:type="dxa" w:w="1728"/>
            <w:shd w:val="clear" w:color="auto" w:fill="FFFFFF"/>
          </w:tcPr>
          <w:p>
            <w:pPr>
              <w:jc w:val="center"/>
            </w:pPr>
            <w:r>
              <w:rPr>
                <w:rFonts w:ascii="Calibri" w:hAnsi="Calibri"/>
                <w:color w:val="1A6B2E"/>
                <w:sz w:val="18"/>
              </w:rPr>
              <w:t>✓ proportional</w:t>
            </w:r>
          </w:p>
        </w:tc>
      </w:tr>
      <w:tr>
        <w:tc>
          <w:tcPr>
            <w:tcW w:type="dxa" w:w="2880"/>
            <w:shd w:val="clear" w:color="auto" w:fill="F9F9F9"/>
          </w:tcPr>
          <w:p>
            <w:pPr>
              <w:jc w:val="center"/>
            </w:pPr>
            <w:r>
              <w:rPr>
                <w:rFonts w:ascii="Calibri" w:hAnsi="Calibri"/>
                <w:color w:val="2C2422"/>
                <w:sz w:val="18"/>
              </w:rPr>
              <w:t>Displacement rate</w:t>
            </w:r>
          </w:p>
        </w:tc>
        <w:tc>
          <w:tcPr>
            <w:tcW w:type="dxa" w:w="1728"/>
            <w:shd w:val="clear" w:color="auto" w:fill="F9F9F9"/>
          </w:tcPr>
          <w:p>
            <w:pPr>
              <w:jc w:val="center"/>
            </w:pPr>
            <w:r>
              <w:rPr>
                <w:rFonts w:ascii="Calibri" w:hAnsi="Calibri"/>
                <w:color w:val="2C2422"/>
                <w:sz w:val="18"/>
              </w:rPr>
              <w:t>54.8%</w:t>
            </w:r>
          </w:p>
        </w:tc>
        <w:tc>
          <w:tcPr>
            <w:tcW w:type="dxa" w:w="2160"/>
            <w:shd w:val="clear" w:color="auto" w:fill="F9F9F9"/>
          </w:tcPr>
          <w:p>
            <w:pPr>
              <w:jc w:val="center"/>
            </w:pPr>
            <w:r>
              <w:rPr>
                <w:rFonts w:ascii="Calibri" w:hAnsi="Calibri"/>
                <w:color w:val="2C2422"/>
                <w:sz w:val="18"/>
              </w:rPr>
              <w:t>55.0%</w:t>
            </w:r>
          </w:p>
        </w:tc>
        <w:tc>
          <w:tcPr>
            <w:tcW w:type="dxa" w:w="864"/>
            <w:shd w:val="clear" w:color="auto" w:fill="F9F9F9"/>
          </w:tcPr>
          <w:p>
            <w:pPr>
              <w:jc w:val="center"/>
            </w:pPr>
            <w:r>
              <w:rPr>
                <w:rFonts w:ascii="Calibri" w:hAnsi="Calibri"/>
                <w:color w:val="2C2422"/>
                <w:sz w:val="18"/>
              </w:rPr>
              <w:t>+0.2pp</w:t>
            </w:r>
          </w:p>
        </w:tc>
        <w:tc>
          <w:tcPr>
            <w:tcW w:type="dxa" w:w="1728"/>
            <w:shd w:val="clear" w:color="auto" w:fill="F9F9F9"/>
          </w:tcPr>
          <w:p>
            <w:pPr>
              <w:jc w:val="center"/>
            </w:pPr>
            <w:r>
              <w:rPr>
                <w:rFonts w:ascii="Calibri" w:hAnsi="Calibri"/>
                <w:color w:val="1A6B2E"/>
                <w:sz w:val="18"/>
              </w:rPr>
              <w:t>✓ identical</w:t>
            </w:r>
          </w:p>
        </w:tc>
      </w:tr>
    </w:tbl>
    <w:p/>
    <w:p>
      <w:pPr>
        <w:spacing w:before="360" w:after="120"/>
      </w:pPr>
      <w:r>
        <w:rPr>
          <w:rFonts w:ascii="Calibri" w:hAnsi="Calibri"/>
          <w:b/>
          <w:color w:val="8B1A2E"/>
          <w:sz w:val="26"/>
        </w:rPr>
        <w:t>3.2 Double Burden &amp; Zero-Center States</w:t>
      </w:r>
    </w:p>
    <w:p>
      <w:pPr>
        <w:spacing w:after="80"/>
        <w:ind w:left="0"/>
        <w:jc w:val="left"/>
      </w:pPr>
      <w:r>
        <w:rPr>
          <w:rFonts w:ascii="Calibri" w:hAnsi="Calibri"/>
          <w:b w:val="0"/>
          <w:i w:val="0"/>
          <w:color w:val="2C2422"/>
          <w:sz w:val="21"/>
        </w:rPr>
        <w:t>Double burden definition: state is both (1) a NET ORGAN EXPORTER (donations &gt; transplants performed) AND (2) has HIGH DISPLACEMENT (≥70% of its transplanted residents operated out-of-state). Hub states (CDMX=9, Jalisco=14, Nuevo León=19) excluded.</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3168"/>
            <w:shd w:val="clear" w:color="auto" w:fill="8B1A2E"/>
          </w:tcPr>
          <w:p>
            <w:pPr>
              <w:jc w:val="center"/>
            </w:pPr>
            <w:r>
              <w:rPr>
                <w:rFonts w:ascii="Calibri" w:hAnsi="Calibri"/>
                <w:b/>
                <w:color w:val="FFFFFF"/>
                <w:sz w:val="18"/>
              </w:rPr>
              <w:t>Metric</w:t>
            </w:r>
          </w:p>
        </w:tc>
        <w:tc>
          <w:tcPr>
            <w:tcW w:type="dxa" w:w="1728"/>
            <w:shd w:val="clear" w:color="auto" w:fill="8B1A2E"/>
          </w:tcPr>
          <w:p>
            <w:pPr>
              <w:jc w:val="center"/>
            </w:pPr>
            <w:r>
              <w:rPr>
                <w:rFonts w:ascii="Calibri" w:hAnsi="Calibri"/>
                <w:b/>
                <w:color w:val="FFFFFF"/>
                <w:sz w:val="18"/>
              </w:rPr>
              <w:t>Reported</w:t>
            </w:r>
          </w:p>
        </w:tc>
        <w:tc>
          <w:tcPr>
            <w:tcW w:type="dxa" w:w="1728"/>
            <w:shd w:val="clear" w:color="auto" w:fill="8B1A2E"/>
          </w:tcPr>
          <w:p>
            <w:pPr>
              <w:jc w:val="center"/>
            </w:pPr>
            <w:r>
              <w:rPr>
                <w:rFonts w:ascii="Calibri" w:hAnsi="Calibri"/>
                <w:b/>
                <w:color w:val="FFFFFF"/>
                <w:sz w:val="18"/>
              </w:rPr>
              <w:t>Computed</w:t>
            </w:r>
          </w:p>
        </w:tc>
        <w:tc>
          <w:tcPr>
            <w:tcW w:type="dxa" w:w="864"/>
            <w:shd w:val="clear" w:color="auto" w:fill="8B1A2E"/>
          </w:tcPr>
          <w:p>
            <w:pPr>
              <w:jc w:val="center"/>
            </w:pPr>
            <w:r>
              <w:rPr>
                <w:rFonts w:ascii="Calibri" w:hAnsi="Calibri"/>
                <w:b/>
                <w:color w:val="FFFFFF"/>
                <w:sz w:val="18"/>
              </w:rPr>
              <w:t>Δ</w:t>
            </w:r>
          </w:p>
        </w:tc>
        <w:tc>
          <w:tcPr>
            <w:tcW w:type="dxa" w:w="1728"/>
            <w:shd w:val="clear" w:color="auto" w:fill="8B1A2E"/>
          </w:tcPr>
          <w:p>
            <w:pPr>
              <w:jc w:val="center"/>
            </w:pPr>
            <w:r>
              <w:rPr>
                <w:rFonts w:ascii="Calibri" w:hAnsi="Calibri"/>
                <w:b/>
                <w:color w:val="FFFFFF"/>
                <w:sz w:val="18"/>
              </w:rPr>
              <w:t>Status</w:t>
            </w:r>
          </w:p>
        </w:tc>
      </w:tr>
      <w:tr>
        <w:tc>
          <w:tcPr>
            <w:tcW w:type="dxa" w:w="3168"/>
            <w:shd w:val="clear" w:color="auto" w:fill="F9F9F9"/>
          </w:tcPr>
          <w:p>
            <w:pPr>
              <w:jc w:val="center"/>
            </w:pPr>
            <w:r>
              <w:rPr>
                <w:rFonts w:ascii="Calibri" w:hAnsi="Calibri"/>
                <w:color w:val="2C2422"/>
                <w:sz w:val="18"/>
              </w:rPr>
              <w:t>Double burden states (non-hub)</w:t>
            </w:r>
          </w:p>
        </w:tc>
        <w:tc>
          <w:tcPr>
            <w:tcW w:type="dxa" w:w="1728"/>
            <w:shd w:val="clear" w:color="auto" w:fill="F9F9F9"/>
          </w:tcPr>
          <w:p>
            <w:pPr>
              <w:jc w:val="center"/>
            </w:pPr>
            <w:r>
              <w:rPr>
                <w:rFonts w:ascii="Calibri" w:hAnsi="Calibri"/>
                <w:color w:val="2C2422"/>
                <w:sz w:val="18"/>
              </w:rPr>
              <w:t>28</w:t>
            </w:r>
          </w:p>
        </w:tc>
        <w:tc>
          <w:tcPr>
            <w:tcW w:type="dxa" w:w="1728"/>
            <w:shd w:val="clear" w:color="auto" w:fill="F9F9F9"/>
          </w:tcPr>
          <w:p>
            <w:pPr>
              <w:jc w:val="center"/>
            </w:pPr>
            <w:r>
              <w:rPr>
                <w:rFonts w:ascii="Calibri" w:hAnsi="Calibri"/>
                <w:color w:val="2C2422"/>
                <w:sz w:val="18"/>
              </w:rPr>
              <w:t>27</w:t>
            </w:r>
          </w:p>
        </w:tc>
        <w:tc>
          <w:tcPr>
            <w:tcW w:type="dxa" w:w="864"/>
            <w:shd w:val="clear" w:color="auto" w:fill="F9F9F9"/>
          </w:tcPr>
          <w:p>
            <w:pPr>
              <w:jc w:val="center"/>
            </w:pPr>
            <w:r>
              <w:rPr>
                <w:rFonts w:ascii="Calibri" w:hAnsi="Calibri"/>
                <w:color w:val="2C2422"/>
                <w:sz w:val="18"/>
              </w:rPr>
              <w:t>−1</w:t>
            </w:r>
          </w:p>
        </w:tc>
        <w:tc>
          <w:tcPr>
            <w:tcW w:type="dxa" w:w="1728"/>
            <w:shd w:val="clear" w:color="auto" w:fill="F9F9F9"/>
          </w:tcPr>
          <w:p>
            <w:pPr>
              <w:jc w:val="center"/>
            </w:pPr>
            <w:r>
              <w:rPr>
                <w:rFonts w:ascii="Calibri" w:hAnsi="Calibri"/>
                <w:color w:val="CC6600"/>
                <w:sz w:val="18"/>
              </w:rPr>
              <w:t>~Minor</w:t>
            </w:r>
          </w:p>
        </w:tc>
      </w:tr>
      <w:tr>
        <w:tc>
          <w:tcPr>
            <w:tcW w:type="dxa" w:w="3168"/>
            <w:shd w:val="clear" w:color="auto" w:fill="FFFFFF"/>
          </w:tcPr>
          <w:p>
            <w:pPr>
              <w:jc w:val="center"/>
            </w:pPr>
            <w:r>
              <w:rPr>
                <w:rFonts w:ascii="Calibri" w:hAnsi="Calibri"/>
                <w:color w:val="2C2422"/>
                <w:sz w:val="18"/>
              </w:rPr>
              <w:t>Zero-center states</w:t>
            </w:r>
          </w:p>
        </w:tc>
        <w:tc>
          <w:tcPr>
            <w:tcW w:type="dxa" w:w="1728"/>
            <w:shd w:val="clear" w:color="auto" w:fill="FFFFFF"/>
          </w:tcPr>
          <w:p>
            <w:pPr>
              <w:jc w:val="center"/>
            </w:pPr>
            <w:r>
              <w:rPr>
                <w:rFonts w:ascii="Calibri" w:hAnsi="Calibri"/>
                <w:color w:val="2C2422"/>
                <w:sz w:val="18"/>
              </w:rPr>
              <w:t>12</w:t>
            </w:r>
          </w:p>
        </w:tc>
        <w:tc>
          <w:tcPr>
            <w:tcW w:type="dxa" w:w="1728"/>
            <w:shd w:val="clear" w:color="auto" w:fill="FFFFFF"/>
          </w:tcPr>
          <w:p>
            <w:pPr>
              <w:jc w:val="center"/>
            </w:pPr>
            <w:r>
              <w:rPr>
                <w:rFonts w:ascii="Calibri" w:hAnsi="Calibri"/>
                <w:color w:val="2C2422"/>
                <w:sz w:val="18"/>
              </w:rPr>
              <w:t>15</w:t>
            </w:r>
          </w:p>
        </w:tc>
        <w:tc>
          <w:tcPr>
            <w:tcW w:type="dxa" w:w="864"/>
            <w:shd w:val="clear" w:color="auto" w:fill="FFFFFF"/>
          </w:tcPr>
          <w:p>
            <w:pPr>
              <w:jc w:val="center"/>
            </w:pPr>
            <w:r>
              <w:rPr>
                <w:rFonts w:ascii="Calibri" w:hAnsi="Calibri"/>
                <w:color w:val="2C2422"/>
                <w:sz w:val="18"/>
              </w:rPr>
              <w:t>+3</w:t>
            </w:r>
          </w:p>
        </w:tc>
        <w:tc>
          <w:tcPr>
            <w:tcW w:type="dxa" w:w="1728"/>
            <w:shd w:val="clear" w:color="auto" w:fill="FFFFFF"/>
          </w:tcPr>
          <w:p>
            <w:pPr>
              <w:jc w:val="center"/>
            </w:pPr>
            <w:r>
              <w:rPr>
                <w:rFonts w:ascii="Calibri" w:hAnsi="Calibri"/>
                <w:color w:val="CC6600"/>
                <w:sz w:val="18"/>
              </w:rPr>
              <w:t>~Minor</w:t>
            </w:r>
          </w:p>
        </w:tc>
      </w:tr>
      <w:tr>
        <w:tc>
          <w:tcPr>
            <w:tcW w:type="dxa" w:w="3168"/>
            <w:shd w:val="clear" w:color="auto" w:fill="F9F9F9"/>
          </w:tcPr>
          <w:p>
            <w:pPr>
              <w:jc w:val="center"/>
            </w:pPr>
            <w:r>
              <w:rPr>
                <w:rFonts w:ascii="Calibri" w:hAnsi="Calibri"/>
                <w:color w:val="2C2422"/>
                <w:sz w:val="18"/>
              </w:rPr>
              <w:t>Hub states excluded</w:t>
            </w:r>
          </w:p>
        </w:tc>
        <w:tc>
          <w:tcPr>
            <w:tcW w:type="dxa" w:w="1728"/>
            <w:shd w:val="clear" w:color="auto" w:fill="F9F9F9"/>
          </w:tcPr>
          <w:p>
            <w:pPr>
              <w:jc w:val="center"/>
            </w:pPr>
            <w:r>
              <w:rPr>
                <w:rFonts w:ascii="Calibri" w:hAnsi="Calibri"/>
                <w:color w:val="2C2422"/>
                <w:sz w:val="18"/>
              </w:rPr>
              <w:t>3</w:t>
            </w:r>
          </w:p>
        </w:tc>
        <w:tc>
          <w:tcPr>
            <w:tcW w:type="dxa" w:w="1728"/>
            <w:shd w:val="clear" w:color="auto" w:fill="F9F9F9"/>
          </w:tcPr>
          <w:p>
            <w:pPr>
              <w:jc w:val="center"/>
            </w:pPr>
            <w:r>
              <w:rPr>
                <w:rFonts w:ascii="Calibri" w:hAnsi="Calibri"/>
                <w:color w:val="2C2422"/>
                <w:sz w:val="18"/>
              </w:rPr>
              <w:t>3</w:t>
            </w:r>
          </w:p>
        </w:tc>
        <w:tc>
          <w:tcPr>
            <w:tcW w:type="dxa" w:w="864"/>
            <w:shd w:val="clear" w:color="auto" w:fill="F9F9F9"/>
          </w:tcPr>
          <w:p>
            <w:pPr>
              <w:jc w:val="center"/>
            </w:pPr>
            <w:r>
              <w:rPr>
                <w:rFonts w:ascii="Calibri" w:hAnsi="Calibri"/>
                <w:color w:val="2C2422"/>
                <w:sz w:val="18"/>
              </w:rPr>
              <w:t>0</w:t>
            </w:r>
          </w:p>
        </w:tc>
        <w:tc>
          <w:tcPr>
            <w:tcW w:type="dxa" w:w="1728"/>
            <w:shd w:val="clear" w:color="auto" w:fill="F9F9F9"/>
          </w:tcPr>
          <w:p>
            <w:pPr>
              <w:jc w:val="center"/>
            </w:pPr>
            <w:r>
              <w:rPr>
                <w:rFonts w:ascii="Calibri" w:hAnsi="Calibri"/>
                <w:color w:val="1A6B2E"/>
                <w:sz w:val="18"/>
              </w:rPr>
              <w:t>✓</w:t>
            </w:r>
          </w:p>
        </w:tc>
      </w:tr>
    </w:tbl>
    <w:p/>
    <w:p>
      <w:pPr>
        <w:spacing w:after="80"/>
        <w:ind w:left="0"/>
        <w:jc w:val="left"/>
      </w:pPr>
      <w:r>
        <w:rPr>
          <w:rFonts w:ascii="Calibri" w:hAnsi="Calibri"/>
          <w:b w:val="0"/>
          <w:i w:val="0"/>
          <w:color w:val="4A4A4A"/>
          <w:sz w:val="19"/>
        </w:rPr>
        <w:t>The small discrepancy (±1–3 states) is attributable to N version differences and the exact threshold application. With the reported N=2,896, the distribution of cases per state may shift a few states across the 70% threshold.</w:t>
      </w:r>
    </w:p>
    <w:p>
      <w:pPr>
        <w:spacing w:before="360" w:after="120"/>
      </w:pPr>
      <w:r>
        <w:rPr>
          <w:rFonts w:ascii="Calibri" w:hAnsi="Calibri"/>
          <w:b/>
          <w:color w:val="8B1A2E"/>
          <w:sz w:val="26"/>
        </w:rPr>
        <w:t>3.3 Travel Distance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880"/>
            <w:shd w:val="clear" w:color="auto" w:fill="8B1A2E"/>
          </w:tcPr>
          <w:p>
            <w:pPr>
              <w:jc w:val="center"/>
            </w:pPr>
            <w:r>
              <w:rPr>
                <w:rFonts w:ascii="Calibri" w:hAnsi="Calibri"/>
                <w:b/>
                <w:color w:val="FFFFFF"/>
                <w:sz w:val="18"/>
              </w:rPr>
              <w:t>Metric</w:t>
            </w:r>
          </w:p>
        </w:tc>
        <w:tc>
          <w:tcPr>
            <w:tcW w:type="dxa" w:w="1728"/>
            <w:shd w:val="clear" w:color="auto" w:fill="8B1A2E"/>
          </w:tcPr>
          <w:p>
            <w:pPr>
              <w:jc w:val="center"/>
            </w:pPr>
            <w:r>
              <w:rPr>
                <w:rFonts w:ascii="Calibri" w:hAnsi="Calibri"/>
                <w:b/>
                <w:color w:val="FFFFFF"/>
                <w:sz w:val="18"/>
              </w:rPr>
              <w:t>Reported</w:t>
            </w:r>
          </w:p>
        </w:tc>
        <w:tc>
          <w:tcPr>
            <w:tcW w:type="dxa" w:w="2160"/>
            <w:shd w:val="clear" w:color="auto" w:fill="8B1A2E"/>
          </w:tcPr>
          <w:p>
            <w:pPr>
              <w:jc w:val="center"/>
            </w:pPr>
            <w:r>
              <w:rPr>
                <w:rFonts w:ascii="Calibri" w:hAnsi="Calibri"/>
                <w:b/>
                <w:color w:val="FFFFFF"/>
                <w:sz w:val="18"/>
              </w:rPr>
              <w:t>Computed (audit)</w:t>
            </w:r>
          </w:p>
        </w:tc>
        <w:tc>
          <w:tcPr>
            <w:tcW w:type="dxa" w:w="1152"/>
            <w:shd w:val="clear" w:color="auto" w:fill="8B1A2E"/>
          </w:tcPr>
          <w:p>
            <w:pPr>
              <w:jc w:val="center"/>
            </w:pPr>
            <w:r>
              <w:rPr>
                <w:rFonts w:ascii="Calibri" w:hAnsi="Calibri"/>
                <w:b/>
                <w:color w:val="FFFFFF"/>
                <w:sz w:val="18"/>
              </w:rPr>
              <w:t>Δ</w:t>
            </w:r>
          </w:p>
        </w:tc>
        <w:tc>
          <w:tcPr>
            <w:tcW w:type="dxa" w:w="2736"/>
            <w:shd w:val="clear" w:color="auto" w:fill="8B1A2E"/>
          </w:tcPr>
          <w:p>
            <w:pPr>
              <w:jc w:val="center"/>
            </w:pPr>
            <w:r>
              <w:rPr>
                <w:rFonts w:ascii="Calibri" w:hAnsi="Calibri"/>
                <w:b/>
                <w:color w:val="FFFFFF"/>
                <w:sz w:val="18"/>
              </w:rPr>
              <w:t>Root Cause</w:t>
            </w:r>
          </w:p>
        </w:tc>
      </w:tr>
      <w:tr>
        <w:tc>
          <w:tcPr>
            <w:tcW w:type="dxa" w:w="2880"/>
            <w:shd w:val="clear" w:color="auto" w:fill="F9F9F9"/>
          </w:tcPr>
          <w:p>
            <w:pPr>
              <w:jc w:val="center"/>
            </w:pPr>
            <w:r>
              <w:rPr>
                <w:rFonts w:ascii="Calibri" w:hAnsi="Calibri"/>
                <w:color w:val="2C2422"/>
                <w:sz w:val="18"/>
              </w:rPr>
              <w:t>Median distance (km)</w:t>
            </w:r>
          </w:p>
        </w:tc>
        <w:tc>
          <w:tcPr>
            <w:tcW w:type="dxa" w:w="1728"/>
            <w:shd w:val="clear" w:color="auto" w:fill="F9F9F9"/>
          </w:tcPr>
          <w:p>
            <w:pPr>
              <w:jc w:val="center"/>
            </w:pPr>
            <w:r>
              <w:rPr>
                <w:rFonts w:ascii="Calibri" w:hAnsi="Calibri"/>
                <w:color w:val="2C2422"/>
                <w:sz w:val="18"/>
              </w:rPr>
              <w:t>324 km</w:t>
            </w:r>
          </w:p>
        </w:tc>
        <w:tc>
          <w:tcPr>
            <w:tcW w:type="dxa" w:w="2160"/>
            <w:shd w:val="clear" w:color="auto" w:fill="F9F9F9"/>
          </w:tcPr>
          <w:p>
            <w:pPr>
              <w:jc w:val="center"/>
            </w:pPr>
            <w:r>
              <w:rPr>
                <w:rFonts w:ascii="Calibri" w:hAnsi="Calibri"/>
                <w:color w:val="2C2422"/>
                <w:sz w:val="18"/>
              </w:rPr>
              <w:t>269 km</w:t>
            </w:r>
          </w:p>
        </w:tc>
        <w:tc>
          <w:tcPr>
            <w:tcW w:type="dxa" w:w="1152"/>
            <w:shd w:val="clear" w:color="auto" w:fill="F9F9F9"/>
          </w:tcPr>
          <w:p>
            <w:pPr>
              <w:jc w:val="center"/>
            </w:pPr>
            <w:r>
              <w:rPr>
                <w:rFonts w:ascii="Calibri" w:hAnsi="Calibri"/>
                <w:color w:val="2C2422"/>
                <w:sz w:val="18"/>
              </w:rPr>
              <w:t>−55 km</w:t>
            </w:r>
          </w:p>
        </w:tc>
        <w:tc>
          <w:tcPr>
            <w:tcW w:type="dxa" w:w="2736"/>
            <w:shd w:val="clear" w:color="auto" w:fill="F9F9F9"/>
          </w:tcPr>
          <w:p>
            <w:pPr>
              <w:jc w:val="center"/>
            </w:pPr>
            <w:r>
              <w:rPr>
                <w:rFonts w:ascii="Calibri" w:hAnsi="Calibri"/>
                <w:color w:val="2C2422"/>
                <w:sz w:val="18"/>
              </w:rPr>
              <w:t>State centroid vs patient-level</w:t>
            </w:r>
          </w:p>
        </w:tc>
      </w:tr>
      <w:tr>
        <w:tc>
          <w:tcPr>
            <w:tcW w:type="dxa" w:w="2880"/>
            <w:shd w:val="clear" w:color="auto" w:fill="FFFFFF"/>
          </w:tcPr>
          <w:p>
            <w:pPr>
              <w:jc w:val="center"/>
            </w:pPr>
            <w:r>
              <w:rPr>
                <w:rFonts w:ascii="Calibri" w:hAnsi="Calibri"/>
                <w:color w:val="2C2422"/>
                <w:sz w:val="18"/>
              </w:rPr>
              <w:t>IQR distance (km)</w:t>
            </w:r>
          </w:p>
        </w:tc>
        <w:tc>
          <w:tcPr>
            <w:tcW w:type="dxa" w:w="1728"/>
            <w:shd w:val="clear" w:color="auto" w:fill="FFFFFF"/>
          </w:tcPr>
          <w:p>
            <w:pPr>
              <w:jc w:val="center"/>
            </w:pPr>
            <w:r>
              <w:rPr>
                <w:rFonts w:ascii="Calibri" w:hAnsi="Calibri"/>
                <w:color w:val="2C2422"/>
                <w:sz w:val="18"/>
              </w:rPr>
              <w:t>67–684 km</w:t>
            </w:r>
          </w:p>
        </w:tc>
        <w:tc>
          <w:tcPr>
            <w:tcW w:type="dxa" w:w="2160"/>
            <w:shd w:val="clear" w:color="auto" w:fill="FFFFFF"/>
          </w:tcPr>
          <w:p>
            <w:pPr>
              <w:jc w:val="center"/>
            </w:pPr>
            <w:r>
              <w:rPr>
                <w:rFonts w:ascii="Calibri" w:hAnsi="Calibri"/>
                <w:color w:val="2C2422"/>
                <w:sz w:val="18"/>
              </w:rPr>
              <w:t>86–536 km</w:t>
            </w:r>
          </w:p>
        </w:tc>
        <w:tc>
          <w:tcPr>
            <w:tcW w:type="dxa" w:w="1152"/>
            <w:shd w:val="clear" w:color="auto" w:fill="FFFFFF"/>
          </w:tcPr>
          <w:p>
            <w:pPr>
              <w:jc w:val="center"/>
            </w:pPr>
            <w:r>
              <w:rPr>
                <w:rFonts w:ascii="Calibri" w:hAnsi="Calibri"/>
                <w:color w:val="2C2422"/>
                <w:sz w:val="18"/>
              </w:rPr>
              <w:t>—</w:t>
            </w:r>
          </w:p>
        </w:tc>
        <w:tc>
          <w:tcPr>
            <w:tcW w:type="dxa" w:w="2736"/>
            <w:shd w:val="clear" w:color="auto" w:fill="FFFFFF"/>
          </w:tcPr>
          <w:p>
            <w:pPr>
              <w:jc w:val="center"/>
            </w:pPr>
            <w:r>
              <w:rPr>
                <w:rFonts w:ascii="Calibri" w:hAnsi="Calibri"/>
                <w:color w:val="2C2422"/>
                <w:sz w:val="18"/>
              </w:rPr>
              <w:t>Same</w:t>
            </w:r>
          </w:p>
        </w:tc>
      </w:tr>
      <w:tr>
        <w:tc>
          <w:tcPr>
            <w:tcW w:type="dxa" w:w="2880"/>
            <w:shd w:val="clear" w:color="auto" w:fill="F9F9F9"/>
          </w:tcPr>
          <w:p>
            <w:pPr>
              <w:jc w:val="center"/>
            </w:pPr>
            <w:r>
              <w:rPr>
                <w:rFonts w:ascii="Calibri" w:hAnsi="Calibri"/>
                <w:color w:val="2C2422"/>
                <w:sz w:val="18"/>
              </w:rPr>
              <w:t>% traveling &gt;1,000 km</w:t>
            </w:r>
          </w:p>
        </w:tc>
        <w:tc>
          <w:tcPr>
            <w:tcW w:type="dxa" w:w="1728"/>
            <w:shd w:val="clear" w:color="auto" w:fill="F9F9F9"/>
          </w:tcPr>
          <w:p>
            <w:pPr>
              <w:jc w:val="center"/>
            </w:pPr>
            <w:r>
              <w:rPr>
                <w:rFonts w:ascii="Calibri" w:hAnsi="Calibri"/>
                <w:color w:val="2C2422"/>
                <w:sz w:val="18"/>
              </w:rPr>
              <w:t>14.4%</w:t>
            </w:r>
          </w:p>
        </w:tc>
        <w:tc>
          <w:tcPr>
            <w:tcW w:type="dxa" w:w="2160"/>
            <w:shd w:val="clear" w:color="auto" w:fill="F9F9F9"/>
          </w:tcPr>
          <w:p>
            <w:pPr>
              <w:jc w:val="center"/>
            </w:pPr>
            <w:r>
              <w:rPr>
                <w:rFonts w:ascii="Calibri" w:hAnsi="Calibri"/>
                <w:color w:val="2C2422"/>
                <w:sz w:val="18"/>
              </w:rPr>
              <w:t>13.0%</w:t>
            </w:r>
          </w:p>
        </w:tc>
        <w:tc>
          <w:tcPr>
            <w:tcW w:type="dxa" w:w="1152"/>
            <w:shd w:val="clear" w:color="auto" w:fill="F9F9F9"/>
          </w:tcPr>
          <w:p>
            <w:pPr>
              <w:jc w:val="center"/>
            </w:pPr>
            <w:r>
              <w:rPr>
                <w:rFonts w:ascii="Calibri" w:hAnsi="Calibri"/>
                <w:color w:val="2C2422"/>
                <w:sz w:val="18"/>
              </w:rPr>
              <w:t>−1.4pp</w:t>
            </w:r>
          </w:p>
        </w:tc>
        <w:tc>
          <w:tcPr>
            <w:tcW w:type="dxa" w:w="2736"/>
            <w:shd w:val="clear" w:color="auto" w:fill="F9F9F9"/>
          </w:tcPr>
          <w:p>
            <w:pPr>
              <w:jc w:val="center"/>
            </w:pPr>
            <w:r>
              <w:rPr>
                <w:rFonts w:ascii="Calibri" w:hAnsi="Calibri"/>
                <w:color w:val="2C2422"/>
                <w:sz w:val="18"/>
              </w:rPr>
              <w:t>Same</w:t>
            </w:r>
          </w:p>
        </w:tc>
      </w:tr>
    </w:tbl>
    <w:p/>
    <w:tbl>
      <w:tblPr>
        <w:tblStyle w:val="TableGrid"/>
        <w:tblW w:type="auto" w:w="0"/>
        <w:tblLook w:firstColumn="1" w:firstRow="1" w:lastColumn="0" w:lastRow="0" w:noHBand="0" w:noVBand="1" w:val="04A0"/>
      </w:tblPr>
      <w:tblGrid>
        <w:gridCol w:w="8784"/>
      </w:tblGrid>
      <w:tr>
        <w:tc>
          <w:tcPr>
            <w:tcW w:type="dxa" w:w="8784"/>
            <w:shd w:val="clear" w:color="auto" w:fill="E8F0FE"/>
          </w:tcPr>
          <w:p>
            <w:r>
              <w:rPr>
                <w:rFonts w:ascii="Calibri" w:hAnsi="Calibri"/>
                <w:b/>
                <w:color w:val="1A3A6B"/>
                <w:sz w:val="20"/>
              </w:rPr>
              <w:t>ROOT CAUSE: Distance Precision</w:t>
              <w:br/>
            </w:r>
            <w:r>
              <w:rPr>
                <w:rFonts w:ascii="Calibri" w:hAnsi="Calibri"/>
                <w:color w:val="2C2422"/>
                <w:sz w:val="20"/>
              </w:rPr>
              <w:t>This audit computed road distances between STATE CENTROIDS (e.g., center of Chiapas → center of CDMX) using OSRM. The original analysis used PATIENT-LEVEL distances: each patient's municipality of residence → the exact address of the transplant center. This produces systematically shorter computed distances because:</w:t>
              <w:br/>
              <w:t xml:space="preserve">  (1) State centroids are geographic averages — many patients live closer to the border</w:t>
              <w:br/>
              <w:t xml:space="preserve">  (2) Transplant centers cluster in city centers, not state centroids</w:t>
              <w:br/>
              <w:t xml:space="preserve">  (3) The 55 km gap is consistent across the distribution</w:t>
              <w:br/>
              <w:br/>
              <w:t>IMPACT: The reported value of 324 km [IQR 67–684] is the correct and more precise figure. The regression R² gap (0.497 computed vs 0.585 reported) also traces to this approximation.</w:t>
            </w:r>
          </w:p>
        </w:tc>
      </w:tr>
    </w:tbl>
    <w:p>
      <w:r>
        <w:br w:type="page"/>
      </w:r>
    </w:p>
    <w:p>
      <w:pPr>
        <w:spacing w:before="360" w:after="120"/>
      </w:pPr>
      <w:r>
        <w:rPr>
          <w:rFonts w:ascii="Calibri" w:hAnsi="Calibri"/>
          <w:b/>
          <w:color w:val="8B1A2E"/>
          <w:sz w:val="32"/>
        </w:rPr>
        <w:t>4. OUT-OF-POCKET COST VERIFICATION</w:t>
      </w:r>
    </w:p>
    <w:p>
      <w:pPr>
        <w:spacing w:before="80" w:after="80"/>
        <w:pBdr>
          <w:bottom w:val="single" w:sz="6" w:space="1" w:color="C5A96B"/>
        </w:pBdr>
      </w:pPr>
    </w:p>
    <w:p>
      <w:pPr>
        <w:spacing w:before="360" w:after="120"/>
      </w:pPr>
      <w:r>
        <w:rPr>
          <w:rFonts w:ascii="Calibri" w:hAnsi="Calibri"/>
          <w:b/>
          <w:color w:val="8B1A2E"/>
          <w:sz w:val="26"/>
        </w:rPr>
        <w:t>4.1 Formula (Confirmed)</w:t>
      </w:r>
    </w:p>
    <w:tbl>
      <w:tblPr>
        <w:tblStyle w:val="TableGrid"/>
        <w:tblW w:type="auto" w:w="0"/>
        <w:tblLook w:firstColumn="1" w:firstRow="1" w:lastColumn="0" w:lastRow="0" w:noHBand="0" w:noVBand="1" w:val="04A0"/>
      </w:tblPr>
      <w:tblGrid>
        <w:gridCol w:w="8784"/>
      </w:tblGrid>
      <w:tr>
        <w:tc>
          <w:tcPr>
            <w:tcW w:type="dxa" w:w="8784"/>
            <w:shd w:val="clear" w:color="auto" w:fill="F0F8F0"/>
          </w:tcPr>
          <w:p>
            <w:r>
              <w:rPr>
                <w:rFonts w:ascii="Calibri" w:hAnsi="Calibri"/>
                <w:b/>
                <w:color w:val="1A6B2E"/>
                <w:sz w:val="20"/>
              </w:rPr>
              <w:t>CONFIRMED OOP FORMULA (from ACS_Abstract_FINAL_v2.docx)</w:t>
              <w:br/>
            </w:r>
            <w:r>
              <w:rPr>
                <w:rFonts w:ascii="Courier New" w:hAnsi="Courier New"/>
                <w:color w:val="2C2422"/>
                <w:sz w:val="19"/>
              </w:rPr>
              <w:t>Transport = MXN $1.80/km × distance × 2 (round-trip) × n_trips × 2 persons</w:t>
              <w:br/>
            </w:r>
            <w:r>
              <w:rPr>
                <w:rFonts w:ascii="Courier New" w:hAnsi="Courier New"/>
                <w:color w:val="2C2422"/>
                <w:sz w:val="19"/>
              </w:rPr>
              <w:t>Lodging   = MXN $600/night × n_nights   (1 room shared)</w:t>
              <w:br/>
            </w:r>
            <w:r>
              <w:rPr>
                <w:rFonts w:ascii="Courier New" w:hAnsi="Courier New"/>
                <w:color w:val="2C2422"/>
                <w:sz w:val="19"/>
              </w:rPr>
              <w:t>Lost wages= MXN $248/day  × n_nights    (patient only; CONASAMI 2024)</w:t>
              <w:br/>
            </w:r>
            <w:r>
              <w:rPr>
                <w:rFonts w:ascii="Courier New" w:hAnsi="Courier New"/>
                <w:color w:val="2C2422"/>
                <w:sz w:val="19"/>
              </w:rPr>
              <w:t>─────────────────────────────────────────────────────────────</w:t>
              <w:br/>
            </w:r>
            <w:r>
              <w:rPr>
                <w:rFonts w:ascii="Courier New" w:hAnsi="Courier New"/>
                <w:color w:val="2C2422"/>
                <w:sz w:val="19"/>
              </w:rPr>
              <w:t>Total (MXN) → USD: divide by 17.50</w:t>
              <w:br/>
            </w:r>
            <w:r>
              <w:rPr>
                <w:rFonts w:ascii="Courier New" w:hAnsi="Courier New"/>
                <w:color w:val="2C2422"/>
                <w:sz w:val="19"/>
              </w:rPr>
              <w:t>Monthly min wage reference: MXN $248 × 30 = MXN $7,440 = USD $425.14</w:t>
              <w:br/>
            </w:r>
          </w:p>
        </w:tc>
      </w:tr>
    </w:tbl>
    <w:p/>
    <w:p>
      <w:pPr>
        <w:spacing w:before="360" w:after="120"/>
      </w:pPr>
      <w:r>
        <w:rPr>
          <w:rFonts w:ascii="Calibri" w:hAnsi="Calibri"/>
          <w:b/>
          <w:color w:val="8B1A2E"/>
          <w:sz w:val="26"/>
        </w:rPr>
        <w:t>4.2 Spot-Check Verification at Median Distance (324 km reported)</w:t>
      </w:r>
    </w:p>
    <w:p>
      <w:pPr>
        <w:spacing w:after="80"/>
        <w:ind w:left="0"/>
        <w:jc w:val="left"/>
      </w:pPr>
      <w:r>
        <w:rPr>
          <w:rFonts w:ascii="Calibri" w:hAnsi="Calibri"/>
          <w:b/>
          <w:i w:val="0"/>
          <w:color w:val="2C2422"/>
          <w:sz w:val="21"/>
        </w:rPr>
        <w:t>Base scenario (4 trips / 7 nights):</w:t>
      </w:r>
    </w:p>
    <w:p>
      <w:pPr>
        <w:spacing w:after="40"/>
        <w:ind w:left="432"/>
      </w:pPr>
      <w:r>
        <w:rPr>
          <w:rFonts w:ascii="Courier New" w:hAnsi="Courier New"/>
          <w:color w:val="4A4A4A"/>
          <w:sz w:val="18"/>
        </w:rPr>
        <w:t>Transport:  1.80 × 324 × 2 × 4 × 2 = MXN 9,331</w:t>
      </w:r>
    </w:p>
    <w:p>
      <w:pPr>
        <w:spacing w:after="40"/>
        <w:ind w:left="432"/>
      </w:pPr>
      <w:r>
        <w:rPr>
          <w:rFonts w:ascii="Courier New" w:hAnsi="Courier New"/>
          <w:color w:val="4A4A4A"/>
          <w:sz w:val="18"/>
        </w:rPr>
        <w:t>Lodging:    600 × 7              = MXN 4,200</w:t>
      </w:r>
    </w:p>
    <w:p>
      <w:pPr>
        <w:spacing w:after="40"/>
        <w:ind w:left="432"/>
      </w:pPr>
      <w:r>
        <w:rPr>
          <w:rFonts w:ascii="Courier New" w:hAnsi="Courier New"/>
          <w:color w:val="4A4A4A"/>
          <w:sz w:val="18"/>
        </w:rPr>
        <w:t>Lost wages: 248 × 7              = MXN 1,736</w:t>
      </w:r>
    </w:p>
    <w:p>
      <w:pPr>
        <w:spacing w:after="40"/>
        <w:ind w:left="432"/>
      </w:pPr>
      <w:r>
        <w:rPr>
          <w:rFonts w:ascii="Courier New" w:hAnsi="Courier New"/>
          <w:color w:val="4A4A4A"/>
          <w:sz w:val="18"/>
        </w:rPr>
        <w:t>─────────────────────────────────────────────</w:t>
      </w:r>
    </w:p>
    <w:p>
      <w:pPr>
        <w:spacing w:after="40"/>
        <w:ind w:left="432"/>
      </w:pPr>
      <w:r>
        <w:rPr>
          <w:rFonts w:ascii="Courier New" w:hAnsi="Courier New"/>
          <w:color w:val="4A4A4A"/>
          <w:sz w:val="18"/>
        </w:rPr>
        <w:t>TOTAL:                             MXN 15,267 ÷ 17.50 = USD $872.4 ≈ $873  ✓</w:t>
      </w:r>
    </w:p>
    <w:p>
      <w:pPr>
        <w:spacing w:after="40"/>
        <w:ind w:left="432"/>
      </w:pPr>
      <w:r>
        <w:rPr>
          <w:rFonts w:ascii="Courier New" w:hAnsi="Courier New"/>
          <w:color w:val="4A4A4A"/>
          <w:sz w:val="18"/>
        </w:rPr>
        <w:t>As % of monthly wage:              $872.4 / $425.14 = 205%                 ✓</w:t>
      </w:r>
    </w:p>
    <w:p/>
    <w:p>
      <w:pPr>
        <w:spacing w:before="360" w:after="120"/>
      </w:pPr>
      <w:r>
        <w:rPr>
          <w:rFonts w:ascii="Calibri" w:hAnsi="Calibri"/>
          <w:b/>
          <w:color w:val="8B1A2E"/>
          <w:sz w:val="26"/>
        </w:rPr>
        <w:t>4.3 All Three Scenarios at Reported Median (324 km)</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2160"/>
            <w:shd w:val="clear" w:color="auto" w:fill="8B1A2E"/>
          </w:tcPr>
          <w:p>
            <w:pPr>
              <w:jc w:val="center"/>
            </w:pPr>
            <w:r>
              <w:rPr>
                <w:rFonts w:ascii="Calibri" w:hAnsi="Calibri"/>
                <w:b/>
                <w:color w:val="FFFFFF"/>
                <w:sz w:val="18"/>
              </w:rPr>
              <w:t>Scenario</w:t>
            </w:r>
          </w:p>
        </w:tc>
        <w:tc>
          <w:tcPr>
            <w:tcW w:type="dxa" w:w="864"/>
            <w:shd w:val="clear" w:color="auto" w:fill="8B1A2E"/>
          </w:tcPr>
          <w:p>
            <w:pPr>
              <w:jc w:val="center"/>
            </w:pPr>
            <w:r>
              <w:rPr>
                <w:rFonts w:ascii="Calibri" w:hAnsi="Calibri"/>
                <w:b/>
                <w:color w:val="FFFFFF"/>
                <w:sz w:val="18"/>
              </w:rPr>
              <w:t>Trips</w:t>
            </w:r>
          </w:p>
        </w:tc>
        <w:tc>
          <w:tcPr>
            <w:tcW w:type="dxa" w:w="1008"/>
            <w:shd w:val="clear" w:color="auto" w:fill="8B1A2E"/>
          </w:tcPr>
          <w:p>
            <w:pPr>
              <w:jc w:val="center"/>
            </w:pPr>
            <w:r>
              <w:rPr>
                <w:rFonts w:ascii="Calibri" w:hAnsi="Calibri"/>
                <w:b/>
                <w:color w:val="FFFFFF"/>
                <w:sz w:val="18"/>
              </w:rPr>
              <w:t>Nights</w:t>
            </w:r>
          </w:p>
        </w:tc>
        <w:tc>
          <w:tcPr>
            <w:tcW w:type="dxa" w:w="1440"/>
            <w:shd w:val="clear" w:color="auto" w:fill="8B1A2E"/>
          </w:tcPr>
          <w:p>
            <w:pPr>
              <w:jc w:val="center"/>
            </w:pPr>
            <w:r>
              <w:rPr>
                <w:rFonts w:ascii="Calibri" w:hAnsi="Calibri"/>
                <w:b/>
                <w:color w:val="FFFFFF"/>
                <w:sz w:val="18"/>
              </w:rPr>
              <w:t>OOP (USD)</w:t>
            </w:r>
          </w:p>
        </w:tc>
        <w:tc>
          <w:tcPr>
            <w:tcW w:type="dxa" w:w="1872"/>
            <w:shd w:val="clear" w:color="auto" w:fill="8B1A2E"/>
          </w:tcPr>
          <w:p>
            <w:pPr>
              <w:jc w:val="center"/>
            </w:pPr>
            <w:r>
              <w:rPr>
                <w:rFonts w:ascii="Calibri" w:hAnsi="Calibri"/>
                <w:b/>
                <w:color w:val="FFFFFF"/>
                <w:sz w:val="18"/>
              </w:rPr>
              <w:t>% Monthly Wage</w:t>
            </w:r>
          </w:p>
        </w:tc>
        <w:tc>
          <w:tcPr>
            <w:tcW w:type="dxa" w:w="1440"/>
            <w:shd w:val="clear" w:color="auto" w:fill="8B1A2E"/>
          </w:tcPr>
          <w:p>
            <w:pPr>
              <w:jc w:val="center"/>
            </w:pPr>
            <w:r>
              <w:rPr>
                <w:rFonts w:ascii="Calibri" w:hAnsi="Calibri"/>
                <w:b/>
                <w:color w:val="FFFFFF"/>
                <w:sz w:val="18"/>
              </w:rPr>
              <w:t>Status</w:t>
            </w:r>
          </w:p>
        </w:tc>
      </w:tr>
      <w:tr>
        <w:tc>
          <w:tcPr>
            <w:tcW w:type="dxa" w:w="2160"/>
            <w:shd w:val="clear" w:color="auto" w:fill="F9F9F9"/>
          </w:tcPr>
          <w:p>
            <w:pPr>
              <w:jc w:val="center"/>
            </w:pPr>
            <w:r>
              <w:rPr>
                <w:rFonts w:ascii="Calibri" w:hAnsi="Calibri"/>
                <w:color w:val="2C2422"/>
                <w:sz w:val="18"/>
              </w:rPr>
              <w:t>Conservative</w:t>
            </w:r>
          </w:p>
        </w:tc>
        <w:tc>
          <w:tcPr>
            <w:tcW w:type="dxa" w:w="864"/>
            <w:shd w:val="clear" w:color="auto" w:fill="F9F9F9"/>
          </w:tcPr>
          <w:p>
            <w:pPr>
              <w:jc w:val="center"/>
            </w:pPr>
            <w:r>
              <w:rPr>
                <w:rFonts w:ascii="Calibri" w:hAnsi="Calibri"/>
                <w:color w:val="2C2422"/>
                <w:sz w:val="18"/>
              </w:rPr>
              <w:t>3</w:t>
            </w:r>
          </w:p>
        </w:tc>
        <w:tc>
          <w:tcPr>
            <w:tcW w:type="dxa" w:w="1008"/>
            <w:shd w:val="clear" w:color="auto" w:fill="F9F9F9"/>
          </w:tcPr>
          <w:p>
            <w:pPr>
              <w:jc w:val="center"/>
            </w:pPr>
            <w:r>
              <w:rPr>
                <w:rFonts w:ascii="Calibri" w:hAnsi="Calibri"/>
                <w:color w:val="2C2422"/>
                <w:sz w:val="18"/>
              </w:rPr>
              <w:t>5</w:t>
            </w:r>
          </w:p>
        </w:tc>
        <w:tc>
          <w:tcPr>
            <w:tcW w:type="dxa" w:w="1440"/>
            <w:shd w:val="clear" w:color="auto" w:fill="F9F9F9"/>
          </w:tcPr>
          <w:p>
            <w:pPr>
              <w:jc w:val="center"/>
            </w:pPr>
            <w:r>
              <w:rPr>
                <w:rFonts w:ascii="Calibri" w:hAnsi="Calibri"/>
                <w:color w:val="2C2422"/>
                <w:sz w:val="18"/>
              </w:rPr>
              <w:t>$642</w:t>
            </w:r>
          </w:p>
        </w:tc>
        <w:tc>
          <w:tcPr>
            <w:tcW w:type="dxa" w:w="1872"/>
            <w:shd w:val="clear" w:color="auto" w:fill="F9F9F9"/>
          </w:tcPr>
          <w:p>
            <w:pPr>
              <w:jc w:val="center"/>
            </w:pPr>
            <w:r>
              <w:rPr>
                <w:rFonts w:ascii="Calibri" w:hAnsi="Calibri"/>
                <w:color w:val="2C2422"/>
                <w:sz w:val="18"/>
              </w:rPr>
              <w:t>151%</w:t>
            </w:r>
          </w:p>
        </w:tc>
        <w:tc>
          <w:tcPr>
            <w:tcW w:type="dxa" w:w="1440"/>
            <w:shd w:val="clear" w:color="auto" w:fill="F9F9F9"/>
          </w:tcPr>
          <w:p>
            <w:pPr>
              <w:jc w:val="center"/>
            </w:pPr>
            <w:r>
              <w:rPr>
                <w:rFonts w:ascii="Calibri" w:hAnsi="Calibri"/>
                <w:color w:val="2C2422"/>
                <w:sz w:val="18"/>
              </w:rPr>
              <w:t>—</w:t>
            </w:r>
          </w:p>
        </w:tc>
      </w:tr>
      <w:tr>
        <w:tc>
          <w:tcPr>
            <w:tcW w:type="dxa" w:w="2160"/>
            <w:shd w:val="clear" w:color="auto" w:fill="FFFFFF"/>
          </w:tcPr>
          <w:p>
            <w:pPr>
              <w:jc w:val="center"/>
            </w:pPr>
            <w:r>
              <w:rPr>
                <w:rFonts w:ascii="Calibri" w:hAnsi="Calibri"/>
                <w:color w:val="2C2422"/>
                <w:sz w:val="18"/>
              </w:rPr>
              <w:t>Base (primary)</w:t>
            </w:r>
          </w:p>
        </w:tc>
        <w:tc>
          <w:tcPr>
            <w:tcW w:type="dxa" w:w="864"/>
            <w:shd w:val="clear" w:color="auto" w:fill="FFFFFF"/>
          </w:tcPr>
          <w:p>
            <w:pPr>
              <w:jc w:val="center"/>
            </w:pPr>
            <w:r>
              <w:rPr>
                <w:rFonts w:ascii="Calibri" w:hAnsi="Calibri"/>
                <w:color w:val="2C2422"/>
                <w:sz w:val="18"/>
              </w:rPr>
              <w:t>4</w:t>
            </w:r>
          </w:p>
        </w:tc>
        <w:tc>
          <w:tcPr>
            <w:tcW w:type="dxa" w:w="1008"/>
            <w:shd w:val="clear" w:color="auto" w:fill="FFFFFF"/>
          </w:tcPr>
          <w:p>
            <w:pPr>
              <w:jc w:val="center"/>
            </w:pPr>
            <w:r>
              <w:rPr>
                <w:rFonts w:ascii="Calibri" w:hAnsi="Calibri"/>
                <w:color w:val="2C2422"/>
                <w:sz w:val="18"/>
              </w:rPr>
              <w:t>7</w:t>
            </w:r>
          </w:p>
        </w:tc>
        <w:tc>
          <w:tcPr>
            <w:tcW w:type="dxa" w:w="1440"/>
            <w:shd w:val="clear" w:color="auto" w:fill="FFFFFF"/>
          </w:tcPr>
          <w:p>
            <w:pPr>
              <w:jc w:val="center"/>
            </w:pPr>
            <w:r>
              <w:rPr>
                <w:rFonts w:ascii="Calibri" w:hAnsi="Calibri"/>
                <w:color w:val="1A6B2E"/>
                <w:sz w:val="18"/>
              </w:rPr>
              <w:t>$873 ✓</w:t>
            </w:r>
          </w:p>
        </w:tc>
        <w:tc>
          <w:tcPr>
            <w:tcW w:type="dxa" w:w="1872"/>
            <w:shd w:val="clear" w:color="auto" w:fill="FFFFFF"/>
          </w:tcPr>
          <w:p>
            <w:pPr>
              <w:jc w:val="center"/>
            </w:pPr>
            <w:r>
              <w:rPr>
                <w:rFonts w:ascii="Calibri" w:hAnsi="Calibri"/>
                <w:color w:val="1A6B2E"/>
                <w:sz w:val="18"/>
              </w:rPr>
              <w:t>205% ✓</w:t>
            </w:r>
          </w:p>
        </w:tc>
        <w:tc>
          <w:tcPr>
            <w:tcW w:type="dxa" w:w="1440"/>
            <w:shd w:val="clear" w:color="auto" w:fill="FFFFFF"/>
          </w:tcPr>
          <w:p>
            <w:pPr>
              <w:jc w:val="center"/>
            </w:pPr>
            <w:r>
              <w:rPr>
                <w:rFonts w:ascii="Calibri" w:hAnsi="Calibri"/>
                <w:color w:val="1A6B2E"/>
                <w:sz w:val="18"/>
              </w:rPr>
              <w:t>CONFIRMED</w:t>
            </w:r>
          </w:p>
        </w:tc>
      </w:tr>
      <w:tr>
        <w:tc>
          <w:tcPr>
            <w:tcW w:type="dxa" w:w="2160"/>
            <w:shd w:val="clear" w:color="auto" w:fill="F9F9F9"/>
          </w:tcPr>
          <w:p>
            <w:pPr>
              <w:jc w:val="center"/>
            </w:pPr>
            <w:r>
              <w:rPr>
                <w:rFonts w:ascii="Calibri" w:hAnsi="Calibri"/>
                <w:color w:val="2C2422"/>
                <w:sz w:val="18"/>
              </w:rPr>
              <w:t>Liberal</w:t>
            </w:r>
          </w:p>
        </w:tc>
        <w:tc>
          <w:tcPr>
            <w:tcW w:type="dxa" w:w="864"/>
            <w:shd w:val="clear" w:color="auto" w:fill="F9F9F9"/>
          </w:tcPr>
          <w:p>
            <w:pPr>
              <w:jc w:val="center"/>
            </w:pPr>
            <w:r>
              <w:rPr>
                <w:rFonts w:ascii="Calibri" w:hAnsi="Calibri"/>
                <w:color w:val="2C2422"/>
                <w:sz w:val="18"/>
              </w:rPr>
              <w:t>6</w:t>
            </w:r>
          </w:p>
        </w:tc>
        <w:tc>
          <w:tcPr>
            <w:tcW w:type="dxa" w:w="1008"/>
            <w:shd w:val="clear" w:color="auto" w:fill="F9F9F9"/>
          </w:tcPr>
          <w:p>
            <w:pPr>
              <w:jc w:val="center"/>
            </w:pPr>
            <w:r>
              <w:rPr>
                <w:rFonts w:ascii="Calibri" w:hAnsi="Calibri"/>
                <w:color w:val="2C2422"/>
                <w:sz w:val="18"/>
              </w:rPr>
              <w:t>14</w:t>
            </w:r>
          </w:p>
        </w:tc>
        <w:tc>
          <w:tcPr>
            <w:tcW w:type="dxa" w:w="1440"/>
            <w:shd w:val="clear" w:color="auto" w:fill="F9F9F9"/>
          </w:tcPr>
          <w:p>
            <w:pPr>
              <w:jc w:val="center"/>
            </w:pPr>
            <w:r>
              <w:rPr>
                <w:rFonts w:ascii="Calibri" w:hAnsi="Calibri"/>
                <w:color w:val="2C2422"/>
                <w:sz w:val="18"/>
              </w:rPr>
              <w:t>$1,478</w:t>
            </w:r>
          </w:p>
        </w:tc>
        <w:tc>
          <w:tcPr>
            <w:tcW w:type="dxa" w:w="1872"/>
            <w:shd w:val="clear" w:color="auto" w:fill="F9F9F9"/>
          </w:tcPr>
          <w:p>
            <w:pPr>
              <w:jc w:val="center"/>
            </w:pPr>
            <w:r>
              <w:rPr>
                <w:rFonts w:ascii="Calibri" w:hAnsi="Calibri"/>
                <w:color w:val="2C2422"/>
                <w:sz w:val="18"/>
              </w:rPr>
              <w:t>348%</w:t>
            </w:r>
          </w:p>
        </w:tc>
        <w:tc>
          <w:tcPr>
            <w:tcW w:type="dxa" w:w="1440"/>
            <w:shd w:val="clear" w:color="auto" w:fill="F9F9F9"/>
          </w:tcPr>
          <w:p>
            <w:pPr>
              <w:jc w:val="center"/>
            </w:pPr>
            <w:r>
              <w:rPr>
                <w:rFonts w:ascii="Calibri" w:hAnsi="Calibri"/>
                <w:color w:val="2C2422"/>
                <w:sz w:val="18"/>
              </w:rPr>
              <w:t>—</w:t>
            </w:r>
          </w:p>
        </w:tc>
      </w:tr>
    </w:tbl>
    <w:p/>
    <w:p>
      <w:pPr>
        <w:spacing w:after="80"/>
        <w:ind w:left="0"/>
        <w:jc w:val="left"/>
      </w:pPr>
      <w:r>
        <w:rPr>
          <w:rFonts w:ascii="Calibri" w:hAnsi="Calibri"/>
          <w:b/>
          <w:i w:val="0"/>
          <w:color w:val="2C2422"/>
          <w:sz w:val="21"/>
        </w:rPr>
        <w:t>Note on the earlier $606 figure:</w:t>
      </w:r>
    </w:p>
    <w:p>
      <w:pPr>
        <w:spacing w:after="80"/>
        <w:ind w:left="0"/>
        <w:jc w:val="left"/>
      </w:pPr>
      <w:r>
        <w:rPr>
          <w:rFonts w:ascii="Calibri" w:hAnsi="Calibri"/>
          <w:b w:val="0"/>
          <w:i w:val="0"/>
          <w:color w:val="4A4A4A"/>
          <w:sz w:val="19"/>
        </w:rPr>
        <w:t>A previous version of the analysis reported $606 USD (142% monthly wage). This was calculated using 1 person for transport instead of 2. The correct base scenario uses 2 persons (patient + companion), consistent with the stated formula. $606 ≠ 2-person base; $873 ≈ 2-person base. The $873/$205% figure is correct.</w:t>
      </w:r>
    </w:p>
    <w:p>
      <w:pPr>
        <w:spacing w:before="360" w:after="120"/>
      </w:pPr>
      <w:r>
        <w:rPr>
          <w:rFonts w:ascii="Calibri" w:hAnsi="Calibri"/>
          <w:b/>
          <w:color w:val="8B1A2E"/>
          <w:sz w:val="26"/>
        </w:rPr>
        <w:t>4.4 OOP Distribution (computed, state-centroid distances)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3456"/>
            <w:shd w:val="clear" w:color="auto" w:fill="8B1A2E"/>
          </w:tcPr>
          <w:p>
            <w:pPr>
              <w:jc w:val="center"/>
            </w:pPr>
            <w:r>
              <w:rPr>
                <w:rFonts w:ascii="Calibri" w:hAnsi="Calibri"/>
                <w:b/>
                <w:color w:val="FFFFFF"/>
                <w:sz w:val="18"/>
              </w:rPr>
              <w:t>Metric</w:t>
            </w:r>
          </w:p>
        </w:tc>
        <w:tc>
          <w:tcPr>
            <w:tcW w:type="dxa" w:w="2016"/>
            <w:shd w:val="clear" w:color="auto" w:fill="8B1A2E"/>
          </w:tcPr>
          <w:p>
            <w:pPr>
              <w:jc w:val="center"/>
            </w:pPr>
            <w:r>
              <w:rPr>
                <w:rFonts w:ascii="Calibri" w:hAnsi="Calibri"/>
                <w:b/>
                <w:color w:val="FFFFFF"/>
                <w:sz w:val="18"/>
              </w:rPr>
              <w:t>Conservative (3/5)</w:t>
            </w:r>
          </w:p>
        </w:tc>
        <w:tc>
          <w:tcPr>
            <w:tcW w:type="dxa" w:w="2016"/>
            <w:shd w:val="clear" w:color="auto" w:fill="8B1A2E"/>
          </w:tcPr>
          <w:p>
            <w:pPr>
              <w:jc w:val="center"/>
            </w:pPr>
            <w:r>
              <w:rPr>
                <w:rFonts w:ascii="Calibri" w:hAnsi="Calibri"/>
                <w:b/>
                <w:color w:val="FFFFFF"/>
                <w:sz w:val="18"/>
              </w:rPr>
              <w:t>Base (4/7)</w:t>
            </w:r>
          </w:p>
        </w:tc>
        <w:tc>
          <w:tcPr>
            <w:tcW w:type="dxa" w:w="2016"/>
            <w:shd w:val="clear" w:color="auto" w:fill="8B1A2E"/>
          </w:tcPr>
          <w:p>
            <w:pPr>
              <w:jc w:val="center"/>
            </w:pPr>
            <w:r>
              <w:rPr>
                <w:rFonts w:ascii="Calibri" w:hAnsi="Calibri"/>
                <w:b/>
                <w:color w:val="FFFFFF"/>
                <w:sz w:val="18"/>
              </w:rPr>
              <w:t>Liberal (6/14)</w:t>
            </w:r>
          </w:p>
        </w:tc>
      </w:tr>
      <w:tr>
        <w:tc>
          <w:tcPr>
            <w:tcW w:type="dxa" w:w="3456"/>
            <w:shd w:val="clear" w:color="auto" w:fill="F9F9F9"/>
          </w:tcPr>
          <w:p>
            <w:pPr>
              <w:jc w:val="center"/>
            </w:pPr>
            <w:r>
              <w:rPr>
                <w:rFonts w:ascii="Calibri" w:hAnsi="Calibri"/>
                <w:color w:val="2C2422"/>
                <w:sz w:val="18"/>
              </w:rPr>
              <w:t>Median OOP (dist-weighted)</w:t>
            </w:r>
          </w:p>
        </w:tc>
        <w:tc>
          <w:tcPr>
            <w:tcW w:type="dxa" w:w="2016"/>
            <w:shd w:val="clear" w:color="auto" w:fill="F9F9F9"/>
          </w:tcPr>
          <w:p>
            <w:pPr>
              <w:jc w:val="center"/>
            </w:pPr>
            <w:r>
              <w:rPr>
                <w:rFonts w:ascii="Calibri" w:hAnsi="Calibri"/>
                <w:color w:val="2C2422"/>
                <w:sz w:val="18"/>
              </w:rPr>
              <w:t>$574</w:t>
            </w:r>
          </w:p>
        </w:tc>
        <w:tc>
          <w:tcPr>
            <w:tcW w:type="dxa" w:w="2016"/>
            <w:shd w:val="clear" w:color="auto" w:fill="F9F9F9"/>
          </w:tcPr>
          <w:p>
            <w:pPr>
              <w:jc w:val="center"/>
            </w:pPr>
            <w:r>
              <w:rPr>
                <w:rFonts w:ascii="Calibri" w:hAnsi="Calibri"/>
                <w:color w:val="2C2422"/>
                <w:sz w:val="18"/>
              </w:rPr>
              <w:t>$782</w:t>
            </w:r>
          </w:p>
        </w:tc>
        <w:tc>
          <w:tcPr>
            <w:tcW w:type="dxa" w:w="2016"/>
            <w:shd w:val="clear" w:color="auto" w:fill="F9F9F9"/>
          </w:tcPr>
          <w:p>
            <w:pPr>
              <w:jc w:val="center"/>
            </w:pPr>
            <w:r>
              <w:rPr>
                <w:rFonts w:ascii="Calibri" w:hAnsi="Calibri"/>
                <w:color w:val="2C2422"/>
                <w:sz w:val="18"/>
              </w:rPr>
              <w:t>$1,342</w:t>
            </w:r>
          </w:p>
        </w:tc>
      </w:tr>
      <w:tr>
        <w:tc>
          <w:tcPr>
            <w:tcW w:type="dxa" w:w="3456"/>
            <w:shd w:val="clear" w:color="auto" w:fill="FFFFFF"/>
          </w:tcPr>
          <w:p>
            <w:pPr>
              <w:jc w:val="center"/>
            </w:pPr>
            <w:r>
              <w:rPr>
                <w:rFonts w:ascii="Calibri" w:hAnsi="Calibri"/>
                <w:color w:val="2C2422"/>
                <w:sz w:val="18"/>
              </w:rPr>
              <w:t>% exceed 1× monthly wage</w:t>
            </w:r>
          </w:p>
        </w:tc>
        <w:tc>
          <w:tcPr>
            <w:tcW w:type="dxa" w:w="2016"/>
            <w:shd w:val="clear" w:color="auto" w:fill="FFFFFF"/>
          </w:tcPr>
          <w:p>
            <w:pPr>
              <w:jc w:val="center"/>
            </w:pPr>
            <w:r>
              <w:rPr>
                <w:rFonts w:ascii="Calibri" w:hAnsi="Calibri"/>
                <w:color w:val="2C2422"/>
                <w:sz w:val="18"/>
              </w:rPr>
              <w:t>66.0%</w:t>
            </w:r>
          </w:p>
        </w:tc>
        <w:tc>
          <w:tcPr>
            <w:tcW w:type="dxa" w:w="2016"/>
            <w:shd w:val="clear" w:color="auto" w:fill="FFFFFF"/>
          </w:tcPr>
          <w:p>
            <w:pPr>
              <w:jc w:val="center"/>
            </w:pPr>
            <w:r>
              <w:rPr>
                <w:rFonts w:ascii="Calibri" w:hAnsi="Calibri"/>
                <w:color w:val="2C2422"/>
                <w:sz w:val="18"/>
              </w:rPr>
              <w:t>100.0%</w:t>
            </w:r>
          </w:p>
        </w:tc>
        <w:tc>
          <w:tcPr>
            <w:tcW w:type="dxa" w:w="2016"/>
            <w:shd w:val="clear" w:color="auto" w:fill="FFFFFF"/>
          </w:tcPr>
          <w:p>
            <w:pPr>
              <w:jc w:val="center"/>
            </w:pPr>
            <w:r>
              <w:rPr>
                <w:rFonts w:ascii="Calibri" w:hAnsi="Calibri"/>
                <w:color w:val="2C2422"/>
                <w:sz w:val="18"/>
              </w:rPr>
              <w:t>100.0%</w:t>
            </w:r>
          </w:p>
        </w:tc>
      </w:tr>
      <w:tr>
        <w:tc>
          <w:tcPr>
            <w:tcW w:type="dxa" w:w="3456"/>
            <w:shd w:val="clear" w:color="auto" w:fill="F9F9F9"/>
          </w:tcPr>
          <w:p>
            <w:pPr>
              <w:jc w:val="center"/>
            </w:pPr>
            <w:r>
              <w:rPr>
                <w:rFonts w:ascii="Calibri" w:hAnsi="Calibri"/>
                <w:color w:val="2C2422"/>
                <w:sz w:val="18"/>
              </w:rPr>
              <w:t>% exceed 2× monthly wage</w:t>
            </w:r>
          </w:p>
        </w:tc>
        <w:tc>
          <w:tcPr>
            <w:tcW w:type="dxa" w:w="2016"/>
            <w:shd w:val="clear" w:color="auto" w:fill="F9F9F9"/>
          </w:tcPr>
          <w:p>
            <w:pPr>
              <w:jc w:val="center"/>
            </w:pPr>
            <w:r>
              <w:rPr>
                <w:rFonts w:ascii="Calibri" w:hAnsi="Calibri"/>
                <w:color w:val="2C2422"/>
                <w:sz w:val="18"/>
              </w:rPr>
              <w:t>27.1%</w:t>
            </w:r>
          </w:p>
        </w:tc>
        <w:tc>
          <w:tcPr>
            <w:tcW w:type="dxa" w:w="2016"/>
            <w:shd w:val="clear" w:color="auto" w:fill="F9F9F9"/>
          </w:tcPr>
          <w:p>
            <w:pPr>
              <w:jc w:val="center"/>
            </w:pPr>
            <w:r>
              <w:rPr>
                <w:rFonts w:ascii="Calibri" w:hAnsi="Calibri"/>
                <w:color w:val="2C2422"/>
                <w:sz w:val="18"/>
              </w:rPr>
              <w:t>40.3%</w:t>
            </w:r>
          </w:p>
        </w:tc>
        <w:tc>
          <w:tcPr>
            <w:tcW w:type="dxa" w:w="2016"/>
            <w:shd w:val="clear" w:color="auto" w:fill="F9F9F9"/>
          </w:tcPr>
          <w:p>
            <w:pPr>
              <w:jc w:val="center"/>
            </w:pPr>
            <w:r>
              <w:rPr>
                <w:rFonts w:ascii="Calibri" w:hAnsi="Calibri"/>
                <w:color w:val="2C2422"/>
                <w:sz w:val="18"/>
              </w:rPr>
              <w:t>100.0%</w:t>
            </w:r>
          </w:p>
        </w:tc>
      </w:tr>
      <w:tr>
        <w:tc>
          <w:tcPr>
            <w:tcW w:type="dxa" w:w="3456"/>
            <w:shd w:val="clear" w:color="auto" w:fill="FFFFFF"/>
          </w:tcPr>
          <w:p>
            <w:pPr>
              <w:jc w:val="center"/>
            </w:pPr>
            <w:r>
              <w:rPr>
                <w:rFonts w:ascii="Calibri" w:hAnsi="Calibri"/>
                <w:color w:val="2C2422"/>
                <w:sz w:val="18"/>
              </w:rPr>
              <w:t>At reported 324 km (correct)</w:t>
            </w:r>
          </w:p>
        </w:tc>
        <w:tc>
          <w:tcPr>
            <w:tcW w:type="dxa" w:w="2016"/>
            <w:shd w:val="clear" w:color="auto" w:fill="FFFFFF"/>
          </w:tcPr>
          <w:p>
            <w:pPr>
              <w:jc w:val="center"/>
            </w:pPr>
            <w:r>
              <w:rPr>
                <w:rFonts w:ascii="Calibri" w:hAnsi="Calibri"/>
                <w:color w:val="2C2422"/>
                <w:sz w:val="18"/>
              </w:rPr>
              <w:t>$642</w:t>
            </w:r>
          </w:p>
        </w:tc>
        <w:tc>
          <w:tcPr>
            <w:tcW w:type="dxa" w:w="2016"/>
            <w:shd w:val="clear" w:color="auto" w:fill="FFFFFF"/>
          </w:tcPr>
          <w:p>
            <w:pPr>
              <w:jc w:val="center"/>
            </w:pPr>
            <w:r>
              <w:rPr>
                <w:rFonts w:ascii="Calibri" w:hAnsi="Calibri"/>
                <w:color w:val="2C2422"/>
                <w:sz w:val="18"/>
              </w:rPr>
              <w:t>$873</w:t>
            </w:r>
          </w:p>
        </w:tc>
        <w:tc>
          <w:tcPr>
            <w:tcW w:type="dxa" w:w="2016"/>
            <w:shd w:val="clear" w:color="auto" w:fill="FFFFFF"/>
          </w:tcPr>
          <w:p>
            <w:pPr>
              <w:jc w:val="center"/>
            </w:pPr>
            <w:r>
              <w:rPr>
                <w:rFonts w:ascii="Calibri" w:hAnsi="Calibri"/>
                <w:color w:val="2C2422"/>
                <w:sz w:val="18"/>
              </w:rPr>
              <w:t>$1,478</w:t>
            </w:r>
          </w:p>
        </w:tc>
      </w:tr>
      <w:tr>
        <w:tc>
          <w:tcPr>
            <w:tcW w:type="dxa" w:w="3456"/>
            <w:shd w:val="clear" w:color="auto" w:fill="F9F9F9"/>
          </w:tcPr>
          <w:p>
            <w:pPr>
              <w:jc w:val="center"/>
            </w:pPr>
            <w:r>
              <w:rPr>
                <w:rFonts w:ascii="Calibri" w:hAnsi="Calibri"/>
                <w:color w:val="2C2422"/>
                <w:sz w:val="18"/>
              </w:rPr>
              <w:t>At reported 324 km, % wage</w:t>
            </w:r>
          </w:p>
        </w:tc>
        <w:tc>
          <w:tcPr>
            <w:tcW w:type="dxa" w:w="2016"/>
            <w:shd w:val="clear" w:color="auto" w:fill="F9F9F9"/>
          </w:tcPr>
          <w:p>
            <w:pPr>
              <w:jc w:val="center"/>
            </w:pPr>
            <w:r>
              <w:rPr>
                <w:rFonts w:ascii="Calibri" w:hAnsi="Calibri"/>
                <w:color w:val="2C2422"/>
                <w:sz w:val="18"/>
              </w:rPr>
              <w:t>151%</w:t>
            </w:r>
          </w:p>
        </w:tc>
        <w:tc>
          <w:tcPr>
            <w:tcW w:type="dxa" w:w="2016"/>
            <w:shd w:val="clear" w:color="auto" w:fill="F9F9F9"/>
          </w:tcPr>
          <w:p>
            <w:pPr>
              <w:jc w:val="center"/>
            </w:pPr>
            <w:r>
              <w:rPr>
                <w:rFonts w:ascii="Calibri" w:hAnsi="Calibri"/>
                <w:color w:val="2C2422"/>
                <w:sz w:val="18"/>
              </w:rPr>
              <w:t>205%</w:t>
            </w:r>
          </w:p>
        </w:tc>
        <w:tc>
          <w:tcPr>
            <w:tcW w:type="dxa" w:w="2016"/>
            <w:shd w:val="clear" w:color="auto" w:fill="F9F9F9"/>
          </w:tcPr>
          <w:p>
            <w:pPr>
              <w:jc w:val="center"/>
            </w:pPr>
            <w:r>
              <w:rPr>
                <w:rFonts w:ascii="Calibri" w:hAnsi="Calibri"/>
                <w:color w:val="2C2422"/>
                <w:sz w:val="18"/>
              </w:rPr>
              <w:t>348%</w:t>
            </w:r>
          </w:p>
        </w:tc>
      </w:tr>
    </w:tbl>
    <w:p/>
    <w:p>
      <w:pPr>
        <w:spacing w:after="80"/>
        <w:ind w:left="0"/>
        <w:jc w:val="left"/>
      </w:pPr>
      <w:r>
        <w:rPr>
          <w:rFonts w:ascii="Calibri" w:hAnsi="Calibri"/>
          <w:b w:val="0"/>
          <w:i w:val="0"/>
          <w:color w:val="4A4A4A"/>
          <w:sz w:val="19"/>
        </w:rPr>
        <w:t>The distribution-based medians are lower than the at-median-distance spot-checks because the computed median distance (269 km) is shorter than reported (324 km). USE the reported 324 km values ($873 / 205%) for the abstract.</w:t>
      </w:r>
    </w:p>
    <w:p>
      <w:r>
        <w:br w:type="page"/>
      </w:r>
    </w:p>
    <w:p>
      <w:pPr>
        <w:spacing w:before="360" w:after="120"/>
      </w:pPr>
      <w:r>
        <w:rPr>
          <w:rFonts w:ascii="Calibri" w:hAnsi="Calibri"/>
          <w:b/>
          <w:color w:val="8B1A2E"/>
          <w:sz w:val="32"/>
        </w:rPr>
        <w:t>5. REGRESSION ANALYSIS VERIFICATION</w:t>
      </w:r>
    </w:p>
    <w:p>
      <w:pPr>
        <w:spacing w:before="80" w:after="80"/>
        <w:pBdr>
          <w:bottom w:val="single" w:sz="6" w:space="1" w:color="C5A96B"/>
        </w:pBdr>
      </w:pPr>
    </w:p>
    <w:p>
      <w:pPr>
        <w:spacing w:before="360" w:after="120"/>
      </w:pPr>
      <w:r>
        <w:rPr>
          <w:rFonts w:ascii="Calibri" w:hAnsi="Calibri"/>
          <w:b/>
          <w:color w:val="8B1A2E"/>
          <w:sz w:val="26"/>
        </w:rPr>
        <w:t>5.1 Model Specification</w:t>
      </w:r>
    </w:p>
    <w:tbl>
      <w:tblPr>
        <w:tblStyle w:val="TableGrid"/>
        <w:tblW w:type="auto" w:w="0"/>
        <w:jc w:val="center"/>
        <w:tblLook w:firstColumn="1" w:firstRow="1" w:lastColumn="0" w:lastRow="0" w:noHBand="0" w:noVBand="1" w:val="04A0"/>
      </w:tblPr>
      <w:tblGrid>
        <w:gridCol w:w="4392"/>
        <w:gridCol w:w="4392"/>
      </w:tblGrid>
      <w:tr>
        <w:tc>
          <w:tcPr>
            <w:tcW w:type="dxa" w:w="2880"/>
            <w:shd w:val="clear" w:color="auto" w:fill="8B1A2E"/>
          </w:tcPr>
          <w:p>
            <w:pPr>
              <w:jc w:val="center"/>
            </w:pPr>
            <w:r>
              <w:rPr>
                <w:rFonts w:ascii="Calibri" w:hAnsi="Calibri"/>
                <w:b/>
                <w:color w:val="FFFFFF"/>
                <w:sz w:val="18"/>
              </w:rPr>
              <w:t>Parameter</w:t>
            </w:r>
          </w:p>
        </w:tc>
        <w:tc>
          <w:tcPr>
            <w:tcW w:type="dxa" w:w="6336"/>
            <w:shd w:val="clear" w:color="auto" w:fill="8B1A2E"/>
          </w:tcPr>
          <w:p>
            <w:pPr>
              <w:jc w:val="center"/>
            </w:pPr>
            <w:r>
              <w:rPr>
                <w:rFonts w:ascii="Calibri" w:hAnsi="Calibri"/>
                <w:b/>
                <w:color w:val="FFFFFF"/>
                <w:sz w:val="18"/>
              </w:rPr>
              <w:t>Specification</w:t>
            </w:r>
          </w:p>
        </w:tc>
      </w:tr>
      <w:tr>
        <w:tc>
          <w:tcPr>
            <w:tcW w:type="dxa" w:w="2880"/>
            <w:shd w:val="clear" w:color="auto" w:fill="F9F9F9"/>
          </w:tcPr>
          <w:p>
            <w:pPr>
              <w:jc w:val="center"/>
            </w:pPr>
            <w:r>
              <w:rPr>
                <w:rFonts w:ascii="Calibri" w:hAnsi="Calibri"/>
                <w:color w:val="2C2422"/>
                <w:sz w:val="18"/>
              </w:rPr>
              <w:t>Method</w:t>
            </w:r>
          </w:p>
        </w:tc>
        <w:tc>
          <w:tcPr>
            <w:tcW w:type="dxa" w:w="6336"/>
            <w:shd w:val="clear" w:color="auto" w:fill="F9F9F9"/>
          </w:tcPr>
          <w:p>
            <w:pPr>
              <w:jc w:val="center"/>
            </w:pPr>
            <w:r>
              <w:rPr>
                <w:rFonts w:ascii="Calibri" w:hAnsi="Calibri"/>
                <w:color w:val="2C2422"/>
                <w:sz w:val="18"/>
              </w:rPr>
              <w:t>Ordinary Least Squares (OLS)</w:t>
            </w:r>
          </w:p>
        </w:tc>
      </w:tr>
      <w:tr>
        <w:tc>
          <w:tcPr>
            <w:tcW w:type="dxa" w:w="2880"/>
            <w:shd w:val="clear" w:color="auto" w:fill="FFFFFF"/>
          </w:tcPr>
          <w:p>
            <w:pPr>
              <w:jc w:val="center"/>
            </w:pPr>
            <w:r>
              <w:rPr>
                <w:rFonts w:ascii="Calibri" w:hAnsi="Calibri"/>
                <w:color w:val="2C2422"/>
                <w:sz w:val="18"/>
              </w:rPr>
              <w:t>Observations</w:t>
            </w:r>
          </w:p>
        </w:tc>
        <w:tc>
          <w:tcPr>
            <w:tcW w:type="dxa" w:w="6336"/>
            <w:shd w:val="clear" w:color="auto" w:fill="FFFFFF"/>
          </w:tcPr>
          <w:p>
            <w:pPr>
              <w:jc w:val="center"/>
            </w:pPr>
            <w:r>
              <w:rPr>
                <w:rFonts w:ascii="Calibri" w:hAnsi="Calibri"/>
                <w:color w:val="2C2422"/>
                <w:sz w:val="18"/>
              </w:rPr>
              <w:t>n = 29 (all 32 states minus 3 hub states)</w:t>
            </w:r>
          </w:p>
        </w:tc>
      </w:tr>
      <w:tr>
        <w:tc>
          <w:tcPr>
            <w:tcW w:type="dxa" w:w="2880"/>
            <w:shd w:val="clear" w:color="auto" w:fill="F9F9F9"/>
          </w:tcPr>
          <w:p>
            <w:pPr>
              <w:jc w:val="center"/>
            </w:pPr>
            <w:r>
              <w:rPr>
                <w:rFonts w:ascii="Calibri" w:hAnsi="Calibri"/>
                <w:color w:val="2C2422"/>
                <w:sz w:val="18"/>
              </w:rPr>
              <w:t>Dependent variable</w:t>
            </w:r>
          </w:p>
        </w:tc>
        <w:tc>
          <w:tcPr>
            <w:tcW w:type="dxa" w:w="6336"/>
            <w:shd w:val="clear" w:color="auto" w:fill="F9F9F9"/>
          </w:tcPr>
          <w:p>
            <w:pPr>
              <w:jc w:val="center"/>
            </w:pPr>
            <w:r>
              <w:rPr>
                <w:rFonts w:ascii="Calibri" w:hAnsi="Calibri"/>
                <w:color w:val="2C2422"/>
                <w:sz w:val="18"/>
              </w:rPr>
              <w:t>Export rate (% of residents transplanted out-of-state)</w:t>
            </w:r>
          </w:p>
        </w:tc>
      </w:tr>
      <w:tr>
        <w:tc>
          <w:tcPr>
            <w:tcW w:type="dxa" w:w="2880"/>
            <w:shd w:val="clear" w:color="auto" w:fill="FFFFFF"/>
          </w:tcPr>
          <w:p>
            <w:pPr>
              <w:jc w:val="center"/>
            </w:pPr>
            <w:r>
              <w:rPr>
                <w:rFonts w:ascii="Calibri" w:hAnsi="Calibri"/>
                <w:color w:val="2C2422"/>
                <w:sz w:val="18"/>
              </w:rPr>
              <w:t>Predictor 1</w:t>
            </w:r>
          </w:p>
        </w:tc>
        <w:tc>
          <w:tcPr>
            <w:tcW w:type="dxa" w:w="6336"/>
            <w:shd w:val="clear" w:color="auto" w:fill="FFFFFF"/>
          </w:tcPr>
          <w:p>
            <w:pPr>
              <w:jc w:val="center"/>
            </w:pPr>
            <w:r>
              <w:rPr>
                <w:rFonts w:ascii="Calibri" w:hAnsi="Calibri"/>
                <w:color w:val="2C2422"/>
                <w:sz w:val="18"/>
              </w:rPr>
              <w:t>log(donations + 1) — z-scored</w:t>
            </w:r>
          </w:p>
        </w:tc>
      </w:tr>
      <w:tr>
        <w:tc>
          <w:tcPr>
            <w:tcW w:type="dxa" w:w="2880"/>
            <w:shd w:val="clear" w:color="auto" w:fill="F9F9F9"/>
          </w:tcPr>
          <w:p>
            <w:pPr>
              <w:jc w:val="center"/>
            </w:pPr>
            <w:r>
              <w:rPr>
                <w:rFonts w:ascii="Calibri" w:hAnsi="Calibri"/>
                <w:color w:val="2C2422"/>
                <w:sz w:val="18"/>
              </w:rPr>
              <w:t>Predictor 2</w:t>
            </w:r>
          </w:p>
        </w:tc>
        <w:tc>
          <w:tcPr>
            <w:tcW w:type="dxa" w:w="6336"/>
            <w:shd w:val="clear" w:color="auto" w:fill="F9F9F9"/>
          </w:tcPr>
          <w:p>
            <w:pPr>
              <w:jc w:val="center"/>
            </w:pPr>
            <w:r>
              <w:rPr>
                <w:rFonts w:ascii="Calibri" w:hAnsi="Calibri"/>
                <w:color w:val="2C2422"/>
                <w:sz w:val="18"/>
              </w:rPr>
              <w:t>Road distance to nearest hub (km) — z-scored</w:t>
            </w:r>
          </w:p>
        </w:tc>
      </w:tr>
      <w:tr>
        <w:tc>
          <w:tcPr>
            <w:tcW w:type="dxa" w:w="2880"/>
            <w:shd w:val="clear" w:color="auto" w:fill="FFFFFF"/>
          </w:tcPr>
          <w:p>
            <w:pPr>
              <w:jc w:val="center"/>
            </w:pPr>
            <w:r>
              <w:rPr>
                <w:rFonts w:ascii="Calibri" w:hAnsi="Calibri"/>
                <w:color w:val="2C2422"/>
                <w:sz w:val="18"/>
              </w:rPr>
              <w:t>Predictor 3</w:t>
            </w:r>
          </w:p>
        </w:tc>
        <w:tc>
          <w:tcPr>
            <w:tcW w:type="dxa" w:w="6336"/>
            <w:shd w:val="clear" w:color="auto" w:fill="FFFFFF"/>
          </w:tcPr>
          <w:p>
            <w:pPr>
              <w:jc w:val="center"/>
            </w:pPr>
            <w:r>
              <w:rPr>
                <w:rFonts w:ascii="Calibri" w:hAnsi="Calibri"/>
                <w:color w:val="2C2422"/>
                <w:sz w:val="18"/>
              </w:rPr>
              <w:t>State poverty rate, % (CONEVAL 2020) — z-scored</w:t>
            </w:r>
          </w:p>
        </w:tc>
      </w:tr>
      <w:tr>
        <w:tc>
          <w:tcPr>
            <w:tcW w:type="dxa" w:w="2880"/>
            <w:shd w:val="clear" w:color="auto" w:fill="F9F9F9"/>
          </w:tcPr>
          <w:p>
            <w:pPr>
              <w:jc w:val="center"/>
            </w:pPr>
            <w:r>
              <w:rPr>
                <w:rFonts w:ascii="Calibri" w:hAnsi="Calibri"/>
                <w:color w:val="2C2422"/>
                <w:sz w:val="18"/>
              </w:rPr>
              <w:t>Predictor 4</w:t>
            </w:r>
          </w:p>
        </w:tc>
        <w:tc>
          <w:tcPr>
            <w:tcW w:type="dxa" w:w="6336"/>
            <w:shd w:val="clear" w:color="auto" w:fill="F9F9F9"/>
          </w:tcPr>
          <w:p>
            <w:pPr>
              <w:jc w:val="center"/>
            </w:pPr>
            <w:r>
              <w:rPr>
                <w:rFonts w:ascii="Calibri" w:hAnsi="Calibri"/>
                <w:color w:val="2C2422"/>
                <w:sz w:val="18"/>
              </w:rPr>
              <w:t>GDP per capita, USD (INEGI 2022) — z-scored</w:t>
            </w:r>
          </w:p>
        </w:tc>
      </w:tr>
      <w:tr>
        <w:tc>
          <w:tcPr>
            <w:tcW w:type="dxa" w:w="2880"/>
            <w:shd w:val="clear" w:color="auto" w:fill="FFFFFF"/>
          </w:tcPr>
          <w:p>
            <w:pPr>
              <w:jc w:val="center"/>
            </w:pPr>
            <w:r>
              <w:rPr>
                <w:rFonts w:ascii="Calibri" w:hAnsi="Calibri"/>
                <w:color w:val="2C2422"/>
                <w:sz w:val="18"/>
              </w:rPr>
              <w:t>Hub states excluded</w:t>
            </w:r>
          </w:p>
        </w:tc>
        <w:tc>
          <w:tcPr>
            <w:tcW w:type="dxa" w:w="6336"/>
            <w:shd w:val="clear" w:color="auto" w:fill="FFFFFF"/>
          </w:tcPr>
          <w:p>
            <w:pPr>
              <w:jc w:val="center"/>
            </w:pPr>
            <w:r>
              <w:rPr>
                <w:rFonts w:ascii="Calibri" w:hAnsi="Calibri"/>
                <w:color w:val="2C2422"/>
                <w:sz w:val="18"/>
              </w:rPr>
              <w:t>CDMX (code=9), Jalisco (code=14), Nuevo León (code=19)</w:t>
            </w:r>
          </w:p>
        </w:tc>
      </w:tr>
      <w:tr>
        <w:tc>
          <w:tcPr>
            <w:tcW w:type="dxa" w:w="2880"/>
            <w:shd w:val="clear" w:color="auto" w:fill="F9F9F9"/>
          </w:tcPr>
          <w:p>
            <w:pPr>
              <w:jc w:val="center"/>
            </w:pPr>
            <w:r>
              <w:rPr>
                <w:rFonts w:ascii="Calibri" w:hAnsi="Calibri"/>
                <w:color w:val="2C2422"/>
                <w:sz w:val="18"/>
              </w:rPr>
              <w:t>Distance variable</w:t>
            </w:r>
          </w:p>
        </w:tc>
        <w:tc>
          <w:tcPr>
            <w:tcW w:type="dxa" w:w="6336"/>
            <w:shd w:val="clear" w:color="auto" w:fill="F9F9F9"/>
          </w:tcPr>
          <w:p>
            <w:pPr>
              <w:jc w:val="center"/>
            </w:pPr>
            <w:r>
              <w:rPr>
                <w:rFonts w:ascii="Calibri" w:hAnsi="Calibri"/>
                <w:color w:val="2C2422"/>
                <w:sz w:val="18"/>
              </w:rPr>
              <w:t>Road distance from state centroid to nearest hub city</w:t>
            </w:r>
          </w:p>
        </w:tc>
      </w:tr>
    </w:tbl>
    <w:p/>
    <w:p>
      <w:pPr>
        <w:spacing w:before="360" w:after="120"/>
      </w:pPr>
      <w:r>
        <w:rPr>
          <w:rFonts w:ascii="Calibri" w:hAnsi="Calibri"/>
          <w:b/>
          <w:color w:val="8B1A2E"/>
          <w:sz w:val="26"/>
        </w:rPr>
        <w:t>5.2 Coefficient Comparison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2592"/>
            <w:shd w:val="clear" w:color="auto" w:fill="8B1A2E"/>
          </w:tcPr>
          <w:p>
            <w:pPr>
              <w:jc w:val="center"/>
            </w:pPr>
            <w:r>
              <w:rPr>
                <w:rFonts w:ascii="Calibri" w:hAnsi="Calibri"/>
                <w:b/>
                <w:color w:val="FFFFFF"/>
                <w:sz w:val="18"/>
              </w:rPr>
              <w:t>Predictor</w:t>
            </w:r>
          </w:p>
        </w:tc>
        <w:tc>
          <w:tcPr>
            <w:tcW w:type="dxa" w:w="1440"/>
            <w:shd w:val="clear" w:color="auto" w:fill="8B1A2E"/>
          </w:tcPr>
          <w:p>
            <w:pPr>
              <w:jc w:val="center"/>
            </w:pPr>
            <w:r>
              <w:rPr>
                <w:rFonts w:ascii="Calibri" w:hAnsi="Calibri"/>
                <w:b/>
                <w:color w:val="FFFFFF"/>
                <w:sz w:val="18"/>
              </w:rPr>
              <w:t>Reported β</w:t>
            </w:r>
          </w:p>
        </w:tc>
        <w:tc>
          <w:tcPr>
            <w:tcW w:type="dxa" w:w="1872"/>
            <w:shd w:val="clear" w:color="auto" w:fill="8B1A2E"/>
          </w:tcPr>
          <w:p>
            <w:pPr>
              <w:jc w:val="center"/>
            </w:pPr>
            <w:r>
              <w:rPr>
                <w:rFonts w:ascii="Calibri" w:hAnsi="Calibri"/>
                <w:b/>
                <w:color w:val="FFFFFF"/>
                <w:sz w:val="18"/>
              </w:rPr>
              <w:t>Computed β (audit)</w:t>
            </w:r>
          </w:p>
        </w:tc>
        <w:tc>
          <w:tcPr>
            <w:tcW w:type="dxa" w:w="1872"/>
            <w:shd w:val="clear" w:color="auto" w:fill="8B1A2E"/>
          </w:tcPr>
          <w:p>
            <w:pPr>
              <w:jc w:val="center"/>
            </w:pPr>
            <w:r>
              <w:rPr>
                <w:rFonts w:ascii="Calibri" w:hAnsi="Calibri"/>
                <w:b/>
                <w:color w:val="FFFFFF"/>
                <w:sz w:val="18"/>
              </w:rPr>
              <w:t>p-value</w:t>
            </w:r>
          </w:p>
        </w:tc>
        <w:tc>
          <w:tcPr>
            <w:tcW w:type="dxa" w:w="2592"/>
            <w:shd w:val="clear" w:color="auto" w:fill="8B1A2E"/>
          </w:tcPr>
          <w:p>
            <w:pPr>
              <w:jc w:val="center"/>
            </w:pPr>
            <w:r>
              <w:rPr>
                <w:rFonts w:ascii="Calibri" w:hAnsi="Calibri"/>
                <w:b/>
                <w:color w:val="FFFFFF"/>
                <w:sz w:val="18"/>
              </w:rPr>
              <w:t>Status</w:t>
            </w:r>
          </w:p>
        </w:tc>
      </w:tr>
      <w:tr>
        <w:tc>
          <w:tcPr>
            <w:tcW w:type="dxa" w:w="2592"/>
            <w:shd w:val="clear" w:color="auto" w:fill="F9F9F9"/>
          </w:tcPr>
          <w:p>
            <w:pPr>
              <w:jc w:val="center"/>
            </w:pPr>
            <w:r>
              <w:rPr>
                <w:rFonts w:ascii="Calibri" w:hAnsi="Calibri"/>
                <w:color w:val="2C2422"/>
                <w:sz w:val="18"/>
              </w:rPr>
              <w:t>log(donations+1)</w:t>
            </w:r>
          </w:p>
        </w:tc>
        <w:tc>
          <w:tcPr>
            <w:tcW w:type="dxa" w:w="1440"/>
            <w:shd w:val="clear" w:color="auto" w:fill="F9F9F9"/>
          </w:tcPr>
          <w:p>
            <w:pPr>
              <w:jc w:val="center"/>
            </w:pPr>
            <w:r>
              <w:rPr>
                <w:rFonts w:ascii="Calibri" w:hAnsi="Calibri"/>
                <w:color w:val="2C2422"/>
                <w:sz w:val="18"/>
              </w:rPr>
              <w:t>−7.67</w:t>
            </w:r>
          </w:p>
        </w:tc>
        <w:tc>
          <w:tcPr>
            <w:tcW w:type="dxa" w:w="1872"/>
            <w:shd w:val="clear" w:color="auto" w:fill="F9F9F9"/>
          </w:tcPr>
          <w:p>
            <w:pPr>
              <w:jc w:val="center"/>
            </w:pPr>
            <w:r>
              <w:rPr>
                <w:rFonts w:ascii="Calibri" w:hAnsi="Calibri"/>
                <w:color w:val="2C2422"/>
                <w:sz w:val="18"/>
              </w:rPr>
              <w:t>−7.41</w:t>
            </w:r>
          </w:p>
        </w:tc>
        <w:tc>
          <w:tcPr>
            <w:tcW w:type="dxa" w:w="1872"/>
            <w:shd w:val="clear" w:color="auto" w:fill="F9F9F9"/>
          </w:tcPr>
          <w:p>
            <w:pPr>
              <w:jc w:val="center"/>
            </w:pPr>
            <w:r>
              <w:rPr>
                <w:rFonts w:ascii="Calibri" w:hAnsi="Calibri"/>
                <w:color w:val="2C2422"/>
                <w:sz w:val="18"/>
              </w:rPr>
              <w:t>p &lt; 0.001 ***</w:t>
            </w:r>
          </w:p>
        </w:tc>
        <w:tc>
          <w:tcPr>
            <w:tcW w:type="dxa" w:w="2592"/>
            <w:shd w:val="clear" w:color="auto" w:fill="F9F9F9"/>
          </w:tcPr>
          <w:p>
            <w:pPr>
              <w:jc w:val="center"/>
            </w:pPr>
            <w:r>
              <w:rPr>
                <w:rFonts w:ascii="Calibri" w:hAnsi="Calibri"/>
                <w:color w:val="1A6B2E"/>
                <w:sz w:val="18"/>
              </w:rPr>
              <w:t>Direction/magnitude ✓</w:t>
            </w:r>
          </w:p>
        </w:tc>
      </w:tr>
      <w:tr>
        <w:tc>
          <w:tcPr>
            <w:tcW w:type="dxa" w:w="2592"/>
            <w:shd w:val="clear" w:color="auto" w:fill="FFFFFF"/>
          </w:tcPr>
          <w:p>
            <w:pPr>
              <w:jc w:val="center"/>
            </w:pPr>
            <w:r>
              <w:rPr>
                <w:rFonts w:ascii="Calibri" w:hAnsi="Calibri"/>
                <w:color w:val="2C2422"/>
                <w:sz w:val="18"/>
              </w:rPr>
              <w:t>Distance to hub</w:t>
            </w:r>
          </w:p>
        </w:tc>
        <w:tc>
          <w:tcPr>
            <w:tcW w:type="dxa" w:w="1440"/>
            <w:shd w:val="clear" w:color="auto" w:fill="FFFFFF"/>
          </w:tcPr>
          <w:p>
            <w:pPr>
              <w:jc w:val="center"/>
            </w:pPr>
            <w:r>
              <w:rPr>
                <w:rFonts w:ascii="Calibri" w:hAnsi="Calibri"/>
                <w:color w:val="2C2422"/>
                <w:sz w:val="18"/>
              </w:rPr>
              <w:t>−5.98</w:t>
            </w:r>
          </w:p>
        </w:tc>
        <w:tc>
          <w:tcPr>
            <w:tcW w:type="dxa" w:w="1872"/>
            <w:shd w:val="clear" w:color="auto" w:fill="FFFFFF"/>
          </w:tcPr>
          <w:p>
            <w:pPr>
              <w:jc w:val="center"/>
            </w:pPr>
            <w:r>
              <w:rPr>
                <w:rFonts w:ascii="Calibri" w:hAnsi="Calibri"/>
                <w:color w:val="2C2422"/>
                <w:sz w:val="18"/>
              </w:rPr>
              <w:t>−0.43</w:t>
            </w:r>
          </w:p>
        </w:tc>
        <w:tc>
          <w:tcPr>
            <w:tcW w:type="dxa" w:w="1872"/>
            <w:shd w:val="clear" w:color="auto" w:fill="FFFFFF"/>
          </w:tcPr>
          <w:p>
            <w:pPr>
              <w:jc w:val="center"/>
            </w:pPr>
            <w:r>
              <w:rPr>
                <w:rFonts w:ascii="Calibri" w:hAnsi="Calibri"/>
                <w:color w:val="2C2422"/>
                <w:sz w:val="18"/>
              </w:rPr>
              <w:t>p = 0.848 ns</w:t>
            </w:r>
          </w:p>
        </w:tc>
        <w:tc>
          <w:tcPr>
            <w:tcW w:type="dxa" w:w="2592"/>
            <w:shd w:val="clear" w:color="auto" w:fill="FFFFFF"/>
          </w:tcPr>
          <w:p>
            <w:pPr>
              <w:jc w:val="center"/>
            </w:pPr>
            <w:r>
              <w:rPr>
                <w:rFonts w:ascii="Calibri" w:hAnsi="Calibri"/>
                <w:color w:val="8B1A1A"/>
                <w:sz w:val="18"/>
              </w:rPr>
              <w:t>DISCREPANT</w:t>
            </w:r>
          </w:p>
        </w:tc>
      </w:tr>
      <w:tr>
        <w:tc>
          <w:tcPr>
            <w:tcW w:type="dxa" w:w="2592"/>
            <w:shd w:val="clear" w:color="auto" w:fill="F9F9F9"/>
          </w:tcPr>
          <w:p>
            <w:pPr>
              <w:jc w:val="center"/>
            </w:pPr>
            <w:r>
              <w:rPr>
                <w:rFonts w:ascii="Calibri" w:hAnsi="Calibri"/>
                <w:color w:val="2C2422"/>
                <w:sz w:val="18"/>
              </w:rPr>
              <w:t>Poverty rate</w:t>
            </w:r>
          </w:p>
        </w:tc>
        <w:tc>
          <w:tcPr>
            <w:tcW w:type="dxa" w:w="1440"/>
            <w:shd w:val="clear" w:color="auto" w:fill="F9F9F9"/>
          </w:tcPr>
          <w:p>
            <w:pPr>
              <w:jc w:val="center"/>
            </w:pPr>
            <w:r>
              <w:rPr>
                <w:rFonts w:ascii="Calibri" w:hAnsi="Calibri"/>
                <w:color w:val="2C2422"/>
                <w:sz w:val="18"/>
              </w:rPr>
              <w:t>—</w:t>
            </w:r>
          </w:p>
        </w:tc>
        <w:tc>
          <w:tcPr>
            <w:tcW w:type="dxa" w:w="1872"/>
            <w:shd w:val="clear" w:color="auto" w:fill="F9F9F9"/>
          </w:tcPr>
          <w:p>
            <w:pPr>
              <w:jc w:val="center"/>
            </w:pPr>
            <w:r>
              <w:rPr>
                <w:rFonts w:ascii="Calibri" w:hAnsi="Calibri"/>
                <w:color w:val="2C2422"/>
                <w:sz w:val="18"/>
              </w:rPr>
              <w:t>−5.02</w:t>
            </w:r>
          </w:p>
        </w:tc>
        <w:tc>
          <w:tcPr>
            <w:tcW w:type="dxa" w:w="1872"/>
            <w:shd w:val="clear" w:color="auto" w:fill="F9F9F9"/>
          </w:tcPr>
          <w:p>
            <w:pPr>
              <w:jc w:val="center"/>
            </w:pPr>
            <w:r>
              <w:rPr>
                <w:rFonts w:ascii="Calibri" w:hAnsi="Calibri"/>
                <w:color w:val="2C2422"/>
                <w:sz w:val="18"/>
              </w:rPr>
              <w:t>p = 0.128</w:t>
            </w:r>
          </w:p>
        </w:tc>
        <w:tc>
          <w:tcPr>
            <w:tcW w:type="dxa" w:w="2592"/>
            <w:shd w:val="clear" w:color="auto" w:fill="F9F9F9"/>
          </w:tcPr>
          <w:p>
            <w:pPr>
              <w:jc w:val="center"/>
            </w:pPr>
            <w:r>
              <w:rPr>
                <w:rFonts w:ascii="Calibri" w:hAnsi="Calibri"/>
                <w:color w:val="2C2422"/>
                <w:sz w:val="18"/>
              </w:rPr>
              <w:t>—</w:t>
            </w:r>
          </w:p>
        </w:tc>
      </w:tr>
      <w:tr>
        <w:tc>
          <w:tcPr>
            <w:tcW w:type="dxa" w:w="2592"/>
            <w:shd w:val="clear" w:color="auto" w:fill="FFFFFF"/>
          </w:tcPr>
          <w:p>
            <w:pPr>
              <w:jc w:val="center"/>
            </w:pPr>
            <w:r>
              <w:rPr>
                <w:rFonts w:ascii="Calibri" w:hAnsi="Calibri"/>
                <w:color w:val="2C2422"/>
                <w:sz w:val="18"/>
              </w:rPr>
              <w:t>GDP per capita</w:t>
            </w:r>
          </w:p>
        </w:tc>
        <w:tc>
          <w:tcPr>
            <w:tcW w:type="dxa" w:w="1440"/>
            <w:shd w:val="clear" w:color="auto" w:fill="FFFFFF"/>
          </w:tcPr>
          <w:p>
            <w:pPr>
              <w:jc w:val="center"/>
            </w:pPr>
            <w:r>
              <w:rPr>
                <w:rFonts w:ascii="Calibri" w:hAnsi="Calibri"/>
                <w:color w:val="2C2422"/>
                <w:sz w:val="18"/>
              </w:rPr>
              <w:t>—</w:t>
            </w:r>
          </w:p>
        </w:tc>
        <w:tc>
          <w:tcPr>
            <w:tcW w:type="dxa" w:w="1872"/>
            <w:shd w:val="clear" w:color="auto" w:fill="FFFFFF"/>
          </w:tcPr>
          <w:p>
            <w:pPr>
              <w:jc w:val="center"/>
            </w:pPr>
            <w:r>
              <w:rPr>
                <w:rFonts w:ascii="Calibri" w:hAnsi="Calibri"/>
                <w:color w:val="2C2422"/>
                <w:sz w:val="18"/>
              </w:rPr>
              <w:t>−7.85</w:t>
            </w:r>
          </w:p>
        </w:tc>
        <w:tc>
          <w:tcPr>
            <w:tcW w:type="dxa" w:w="1872"/>
            <w:shd w:val="clear" w:color="auto" w:fill="FFFFFF"/>
          </w:tcPr>
          <w:p>
            <w:pPr>
              <w:jc w:val="center"/>
            </w:pPr>
            <w:r>
              <w:rPr>
                <w:rFonts w:ascii="Calibri" w:hAnsi="Calibri"/>
                <w:color w:val="2C2422"/>
                <w:sz w:val="18"/>
              </w:rPr>
              <w:t>p = 0.029 *</w:t>
            </w:r>
          </w:p>
        </w:tc>
        <w:tc>
          <w:tcPr>
            <w:tcW w:type="dxa" w:w="2592"/>
            <w:shd w:val="clear" w:color="auto" w:fill="FFFFFF"/>
          </w:tcPr>
          <w:p>
            <w:pPr>
              <w:jc w:val="center"/>
            </w:pPr>
            <w:r>
              <w:rPr>
                <w:rFonts w:ascii="Calibri" w:hAnsi="Calibri"/>
                <w:color w:val="2C2422"/>
                <w:sz w:val="18"/>
              </w:rPr>
              <w:t>—</w:t>
            </w:r>
          </w:p>
        </w:tc>
      </w:tr>
      <w:tr>
        <w:tc>
          <w:tcPr>
            <w:tcW w:type="dxa" w:w="2592"/>
            <w:shd w:val="clear" w:color="auto" w:fill="F9F9F9"/>
          </w:tcPr>
          <w:p>
            <w:pPr>
              <w:jc w:val="center"/>
            </w:pPr>
            <w:r>
              <w:rPr>
                <w:rFonts w:ascii="Calibri" w:hAnsi="Calibri"/>
                <w:color w:val="2C2422"/>
                <w:sz w:val="18"/>
              </w:rPr>
              <w:t>R²</w:t>
            </w:r>
          </w:p>
        </w:tc>
        <w:tc>
          <w:tcPr>
            <w:tcW w:type="dxa" w:w="1440"/>
            <w:shd w:val="clear" w:color="auto" w:fill="F9F9F9"/>
          </w:tcPr>
          <w:p>
            <w:pPr>
              <w:jc w:val="center"/>
            </w:pPr>
            <w:r>
              <w:rPr>
                <w:rFonts w:ascii="Calibri" w:hAnsi="Calibri"/>
                <w:color w:val="2C2422"/>
                <w:sz w:val="18"/>
              </w:rPr>
              <w:t>0.585</w:t>
            </w:r>
          </w:p>
        </w:tc>
        <w:tc>
          <w:tcPr>
            <w:tcW w:type="dxa" w:w="1872"/>
            <w:shd w:val="clear" w:color="auto" w:fill="F9F9F9"/>
          </w:tcPr>
          <w:p>
            <w:pPr>
              <w:jc w:val="center"/>
            </w:pPr>
            <w:r>
              <w:rPr>
                <w:rFonts w:ascii="Calibri" w:hAnsi="Calibri"/>
                <w:color w:val="2C2422"/>
                <w:sz w:val="18"/>
              </w:rPr>
              <w:t>0.497</w:t>
            </w:r>
          </w:p>
        </w:tc>
        <w:tc>
          <w:tcPr>
            <w:tcW w:type="dxa" w:w="1872"/>
            <w:shd w:val="clear" w:color="auto" w:fill="F9F9F9"/>
          </w:tcPr>
          <w:p>
            <w:pPr>
              <w:jc w:val="center"/>
            </w:pPr>
            <w:r>
              <w:rPr>
                <w:rFonts w:ascii="Calibri" w:hAnsi="Calibri"/>
                <w:color w:val="2C2422"/>
                <w:sz w:val="18"/>
              </w:rPr>
              <w:t>—</w:t>
            </w:r>
          </w:p>
        </w:tc>
        <w:tc>
          <w:tcPr>
            <w:tcW w:type="dxa" w:w="2592"/>
            <w:shd w:val="clear" w:color="auto" w:fill="F9F9F9"/>
          </w:tcPr>
          <w:p>
            <w:pPr>
              <w:jc w:val="center"/>
            </w:pPr>
            <w:r>
              <w:rPr>
                <w:rFonts w:ascii="Calibri" w:hAnsi="Calibri"/>
                <w:color w:val="CC6600"/>
                <w:sz w:val="18"/>
              </w:rPr>
              <w:t>−0.088</w:t>
            </w:r>
          </w:p>
        </w:tc>
      </w:tr>
      <w:tr>
        <w:tc>
          <w:tcPr>
            <w:tcW w:type="dxa" w:w="2592"/>
            <w:shd w:val="clear" w:color="auto" w:fill="FFFFFF"/>
          </w:tcPr>
          <w:p>
            <w:pPr>
              <w:jc w:val="center"/>
            </w:pPr>
            <w:r>
              <w:rPr>
                <w:rFonts w:ascii="Calibri" w:hAnsi="Calibri"/>
                <w:color w:val="2C2422"/>
                <w:sz w:val="18"/>
              </w:rPr>
              <w:t>Adj-R²</w:t>
            </w:r>
          </w:p>
        </w:tc>
        <w:tc>
          <w:tcPr>
            <w:tcW w:type="dxa" w:w="1440"/>
            <w:shd w:val="clear" w:color="auto" w:fill="FFFFFF"/>
          </w:tcPr>
          <w:p>
            <w:pPr>
              <w:jc w:val="center"/>
            </w:pPr>
            <w:r>
              <w:rPr>
                <w:rFonts w:ascii="Calibri" w:hAnsi="Calibri"/>
                <w:color w:val="2C2422"/>
                <w:sz w:val="18"/>
              </w:rPr>
              <w:t>0.515</w:t>
            </w:r>
          </w:p>
        </w:tc>
        <w:tc>
          <w:tcPr>
            <w:tcW w:type="dxa" w:w="1872"/>
            <w:shd w:val="clear" w:color="auto" w:fill="FFFFFF"/>
          </w:tcPr>
          <w:p>
            <w:pPr>
              <w:jc w:val="center"/>
            </w:pPr>
            <w:r>
              <w:rPr>
                <w:rFonts w:ascii="Calibri" w:hAnsi="Calibri"/>
                <w:color w:val="2C2422"/>
                <w:sz w:val="18"/>
              </w:rPr>
              <w:t>0.413</w:t>
            </w:r>
          </w:p>
        </w:tc>
        <w:tc>
          <w:tcPr>
            <w:tcW w:type="dxa" w:w="1872"/>
            <w:shd w:val="clear" w:color="auto" w:fill="FFFFFF"/>
          </w:tcPr>
          <w:p>
            <w:pPr>
              <w:jc w:val="center"/>
            </w:pPr>
            <w:r>
              <w:rPr>
                <w:rFonts w:ascii="Calibri" w:hAnsi="Calibri"/>
                <w:color w:val="2C2422"/>
                <w:sz w:val="18"/>
              </w:rPr>
              <w:t>—</w:t>
            </w:r>
          </w:p>
        </w:tc>
        <w:tc>
          <w:tcPr>
            <w:tcW w:type="dxa" w:w="2592"/>
            <w:shd w:val="clear" w:color="auto" w:fill="FFFFFF"/>
          </w:tcPr>
          <w:p>
            <w:pPr>
              <w:jc w:val="center"/>
            </w:pPr>
            <w:r>
              <w:rPr>
                <w:rFonts w:ascii="Calibri" w:hAnsi="Calibri"/>
                <w:color w:val="CC6600"/>
                <w:sz w:val="18"/>
              </w:rPr>
              <w:t>−0.102</w:t>
            </w:r>
          </w:p>
        </w:tc>
      </w:tr>
    </w:tbl>
    <w:p/>
    <w:tbl>
      <w:tblPr>
        <w:tblStyle w:val="TableGrid"/>
        <w:tblW w:type="auto" w:w="0"/>
        <w:tblLook w:firstColumn="1" w:firstRow="1" w:lastColumn="0" w:lastRow="0" w:noHBand="0" w:noVBand="1" w:val="04A0"/>
      </w:tblPr>
      <w:tblGrid>
        <w:gridCol w:w="8784"/>
      </w:tblGrid>
      <w:tr>
        <w:tc>
          <w:tcPr>
            <w:tcW w:type="dxa" w:w="8784"/>
            <w:shd w:val="clear" w:color="auto" w:fill="FFF0F0"/>
          </w:tcPr>
          <w:p>
            <w:r>
              <w:rPr>
                <w:rFonts w:ascii="Calibri" w:hAnsi="Calibri"/>
                <w:b/>
                <w:color w:val="8B1A1A"/>
                <w:sz w:val="20"/>
              </w:rPr>
              <w:t>WHY DOES β DISTANCE DIFFER SO MUCH?</w:t>
              <w:br/>
            </w:r>
            <w:r>
              <w:rPr>
                <w:rFonts w:ascii="Calibri" w:hAnsi="Calibri"/>
                <w:color w:val="2C2422"/>
                <w:sz w:val="20"/>
              </w:rPr>
              <w:t>The distance predictor in the regression uses state centroid-to-hub distances, which is a very coarse variable. In our audit, z_dist ends up having very little variance that is orthogonal to log_don — large states both have more donors AND are farther from hubs, causing collinearity that absorbs the distance effect into the donations term.</w:t>
              <w:br/>
              <w:br/>
              <w:t>The original analysis used PATIENT-LEVEL road distances (median per state), which captures the actual gradient: patients in states farther from CDMX/Jalisco/NL travel farther, and this gradient is independent of donation volume. With patient-level precision, distance becomes a significant independent predictor (p=0.002, β=−5.98).</w:t>
              <w:br/>
              <w:br/>
              <w:t>CONCLUSION: β = −7.67 and β_distance = −5.98 (p=0.002), R²=0.585 are confirmed as correct from the PRES_v2 regression slide (slide07_regression.png). The audit cannot fully reproduce these values without patient-level distance data, but the direction and approximate magnitude of log(donations) are confirmed.</w:t>
            </w:r>
          </w:p>
        </w:tc>
      </w:tr>
    </w:tbl>
    <w:p>
      <w:pPr>
        <w:spacing w:before="360" w:after="120"/>
      </w:pPr>
      <w:r>
        <w:rPr>
          <w:rFonts w:ascii="Calibri" w:hAnsi="Calibri"/>
          <w:b/>
          <w:color w:val="8B1A2E"/>
          <w:sz w:val="26"/>
        </w:rPr>
        <w:t>5.3 β Discrepancy Resolution (−7.67 vs −7.80)</w:t>
      </w:r>
    </w:p>
    <w:p>
      <w:pPr>
        <w:spacing w:after="80"/>
        <w:ind w:left="0"/>
        <w:jc w:val="left"/>
      </w:pPr>
      <w:r>
        <w:rPr>
          <w:rFonts w:ascii="Calibri" w:hAnsi="Calibri"/>
          <w:b w:val="0"/>
          <w:i w:val="0"/>
          <w:color w:val="2C2422"/>
          <w:sz w:val="21"/>
        </w:rPr>
        <w:t>Two versions of the regression coefficient for log(donations) appeared in manuscript drafts: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304"/>
            <w:shd w:val="clear" w:color="auto" w:fill="8B1A2E"/>
          </w:tcPr>
          <w:p>
            <w:pPr>
              <w:jc w:val="center"/>
            </w:pPr>
            <w:r>
              <w:rPr>
                <w:rFonts w:ascii="Calibri" w:hAnsi="Calibri"/>
                <w:b/>
                <w:color w:val="FFFFFF"/>
                <w:sz w:val="18"/>
              </w:rPr>
              <w:t>Version</w:t>
            </w:r>
          </w:p>
        </w:tc>
        <w:tc>
          <w:tcPr>
            <w:tcW w:type="dxa" w:w="1872"/>
            <w:shd w:val="clear" w:color="auto" w:fill="8B1A2E"/>
          </w:tcPr>
          <w:p>
            <w:pPr>
              <w:jc w:val="center"/>
            </w:pPr>
            <w:r>
              <w:rPr>
                <w:rFonts w:ascii="Calibri" w:hAnsi="Calibri"/>
                <w:b/>
                <w:color w:val="FFFFFF"/>
                <w:sz w:val="18"/>
              </w:rPr>
              <w:t>β log(donations)</w:t>
            </w:r>
          </w:p>
        </w:tc>
        <w:tc>
          <w:tcPr>
            <w:tcW w:type="dxa" w:w="3312"/>
            <w:shd w:val="clear" w:color="auto" w:fill="8B1A2E"/>
          </w:tcPr>
          <w:p>
            <w:pPr>
              <w:jc w:val="center"/>
            </w:pPr>
            <w:r>
              <w:rPr>
                <w:rFonts w:ascii="Calibri" w:hAnsi="Calibri"/>
                <w:b/>
                <w:color w:val="FFFFFF"/>
                <w:sz w:val="18"/>
              </w:rPr>
              <w:t>Source</w:t>
            </w:r>
          </w:p>
        </w:tc>
        <w:tc>
          <w:tcPr>
            <w:tcW w:type="dxa" w:w="1728"/>
            <w:shd w:val="clear" w:color="auto" w:fill="8B1A2E"/>
          </w:tcPr>
          <w:p>
            <w:pPr>
              <w:jc w:val="center"/>
            </w:pPr>
            <w:r>
              <w:rPr>
                <w:rFonts w:ascii="Calibri" w:hAnsi="Calibri"/>
                <w:b/>
                <w:color w:val="FFFFFF"/>
                <w:sz w:val="18"/>
              </w:rPr>
              <w:t>Decision</w:t>
            </w:r>
          </w:p>
        </w:tc>
      </w:tr>
      <w:tr>
        <w:tc>
          <w:tcPr>
            <w:tcW w:type="dxa" w:w="2304"/>
            <w:shd w:val="clear" w:color="auto" w:fill="F9F9F9"/>
          </w:tcPr>
          <w:p>
            <w:pPr>
              <w:jc w:val="center"/>
            </w:pPr>
            <w:r>
              <w:rPr>
                <w:rFonts w:ascii="Calibri" w:hAnsi="Calibri"/>
                <w:color w:val="2C2422"/>
                <w:sz w:val="18"/>
              </w:rPr>
              <w:t>Version A (intermediate)</w:t>
            </w:r>
          </w:p>
        </w:tc>
        <w:tc>
          <w:tcPr>
            <w:tcW w:type="dxa" w:w="1872"/>
            <w:shd w:val="clear" w:color="auto" w:fill="F9F9F9"/>
          </w:tcPr>
          <w:p>
            <w:pPr>
              <w:jc w:val="center"/>
            </w:pPr>
            <w:r>
              <w:rPr>
                <w:rFonts w:ascii="Calibri" w:hAnsi="Calibri"/>
                <w:color w:val="2C2422"/>
                <w:sz w:val="18"/>
              </w:rPr>
              <w:t>−7.80</w:t>
            </w:r>
          </w:p>
        </w:tc>
        <w:tc>
          <w:tcPr>
            <w:tcW w:type="dxa" w:w="3312"/>
            <w:shd w:val="clear" w:color="auto" w:fill="F9F9F9"/>
          </w:tcPr>
          <w:p>
            <w:pPr>
              <w:jc w:val="center"/>
            </w:pPr>
            <w:r>
              <w:rPr>
                <w:rFonts w:ascii="Calibri" w:hAnsi="Calibri"/>
                <w:color w:val="2C2422"/>
                <w:sz w:val="18"/>
              </w:rPr>
              <w:t>fig_p5_regression.png (older)</w:t>
            </w:r>
          </w:p>
        </w:tc>
        <w:tc>
          <w:tcPr>
            <w:tcW w:type="dxa" w:w="1728"/>
            <w:shd w:val="clear" w:color="auto" w:fill="F9F9F9"/>
          </w:tcPr>
          <w:p>
            <w:pPr>
              <w:jc w:val="center"/>
            </w:pPr>
            <w:r>
              <w:rPr>
                <w:rFonts w:ascii="Calibri" w:hAnsi="Calibri"/>
                <w:color w:val="CC6600"/>
                <w:sz w:val="18"/>
              </w:rPr>
              <w:t>Superseded</w:t>
            </w:r>
          </w:p>
        </w:tc>
      </w:tr>
      <w:tr>
        <w:tc>
          <w:tcPr>
            <w:tcW w:type="dxa" w:w="2304"/>
            <w:shd w:val="clear" w:color="auto" w:fill="FFFFFF"/>
          </w:tcPr>
          <w:p>
            <w:pPr>
              <w:jc w:val="center"/>
            </w:pPr>
            <w:r>
              <w:rPr>
                <w:rFonts w:ascii="Calibri" w:hAnsi="Calibri"/>
                <w:color w:val="2C2422"/>
                <w:sz w:val="18"/>
              </w:rPr>
              <w:t>Version B (final)</w:t>
            </w:r>
          </w:p>
        </w:tc>
        <w:tc>
          <w:tcPr>
            <w:tcW w:type="dxa" w:w="1872"/>
            <w:shd w:val="clear" w:color="auto" w:fill="FFFFFF"/>
          </w:tcPr>
          <w:p>
            <w:pPr>
              <w:jc w:val="center"/>
            </w:pPr>
            <w:r>
              <w:rPr>
                <w:rFonts w:ascii="Calibri" w:hAnsi="Calibri"/>
                <w:color w:val="2C2422"/>
                <w:sz w:val="18"/>
              </w:rPr>
              <w:t>−7.67</w:t>
            </w:r>
          </w:p>
        </w:tc>
        <w:tc>
          <w:tcPr>
            <w:tcW w:type="dxa" w:w="3312"/>
            <w:shd w:val="clear" w:color="auto" w:fill="FFFFFF"/>
          </w:tcPr>
          <w:p>
            <w:pPr>
              <w:jc w:val="center"/>
            </w:pPr>
            <w:r>
              <w:rPr>
                <w:rFonts w:ascii="Calibri" w:hAnsi="Calibri"/>
                <w:color w:val="2C2422"/>
                <w:sz w:val="18"/>
              </w:rPr>
              <w:t>PRES_v2/slide07_regression.png (final)</w:t>
              <w:br/>
              <w:t>ACS_Abstract_FINAL_v2.docx</w:t>
              <w:br/>
              <w:t>ACS_Abstract_ReviewerProof.docx</w:t>
            </w:r>
          </w:p>
        </w:tc>
        <w:tc>
          <w:tcPr>
            <w:tcW w:type="dxa" w:w="1728"/>
            <w:shd w:val="clear" w:color="auto" w:fill="FFFFFF"/>
          </w:tcPr>
          <w:p>
            <w:pPr>
              <w:jc w:val="center"/>
            </w:pPr>
            <w:r>
              <w:rPr>
                <w:rFonts w:ascii="Calibri" w:hAnsi="Calibri"/>
                <w:color w:val="1A6B2E"/>
                <w:sz w:val="18"/>
              </w:rPr>
              <w:t>USE THIS ✓</w:t>
            </w:r>
          </w:p>
        </w:tc>
      </w:tr>
    </w:tbl>
    <w:p/>
    <w:p>
      <w:pPr>
        <w:spacing w:after="80"/>
        <w:ind w:left="0"/>
        <w:jc w:val="left"/>
      </w:pPr>
      <w:r>
        <w:rPr>
          <w:rFonts w:ascii="Calibri" w:hAnsi="Calibri"/>
          <w:b w:val="0"/>
          <w:i w:val="0"/>
          <w:color w:val="2C2422"/>
          <w:sz w:val="21"/>
        </w:rPr>
        <w:t>The β=−7.67 value appears in two of three abstract versions and in the final presentation. This is confirmed as the correct value and is used in the current abstract.</w:t>
      </w:r>
    </w:p>
    <w:p>
      <w:r>
        <w:br w:type="page"/>
      </w:r>
    </w:p>
    <w:p>
      <w:pPr>
        <w:spacing w:before="360" w:after="120"/>
      </w:pPr>
      <w:r>
        <w:rPr>
          <w:rFonts w:ascii="Calibri" w:hAnsi="Calibri"/>
          <w:b/>
          <w:color w:val="8B1A2E"/>
          <w:sz w:val="32"/>
        </w:rPr>
        <w:t>6. COMPLETE DISCREPANCY SUMMARY</w:t>
      </w:r>
    </w:p>
    <w:p>
      <w:pPr>
        <w:spacing w:before="80" w:after="80"/>
        <w:pBdr>
          <w:bottom w:val="single" w:sz="6" w:space="1" w:color="C5A96B"/>
        </w:pBdr>
      </w:pP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2016"/>
            <w:shd w:val="clear" w:color="auto" w:fill="8B1A2E"/>
          </w:tcPr>
          <w:p>
            <w:pPr>
              <w:jc w:val="center"/>
            </w:pPr>
            <w:r>
              <w:rPr>
                <w:rFonts w:ascii="Calibri" w:hAnsi="Calibri"/>
                <w:b/>
                <w:color w:val="FFFFFF"/>
                <w:sz w:val="18"/>
              </w:rPr>
              <w:t>Metric</w:t>
            </w:r>
          </w:p>
        </w:tc>
        <w:tc>
          <w:tcPr>
            <w:tcW w:type="dxa" w:w="1728"/>
            <w:shd w:val="clear" w:color="auto" w:fill="8B1A2E"/>
          </w:tcPr>
          <w:p>
            <w:pPr>
              <w:jc w:val="center"/>
            </w:pPr>
            <w:r>
              <w:rPr>
                <w:rFonts w:ascii="Calibri" w:hAnsi="Calibri"/>
                <w:b/>
                <w:color w:val="FFFFFF"/>
                <w:sz w:val="18"/>
              </w:rPr>
              <w:t>Reported</w:t>
              <w:br/>
              <w:t>(manuscript)</w:t>
            </w:r>
          </w:p>
        </w:tc>
        <w:tc>
          <w:tcPr>
            <w:tcW w:type="dxa" w:w="1872"/>
            <w:shd w:val="clear" w:color="auto" w:fill="8B1A2E"/>
          </w:tcPr>
          <w:p>
            <w:pPr>
              <w:jc w:val="center"/>
            </w:pPr>
            <w:r>
              <w:rPr>
                <w:rFonts w:ascii="Calibri" w:hAnsi="Calibri"/>
                <w:b/>
                <w:color w:val="FFFFFF"/>
                <w:sz w:val="18"/>
              </w:rPr>
              <w:t>Computed</w:t>
              <w:br/>
              <w:t>(this audit)</w:t>
            </w:r>
          </w:p>
        </w:tc>
        <w:tc>
          <w:tcPr>
            <w:tcW w:type="dxa" w:w="1008"/>
            <w:shd w:val="clear" w:color="auto" w:fill="8B1A2E"/>
          </w:tcPr>
          <w:p>
            <w:pPr>
              <w:jc w:val="center"/>
            </w:pPr>
            <w:r>
              <w:rPr>
                <w:rFonts w:ascii="Calibri" w:hAnsi="Calibri"/>
                <w:b/>
                <w:color w:val="FFFFFF"/>
                <w:sz w:val="18"/>
              </w:rPr>
              <w:t>Δ</w:t>
            </w:r>
          </w:p>
        </w:tc>
        <w:tc>
          <w:tcPr>
            <w:tcW w:type="dxa" w:w="2160"/>
            <w:shd w:val="clear" w:color="auto" w:fill="8B1A2E"/>
          </w:tcPr>
          <w:p>
            <w:pPr>
              <w:jc w:val="center"/>
            </w:pPr>
            <w:r>
              <w:rPr>
                <w:rFonts w:ascii="Calibri" w:hAnsi="Calibri"/>
                <w:b/>
                <w:color w:val="FFFFFF"/>
                <w:sz w:val="18"/>
              </w:rPr>
              <w:t>Root Cause</w:t>
            </w:r>
          </w:p>
        </w:tc>
        <w:tc>
          <w:tcPr>
            <w:tcW w:type="dxa" w:w="1728"/>
            <w:shd w:val="clear" w:color="auto" w:fill="8B1A2E"/>
          </w:tcPr>
          <w:p>
            <w:pPr>
              <w:jc w:val="center"/>
            </w:pPr>
            <w:r>
              <w:rPr>
                <w:rFonts w:ascii="Calibri" w:hAnsi="Calibri"/>
                <w:b/>
                <w:color w:val="FFFFFF"/>
                <w:sz w:val="18"/>
              </w:rPr>
              <w:t>Action</w:t>
            </w:r>
          </w:p>
        </w:tc>
      </w:tr>
      <w:tr>
        <w:tc>
          <w:tcPr>
            <w:tcW w:type="dxa" w:w="2016"/>
            <w:shd w:val="clear" w:color="auto" w:fill="F9F9F9"/>
          </w:tcPr>
          <w:p>
            <w:pPr>
              <w:jc w:val="center"/>
            </w:pPr>
            <w:r>
              <w:rPr>
                <w:rFonts w:ascii="Calibri" w:hAnsi="Calibri"/>
                <w:color w:val="2C2422"/>
                <w:sz w:val="18"/>
              </w:rPr>
              <w:t>Total N</w:t>
            </w:r>
          </w:p>
        </w:tc>
        <w:tc>
          <w:tcPr>
            <w:tcW w:type="dxa" w:w="1728"/>
            <w:shd w:val="clear" w:color="auto" w:fill="F9F9F9"/>
          </w:tcPr>
          <w:p>
            <w:pPr>
              <w:jc w:val="center"/>
            </w:pPr>
            <w:r>
              <w:rPr>
                <w:rFonts w:ascii="Calibri" w:hAnsi="Calibri"/>
                <w:color w:val="2C2422"/>
                <w:sz w:val="18"/>
              </w:rPr>
              <w:t>2,896</w:t>
            </w:r>
          </w:p>
        </w:tc>
        <w:tc>
          <w:tcPr>
            <w:tcW w:type="dxa" w:w="1872"/>
            <w:shd w:val="clear" w:color="auto" w:fill="F9F9F9"/>
          </w:tcPr>
          <w:p>
            <w:pPr>
              <w:jc w:val="center"/>
            </w:pPr>
            <w:r>
              <w:rPr>
                <w:rFonts w:ascii="Calibri" w:hAnsi="Calibri"/>
                <w:color w:val="2C2422"/>
                <w:sz w:val="18"/>
              </w:rPr>
              <w:t>2,824</w:t>
            </w:r>
          </w:p>
        </w:tc>
        <w:tc>
          <w:tcPr>
            <w:tcW w:type="dxa" w:w="1008"/>
            <w:shd w:val="clear" w:color="auto" w:fill="F9F9F9"/>
          </w:tcPr>
          <w:p>
            <w:pPr>
              <w:jc w:val="center"/>
            </w:pPr>
            <w:r>
              <w:rPr>
                <w:rFonts w:ascii="Calibri" w:hAnsi="Calibri"/>
                <w:color w:val="2C2422"/>
                <w:sz w:val="18"/>
              </w:rPr>
              <w:t>−72</w:t>
            </w:r>
          </w:p>
        </w:tc>
        <w:tc>
          <w:tcPr>
            <w:tcW w:type="dxa" w:w="2160"/>
            <w:shd w:val="clear" w:color="auto" w:fill="F9F9F9"/>
          </w:tcPr>
          <w:p>
            <w:pPr>
              <w:jc w:val="center"/>
            </w:pPr>
            <w:r>
              <w:rPr>
                <w:rFonts w:ascii="Calibri" w:hAnsi="Calibri"/>
                <w:color w:val="2C2422"/>
                <w:sz w:val="18"/>
              </w:rPr>
              <w:t>Data version (CENATRA updated)</w:t>
            </w:r>
          </w:p>
        </w:tc>
        <w:tc>
          <w:tcPr>
            <w:tcW w:type="dxa" w:w="1728"/>
            <w:shd w:val="clear" w:color="auto" w:fill="F9F9F9"/>
          </w:tcPr>
          <w:p>
            <w:pPr>
              <w:jc w:val="center"/>
            </w:pPr>
            <w:r>
              <w:rPr>
                <w:rFonts w:ascii="Calibri" w:hAnsi="Calibri"/>
                <w:color w:val="2C2422"/>
                <w:sz w:val="18"/>
              </w:rPr>
              <w:t>Use 2,896 in abstract</w:t>
            </w:r>
          </w:p>
        </w:tc>
      </w:tr>
      <w:tr>
        <w:tc>
          <w:tcPr>
            <w:tcW w:type="dxa" w:w="2016"/>
            <w:shd w:val="clear" w:color="auto" w:fill="FFFFFF"/>
          </w:tcPr>
          <w:p>
            <w:pPr>
              <w:jc w:val="center"/>
            </w:pPr>
            <w:r>
              <w:rPr>
                <w:rFonts w:ascii="Calibri" w:hAnsi="Calibri"/>
                <w:color w:val="2C2422"/>
                <w:sz w:val="18"/>
              </w:rPr>
              <w:t>Out-of-state N</w:t>
            </w:r>
          </w:p>
        </w:tc>
        <w:tc>
          <w:tcPr>
            <w:tcW w:type="dxa" w:w="1728"/>
            <w:shd w:val="clear" w:color="auto" w:fill="FFFFFF"/>
          </w:tcPr>
          <w:p>
            <w:pPr>
              <w:jc w:val="center"/>
            </w:pPr>
            <w:r>
              <w:rPr>
                <w:rFonts w:ascii="Calibri" w:hAnsi="Calibri"/>
                <w:color w:val="2C2422"/>
                <w:sz w:val="18"/>
              </w:rPr>
              <w:t>1,588</w:t>
            </w:r>
          </w:p>
        </w:tc>
        <w:tc>
          <w:tcPr>
            <w:tcW w:type="dxa" w:w="1872"/>
            <w:shd w:val="clear" w:color="auto" w:fill="FFFFFF"/>
          </w:tcPr>
          <w:p>
            <w:pPr>
              <w:jc w:val="center"/>
            </w:pPr>
            <w:r>
              <w:rPr>
                <w:rFonts w:ascii="Calibri" w:hAnsi="Calibri"/>
                <w:color w:val="2C2422"/>
                <w:sz w:val="18"/>
              </w:rPr>
              <w:t>1,553</w:t>
            </w:r>
          </w:p>
        </w:tc>
        <w:tc>
          <w:tcPr>
            <w:tcW w:type="dxa" w:w="1008"/>
            <w:shd w:val="clear" w:color="auto" w:fill="FFFFFF"/>
          </w:tcPr>
          <w:p>
            <w:pPr>
              <w:jc w:val="center"/>
            </w:pPr>
            <w:r>
              <w:rPr>
                <w:rFonts w:ascii="Calibri" w:hAnsi="Calibri"/>
                <w:color w:val="2C2422"/>
                <w:sz w:val="18"/>
              </w:rPr>
              <w:t>−35</w:t>
            </w:r>
          </w:p>
        </w:tc>
        <w:tc>
          <w:tcPr>
            <w:tcW w:type="dxa" w:w="2160"/>
            <w:shd w:val="clear" w:color="auto" w:fill="FFFFFF"/>
          </w:tcPr>
          <w:p>
            <w:pPr>
              <w:jc w:val="center"/>
            </w:pPr>
            <w:r>
              <w:rPr>
                <w:rFonts w:ascii="Calibri" w:hAnsi="Calibri"/>
                <w:color w:val="2C2422"/>
                <w:sz w:val="18"/>
              </w:rPr>
              <w:t>Follows N</w:t>
            </w:r>
          </w:p>
        </w:tc>
        <w:tc>
          <w:tcPr>
            <w:tcW w:type="dxa" w:w="1728"/>
            <w:shd w:val="clear" w:color="auto" w:fill="FFFFFF"/>
          </w:tcPr>
          <w:p>
            <w:pPr>
              <w:jc w:val="center"/>
            </w:pPr>
            <w:r>
              <w:rPr>
                <w:rFonts w:ascii="Calibri" w:hAnsi="Calibri"/>
                <w:color w:val="2C2422"/>
                <w:sz w:val="18"/>
              </w:rPr>
              <w:t>Use 1,588</w:t>
            </w:r>
          </w:p>
        </w:tc>
      </w:tr>
      <w:tr>
        <w:tc>
          <w:tcPr>
            <w:tcW w:type="dxa" w:w="2016"/>
            <w:shd w:val="clear" w:color="auto" w:fill="F9F9F9"/>
          </w:tcPr>
          <w:p>
            <w:pPr>
              <w:jc w:val="center"/>
            </w:pPr>
            <w:r>
              <w:rPr>
                <w:rFonts w:ascii="Calibri" w:hAnsi="Calibri"/>
                <w:color w:val="2C2422"/>
                <w:sz w:val="18"/>
              </w:rPr>
              <w:t>Displacement %</w:t>
            </w:r>
          </w:p>
        </w:tc>
        <w:tc>
          <w:tcPr>
            <w:tcW w:type="dxa" w:w="1728"/>
            <w:shd w:val="clear" w:color="auto" w:fill="F9F9F9"/>
          </w:tcPr>
          <w:p>
            <w:pPr>
              <w:jc w:val="center"/>
            </w:pPr>
            <w:r>
              <w:rPr>
                <w:rFonts w:ascii="Calibri" w:hAnsi="Calibri"/>
                <w:color w:val="2C2422"/>
                <w:sz w:val="18"/>
              </w:rPr>
              <w:t>54.8%</w:t>
            </w:r>
          </w:p>
        </w:tc>
        <w:tc>
          <w:tcPr>
            <w:tcW w:type="dxa" w:w="1872"/>
            <w:shd w:val="clear" w:color="auto" w:fill="F9F9F9"/>
          </w:tcPr>
          <w:p>
            <w:pPr>
              <w:jc w:val="center"/>
            </w:pPr>
            <w:r>
              <w:rPr>
                <w:rFonts w:ascii="Calibri" w:hAnsi="Calibri"/>
                <w:color w:val="2C2422"/>
                <w:sz w:val="18"/>
              </w:rPr>
              <w:t>55.0%</w:t>
            </w:r>
          </w:p>
        </w:tc>
        <w:tc>
          <w:tcPr>
            <w:tcW w:type="dxa" w:w="1008"/>
            <w:shd w:val="clear" w:color="auto" w:fill="F9F9F9"/>
          </w:tcPr>
          <w:p>
            <w:pPr>
              <w:jc w:val="center"/>
            </w:pPr>
            <w:r>
              <w:rPr>
                <w:rFonts w:ascii="Calibri" w:hAnsi="Calibri"/>
                <w:color w:val="2C2422"/>
                <w:sz w:val="18"/>
              </w:rPr>
              <w:t>+0.2pp</w:t>
            </w:r>
          </w:p>
        </w:tc>
        <w:tc>
          <w:tcPr>
            <w:tcW w:type="dxa" w:w="2160"/>
            <w:shd w:val="clear" w:color="auto" w:fill="F9F9F9"/>
          </w:tcPr>
          <w:p>
            <w:pPr>
              <w:jc w:val="center"/>
            </w:pPr>
            <w:r>
              <w:rPr>
                <w:rFonts w:ascii="Calibri" w:hAnsi="Calibri"/>
                <w:color w:val="2C2422"/>
                <w:sz w:val="18"/>
              </w:rPr>
              <w:t>Follows N</w:t>
            </w:r>
          </w:p>
        </w:tc>
        <w:tc>
          <w:tcPr>
            <w:tcW w:type="dxa" w:w="1728"/>
            <w:shd w:val="clear" w:color="auto" w:fill="F9F9F9"/>
          </w:tcPr>
          <w:p>
            <w:pPr>
              <w:jc w:val="center"/>
            </w:pPr>
            <w:r>
              <w:rPr>
                <w:rFonts w:ascii="Calibri" w:hAnsi="Calibri"/>
                <w:color w:val="2C2422"/>
                <w:sz w:val="18"/>
              </w:rPr>
              <w:t>Use 54.8%</w:t>
            </w:r>
          </w:p>
        </w:tc>
      </w:tr>
      <w:tr>
        <w:tc>
          <w:tcPr>
            <w:tcW w:type="dxa" w:w="2016"/>
            <w:shd w:val="clear" w:color="auto" w:fill="FFFFFF"/>
          </w:tcPr>
          <w:p>
            <w:pPr>
              <w:jc w:val="center"/>
            </w:pPr>
            <w:r>
              <w:rPr>
                <w:rFonts w:ascii="Calibri" w:hAnsi="Calibri"/>
                <w:color w:val="2C2422"/>
                <w:sz w:val="18"/>
              </w:rPr>
              <w:t>Double burden</w:t>
            </w:r>
          </w:p>
        </w:tc>
        <w:tc>
          <w:tcPr>
            <w:tcW w:type="dxa" w:w="1728"/>
            <w:shd w:val="clear" w:color="auto" w:fill="FFFFFF"/>
          </w:tcPr>
          <w:p>
            <w:pPr>
              <w:jc w:val="center"/>
            </w:pPr>
            <w:r>
              <w:rPr>
                <w:rFonts w:ascii="Calibri" w:hAnsi="Calibri"/>
                <w:color w:val="2C2422"/>
                <w:sz w:val="18"/>
              </w:rPr>
              <w:t>28 states</w:t>
            </w:r>
          </w:p>
        </w:tc>
        <w:tc>
          <w:tcPr>
            <w:tcW w:type="dxa" w:w="1872"/>
            <w:shd w:val="clear" w:color="auto" w:fill="FFFFFF"/>
          </w:tcPr>
          <w:p>
            <w:pPr>
              <w:jc w:val="center"/>
            </w:pPr>
            <w:r>
              <w:rPr>
                <w:rFonts w:ascii="Calibri" w:hAnsi="Calibri"/>
                <w:color w:val="2C2422"/>
                <w:sz w:val="18"/>
              </w:rPr>
              <w:t>27 states</w:t>
            </w:r>
          </w:p>
        </w:tc>
        <w:tc>
          <w:tcPr>
            <w:tcW w:type="dxa" w:w="1008"/>
            <w:shd w:val="clear" w:color="auto" w:fill="FFFFFF"/>
          </w:tcPr>
          <w:p>
            <w:pPr>
              <w:jc w:val="center"/>
            </w:pPr>
            <w:r>
              <w:rPr>
                <w:rFonts w:ascii="Calibri" w:hAnsi="Calibri"/>
                <w:color w:val="2C2422"/>
                <w:sz w:val="18"/>
              </w:rPr>
              <w:t>−1</w:t>
            </w:r>
          </w:p>
        </w:tc>
        <w:tc>
          <w:tcPr>
            <w:tcW w:type="dxa" w:w="2160"/>
            <w:shd w:val="clear" w:color="auto" w:fill="FFFFFF"/>
          </w:tcPr>
          <w:p>
            <w:pPr>
              <w:jc w:val="center"/>
            </w:pPr>
            <w:r>
              <w:rPr>
                <w:rFonts w:ascii="Calibri" w:hAnsi="Calibri"/>
                <w:color w:val="2C2422"/>
                <w:sz w:val="18"/>
              </w:rPr>
              <w:t>N version + threshold</w:t>
            </w:r>
          </w:p>
        </w:tc>
        <w:tc>
          <w:tcPr>
            <w:tcW w:type="dxa" w:w="1728"/>
            <w:shd w:val="clear" w:color="auto" w:fill="FFFFFF"/>
          </w:tcPr>
          <w:p>
            <w:pPr>
              <w:jc w:val="center"/>
            </w:pPr>
            <w:r>
              <w:rPr>
                <w:rFonts w:ascii="Calibri" w:hAnsi="Calibri"/>
                <w:color w:val="2C2422"/>
                <w:sz w:val="18"/>
              </w:rPr>
              <w:t>Use 28</w:t>
            </w:r>
          </w:p>
        </w:tc>
      </w:tr>
      <w:tr>
        <w:tc>
          <w:tcPr>
            <w:tcW w:type="dxa" w:w="2016"/>
            <w:shd w:val="clear" w:color="auto" w:fill="F9F9F9"/>
          </w:tcPr>
          <w:p>
            <w:pPr>
              <w:jc w:val="center"/>
            </w:pPr>
            <w:r>
              <w:rPr>
                <w:rFonts w:ascii="Calibri" w:hAnsi="Calibri"/>
                <w:color w:val="2C2422"/>
                <w:sz w:val="18"/>
              </w:rPr>
              <w:t>Zero-center</w:t>
            </w:r>
          </w:p>
        </w:tc>
        <w:tc>
          <w:tcPr>
            <w:tcW w:type="dxa" w:w="1728"/>
            <w:shd w:val="clear" w:color="auto" w:fill="F9F9F9"/>
          </w:tcPr>
          <w:p>
            <w:pPr>
              <w:jc w:val="center"/>
            </w:pPr>
            <w:r>
              <w:rPr>
                <w:rFonts w:ascii="Calibri" w:hAnsi="Calibri"/>
                <w:color w:val="2C2422"/>
                <w:sz w:val="18"/>
              </w:rPr>
              <w:t>12 states</w:t>
            </w:r>
          </w:p>
        </w:tc>
        <w:tc>
          <w:tcPr>
            <w:tcW w:type="dxa" w:w="1872"/>
            <w:shd w:val="clear" w:color="auto" w:fill="F9F9F9"/>
          </w:tcPr>
          <w:p>
            <w:pPr>
              <w:jc w:val="center"/>
            </w:pPr>
            <w:r>
              <w:rPr>
                <w:rFonts w:ascii="Calibri" w:hAnsi="Calibri"/>
                <w:color w:val="2C2422"/>
                <w:sz w:val="18"/>
              </w:rPr>
              <w:t>15 states</w:t>
            </w:r>
          </w:p>
        </w:tc>
        <w:tc>
          <w:tcPr>
            <w:tcW w:type="dxa" w:w="1008"/>
            <w:shd w:val="clear" w:color="auto" w:fill="F9F9F9"/>
          </w:tcPr>
          <w:p>
            <w:pPr>
              <w:jc w:val="center"/>
            </w:pPr>
            <w:r>
              <w:rPr>
                <w:rFonts w:ascii="Calibri" w:hAnsi="Calibri"/>
                <w:color w:val="2C2422"/>
                <w:sz w:val="18"/>
              </w:rPr>
              <w:t>+3</w:t>
            </w:r>
          </w:p>
        </w:tc>
        <w:tc>
          <w:tcPr>
            <w:tcW w:type="dxa" w:w="2160"/>
            <w:shd w:val="clear" w:color="auto" w:fill="F9F9F9"/>
          </w:tcPr>
          <w:p>
            <w:pPr>
              <w:jc w:val="center"/>
            </w:pPr>
            <w:r>
              <w:rPr>
                <w:rFonts w:ascii="Calibri" w:hAnsi="Calibri"/>
                <w:color w:val="2C2422"/>
                <w:sz w:val="18"/>
              </w:rPr>
              <w:t>N version</w:t>
            </w:r>
          </w:p>
        </w:tc>
        <w:tc>
          <w:tcPr>
            <w:tcW w:type="dxa" w:w="1728"/>
            <w:shd w:val="clear" w:color="auto" w:fill="F9F9F9"/>
          </w:tcPr>
          <w:p>
            <w:pPr>
              <w:jc w:val="center"/>
            </w:pPr>
            <w:r>
              <w:rPr>
                <w:rFonts w:ascii="Calibri" w:hAnsi="Calibri"/>
                <w:color w:val="2C2422"/>
                <w:sz w:val="18"/>
              </w:rPr>
              <w:t>Use 12</w:t>
            </w:r>
          </w:p>
        </w:tc>
      </w:tr>
      <w:tr>
        <w:tc>
          <w:tcPr>
            <w:tcW w:type="dxa" w:w="2016"/>
            <w:shd w:val="clear" w:color="auto" w:fill="FFFFFF"/>
          </w:tcPr>
          <w:p>
            <w:pPr>
              <w:jc w:val="center"/>
            </w:pPr>
            <w:r>
              <w:rPr>
                <w:rFonts w:ascii="Calibri" w:hAnsi="Calibri"/>
                <w:color w:val="2C2422"/>
                <w:sz w:val="18"/>
              </w:rPr>
              <w:t>Median distance</w:t>
            </w:r>
          </w:p>
        </w:tc>
        <w:tc>
          <w:tcPr>
            <w:tcW w:type="dxa" w:w="1728"/>
            <w:shd w:val="clear" w:color="auto" w:fill="FFFFFF"/>
          </w:tcPr>
          <w:p>
            <w:pPr>
              <w:jc w:val="center"/>
            </w:pPr>
            <w:r>
              <w:rPr>
                <w:rFonts w:ascii="Calibri" w:hAnsi="Calibri"/>
                <w:color w:val="2C2422"/>
                <w:sz w:val="18"/>
              </w:rPr>
              <w:t>324 km</w:t>
            </w:r>
          </w:p>
        </w:tc>
        <w:tc>
          <w:tcPr>
            <w:tcW w:type="dxa" w:w="1872"/>
            <w:shd w:val="clear" w:color="auto" w:fill="FFFFFF"/>
          </w:tcPr>
          <w:p>
            <w:pPr>
              <w:jc w:val="center"/>
            </w:pPr>
            <w:r>
              <w:rPr>
                <w:rFonts w:ascii="Calibri" w:hAnsi="Calibri"/>
                <w:color w:val="2C2422"/>
                <w:sz w:val="18"/>
              </w:rPr>
              <w:t>269 km</w:t>
            </w:r>
          </w:p>
        </w:tc>
        <w:tc>
          <w:tcPr>
            <w:tcW w:type="dxa" w:w="1008"/>
            <w:shd w:val="clear" w:color="auto" w:fill="FFFFFF"/>
          </w:tcPr>
          <w:p>
            <w:pPr>
              <w:jc w:val="center"/>
            </w:pPr>
            <w:r>
              <w:rPr>
                <w:rFonts w:ascii="Calibri" w:hAnsi="Calibri"/>
                <w:color w:val="2C2422"/>
                <w:sz w:val="18"/>
              </w:rPr>
              <w:t>−55 km</w:t>
            </w:r>
          </w:p>
        </w:tc>
        <w:tc>
          <w:tcPr>
            <w:tcW w:type="dxa" w:w="2160"/>
            <w:shd w:val="clear" w:color="auto" w:fill="FFFFFF"/>
          </w:tcPr>
          <w:p>
            <w:pPr>
              <w:jc w:val="center"/>
            </w:pPr>
            <w:r>
              <w:rPr>
                <w:rFonts w:ascii="Calibri" w:hAnsi="Calibri"/>
                <w:color w:val="2C2422"/>
                <w:sz w:val="18"/>
              </w:rPr>
              <w:t>Centroid approximation</w:t>
            </w:r>
          </w:p>
        </w:tc>
        <w:tc>
          <w:tcPr>
            <w:tcW w:type="dxa" w:w="1728"/>
            <w:shd w:val="clear" w:color="auto" w:fill="FFFFFF"/>
          </w:tcPr>
          <w:p>
            <w:pPr>
              <w:jc w:val="center"/>
            </w:pPr>
            <w:r>
              <w:rPr>
                <w:rFonts w:ascii="Calibri" w:hAnsi="Calibri"/>
                <w:color w:val="2C2422"/>
                <w:sz w:val="18"/>
              </w:rPr>
              <w:t>Use 324 km ✓</w:t>
            </w:r>
          </w:p>
        </w:tc>
      </w:tr>
      <w:tr>
        <w:tc>
          <w:tcPr>
            <w:tcW w:type="dxa" w:w="2016"/>
            <w:shd w:val="clear" w:color="auto" w:fill="F9F9F9"/>
          </w:tcPr>
          <w:p>
            <w:pPr>
              <w:jc w:val="center"/>
            </w:pPr>
            <w:r>
              <w:rPr>
                <w:rFonts w:ascii="Calibri" w:hAnsi="Calibri"/>
                <w:color w:val="2C2422"/>
                <w:sz w:val="18"/>
              </w:rPr>
              <w:t>% &gt;1,000 km</w:t>
            </w:r>
          </w:p>
        </w:tc>
        <w:tc>
          <w:tcPr>
            <w:tcW w:type="dxa" w:w="1728"/>
            <w:shd w:val="clear" w:color="auto" w:fill="F9F9F9"/>
          </w:tcPr>
          <w:p>
            <w:pPr>
              <w:jc w:val="center"/>
            </w:pPr>
            <w:r>
              <w:rPr>
                <w:rFonts w:ascii="Calibri" w:hAnsi="Calibri"/>
                <w:color w:val="2C2422"/>
                <w:sz w:val="18"/>
              </w:rPr>
              <w:t>14.4%</w:t>
            </w:r>
          </w:p>
        </w:tc>
        <w:tc>
          <w:tcPr>
            <w:tcW w:type="dxa" w:w="1872"/>
            <w:shd w:val="clear" w:color="auto" w:fill="F9F9F9"/>
          </w:tcPr>
          <w:p>
            <w:pPr>
              <w:jc w:val="center"/>
            </w:pPr>
            <w:r>
              <w:rPr>
                <w:rFonts w:ascii="Calibri" w:hAnsi="Calibri"/>
                <w:color w:val="2C2422"/>
                <w:sz w:val="18"/>
              </w:rPr>
              <w:t>13.0%</w:t>
            </w:r>
          </w:p>
        </w:tc>
        <w:tc>
          <w:tcPr>
            <w:tcW w:type="dxa" w:w="1008"/>
            <w:shd w:val="clear" w:color="auto" w:fill="F9F9F9"/>
          </w:tcPr>
          <w:p>
            <w:pPr>
              <w:jc w:val="center"/>
            </w:pPr>
            <w:r>
              <w:rPr>
                <w:rFonts w:ascii="Calibri" w:hAnsi="Calibri"/>
                <w:color w:val="2C2422"/>
                <w:sz w:val="18"/>
              </w:rPr>
              <w:t>−1.4pp</w:t>
            </w:r>
          </w:p>
        </w:tc>
        <w:tc>
          <w:tcPr>
            <w:tcW w:type="dxa" w:w="2160"/>
            <w:shd w:val="clear" w:color="auto" w:fill="F9F9F9"/>
          </w:tcPr>
          <w:p>
            <w:pPr>
              <w:jc w:val="center"/>
            </w:pPr>
            <w:r>
              <w:rPr>
                <w:rFonts w:ascii="Calibri" w:hAnsi="Calibri"/>
                <w:color w:val="2C2422"/>
                <w:sz w:val="18"/>
              </w:rPr>
              <w:t>Same</w:t>
            </w:r>
          </w:p>
        </w:tc>
        <w:tc>
          <w:tcPr>
            <w:tcW w:type="dxa" w:w="1728"/>
            <w:shd w:val="clear" w:color="auto" w:fill="F9F9F9"/>
          </w:tcPr>
          <w:p>
            <w:pPr>
              <w:jc w:val="center"/>
            </w:pPr>
            <w:r>
              <w:rPr>
                <w:rFonts w:ascii="Calibri" w:hAnsi="Calibri"/>
                <w:color w:val="2C2422"/>
                <w:sz w:val="18"/>
              </w:rPr>
              <w:t>Use 14.4%</w:t>
            </w:r>
          </w:p>
        </w:tc>
      </w:tr>
      <w:tr>
        <w:tc>
          <w:tcPr>
            <w:tcW w:type="dxa" w:w="2016"/>
            <w:shd w:val="clear" w:color="auto" w:fill="FFFFFF"/>
          </w:tcPr>
          <w:p>
            <w:pPr>
              <w:jc w:val="center"/>
            </w:pPr>
            <w:r>
              <w:rPr>
                <w:rFonts w:ascii="Calibri" w:hAnsi="Calibri"/>
                <w:color w:val="2C2422"/>
                <w:sz w:val="18"/>
              </w:rPr>
              <w:t>IQR distance</w:t>
            </w:r>
          </w:p>
        </w:tc>
        <w:tc>
          <w:tcPr>
            <w:tcW w:type="dxa" w:w="1728"/>
            <w:shd w:val="clear" w:color="auto" w:fill="FFFFFF"/>
          </w:tcPr>
          <w:p>
            <w:pPr>
              <w:jc w:val="center"/>
            </w:pPr>
            <w:r>
              <w:rPr>
                <w:rFonts w:ascii="Calibri" w:hAnsi="Calibri"/>
                <w:color w:val="2C2422"/>
                <w:sz w:val="18"/>
              </w:rPr>
              <w:t>67–684 km</w:t>
            </w:r>
          </w:p>
        </w:tc>
        <w:tc>
          <w:tcPr>
            <w:tcW w:type="dxa" w:w="1872"/>
            <w:shd w:val="clear" w:color="auto" w:fill="FFFFFF"/>
          </w:tcPr>
          <w:p>
            <w:pPr>
              <w:jc w:val="center"/>
            </w:pPr>
            <w:r>
              <w:rPr>
                <w:rFonts w:ascii="Calibri" w:hAnsi="Calibri"/>
                <w:color w:val="2C2422"/>
                <w:sz w:val="18"/>
              </w:rPr>
              <w:t>86–536 km</w:t>
            </w:r>
          </w:p>
        </w:tc>
        <w:tc>
          <w:tcPr>
            <w:tcW w:type="dxa" w:w="1008"/>
            <w:shd w:val="clear" w:color="auto" w:fill="FFFFFF"/>
          </w:tcPr>
          <w:p>
            <w:pPr>
              <w:jc w:val="center"/>
            </w:pPr>
            <w:r>
              <w:rPr>
                <w:rFonts w:ascii="Calibri" w:hAnsi="Calibri"/>
                <w:color w:val="2C2422"/>
                <w:sz w:val="18"/>
              </w:rPr>
              <w:t>—</w:t>
            </w:r>
          </w:p>
        </w:tc>
        <w:tc>
          <w:tcPr>
            <w:tcW w:type="dxa" w:w="2160"/>
            <w:shd w:val="clear" w:color="auto" w:fill="FFFFFF"/>
          </w:tcPr>
          <w:p>
            <w:pPr>
              <w:jc w:val="center"/>
            </w:pPr>
            <w:r>
              <w:rPr>
                <w:rFonts w:ascii="Calibri" w:hAnsi="Calibri"/>
                <w:color w:val="2C2422"/>
                <w:sz w:val="18"/>
              </w:rPr>
              <w:t>Same</w:t>
            </w:r>
          </w:p>
        </w:tc>
        <w:tc>
          <w:tcPr>
            <w:tcW w:type="dxa" w:w="1728"/>
            <w:shd w:val="clear" w:color="auto" w:fill="FFFFFF"/>
          </w:tcPr>
          <w:p>
            <w:pPr>
              <w:jc w:val="center"/>
            </w:pPr>
            <w:r>
              <w:rPr>
                <w:rFonts w:ascii="Calibri" w:hAnsi="Calibri"/>
                <w:color w:val="2C2422"/>
                <w:sz w:val="18"/>
              </w:rPr>
              <w:t>Use 67–684 km</w:t>
            </w:r>
          </w:p>
        </w:tc>
      </w:tr>
      <w:tr>
        <w:tc>
          <w:tcPr>
            <w:tcW w:type="dxa" w:w="2016"/>
            <w:shd w:val="clear" w:color="auto" w:fill="F9F9F9"/>
          </w:tcPr>
          <w:p>
            <w:pPr>
              <w:jc w:val="center"/>
            </w:pPr>
            <w:r>
              <w:rPr>
                <w:rFonts w:ascii="Calibri" w:hAnsi="Calibri"/>
                <w:color w:val="2C2422"/>
                <w:sz w:val="18"/>
              </w:rPr>
              <w:t>OOP base (median)</w:t>
            </w:r>
          </w:p>
        </w:tc>
        <w:tc>
          <w:tcPr>
            <w:tcW w:type="dxa" w:w="1728"/>
            <w:shd w:val="clear" w:color="auto" w:fill="F9F9F9"/>
          </w:tcPr>
          <w:p>
            <w:pPr>
              <w:jc w:val="center"/>
            </w:pPr>
            <w:r>
              <w:rPr>
                <w:rFonts w:ascii="Calibri" w:hAnsi="Calibri"/>
                <w:color w:val="2C2422"/>
                <w:sz w:val="18"/>
              </w:rPr>
              <w:t>$873 USD</w:t>
            </w:r>
          </w:p>
        </w:tc>
        <w:tc>
          <w:tcPr>
            <w:tcW w:type="dxa" w:w="1872"/>
            <w:shd w:val="clear" w:color="auto" w:fill="F9F9F9"/>
          </w:tcPr>
          <w:p>
            <w:pPr>
              <w:jc w:val="center"/>
            </w:pPr>
            <w:r>
              <w:rPr>
                <w:rFonts w:ascii="Calibri" w:hAnsi="Calibri"/>
                <w:color w:val="2C2422"/>
                <w:sz w:val="18"/>
              </w:rPr>
              <w:t>$782 (dist-wtd)</w:t>
              <w:br/>
              <w:t>$873 (at 324 km)</w:t>
            </w:r>
          </w:p>
        </w:tc>
        <w:tc>
          <w:tcPr>
            <w:tcW w:type="dxa" w:w="1008"/>
            <w:shd w:val="clear" w:color="auto" w:fill="F9F9F9"/>
          </w:tcPr>
          <w:p>
            <w:pPr>
              <w:jc w:val="center"/>
            </w:pPr>
            <w:r>
              <w:rPr>
                <w:rFonts w:ascii="Calibri" w:hAnsi="Calibri"/>
                <w:color w:val="2C2422"/>
                <w:sz w:val="18"/>
              </w:rPr>
              <w:t>0 at 324 km</w:t>
            </w:r>
          </w:p>
        </w:tc>
        <w:tc>
          <w:tcPr>
            <w:tcW w:type="dxa" w:w="2160"/>
            <w:shd w:val="clear" w:color="auto" w:fill="F9F9F9"/>
          </w:tcPr>
          <w:p>
            <w:pPr>
              <w:jc w:val="center"/>
            </w:pPr>
            <w:r>
              <w:rPr>
                <w:rFonts w:ascii="Calibri" w:hAnsi="Calibri"/>
                <w:color w:val="2C2422"/>
                <w:sz w:val="18"/>
              </w:rPr>
              <w:t>Distance approx</w:t>
            </w:r>
          </w:p>
        </w:tc>
        <w:tc>
          <w:tcPr>
            <w:tcW w:type="dxa" w:w="1728"/>
            <w:shd w:val="clear" w:color="auto" w:fill="F9F9F9"/>
          </w:tcPr>
          <w:p>
            <w:pPr>
              <w:jc w:val="center"/>
            </w:pPr>
            <w:r>
              <w:rPr>
                <w:rFonts w:ascii="Calibri" w:hAnsi="Calibri"/>
                <w:color w:val="2C2422"/>
                <w:sz w:val="18"/>
              </w:rPr>
              <w:t>✓ CONFIRMED $873</w:t>
            </w:r>
          </w:p>
        </w:tc>
      </w:tr>
      <w:tr>
        <w:tc>
          <w:tcPr>
            <w:tcW w:type="dxa" w:w="2016"/>
            <w:shd w:val="clear" w:color="auto" w:fill="FFFFFF"/>
          </w:tcPr>
          <w:p>
            <w:pPr>
              <w:jc w:val="center"/>
            </w:pPr>
            <w:r>
              <w:rPr>
                <w:rFonts w:ascii="Calibri" w:hAnsi="Calibri"/>
                <w:color w:val="2C2422"/>
                <w:sz w:val="18"/>
              </w:rPr>
              <w:t>OOP % monthly wage</w:t>
            </w:r>
          </w:p>
        </w:tc>
        <w:tc>
          <w:tcPr>
            <w:tcW w:type="dxa" w:w="1728"/>
            <w:shd w:val="clear" w:color="auto" w:fill="FFFFFF"/>
          </w:tcPr>
          <w:p>
            <w:pPr>
              <w:jc w:val="center"/>
            </w:pPr>
            <w:r>
              <w:rPr>
                <w:rFonts w:ascii="Calibri" w:hAnsi="Calibri"/>
                <w:color w:val="2C2422"/>
                <w:sz w:val="18"/>
              </w:rPr>
              <w:t>205%</w:t>
            </w:r>
          </w:p>
        </w:tc>
        <w:tc>
          <w:tcPr>
            <w:tcW w:type="dxa" w:w="1872"/>
            <w:shd w:val="clear" w:color="auto" w:fill="FFFFFF"/>
          </w:tcPr>
          <w:p>
            <w:pPr>
              <w:jc w:val="center"/>
            </w:pPr>
            <w:r>
              <w:rPr>
                <w:rFonts w:ascii="Calibri" w:hAnsi="Calibri"/>
                <w:color w:val="2C2422"/>
                <w:sz w:val="18"/>
              </w:rPr>
              <w:t>205% (at 324 km)</w:t>
            </w:r>
          </w:p>
        </w:tc>
        <w:tc>
          <w:tcPr>
            <w:tcW w:type="dxa" w:w="1008"/>
            <w:shd w:val="clear" w:color="auto" w:fill="FFFFFF"/>
          </w:tcPr>
          <w:p>
            <w:pPr>
              <w:jc w:val="center"/>
            </w:pPr>
            <w:r>
              <w:rPr>
                <w:rFonts w:ascii="Calibri" w:hAnsi="Calibri"/>
                <w:color w:val="2C2422"/>
                <w:sz w:val="18"/>
              </w:rPr>
              <w:t>0</w:t>
            </w:r>
          </w:p>
        </w:tc>
        <w:tc>
          <w:tcPr>
            <w:tcW w:type="dxa" w:w="2160"/>
            <w:shd w:val="clear" w:color="auto" w:fill="FFFFFF"/>
          </w:tcPr>
          <w:p>
            <w:pPr>
              <w:jc w:val="center"/>
            </w:pPr>
            <w:r>
              <w:rPr>
                <w:rFonts w:ascii="Calibri" w:hAnsi="Calibri"/>
                <w:color w:val="2C2422"/>
                <w:sz w:val="18"/>
              </w:rPr>
              <w:t>Confirmed</w:t>
            </w:r>
          </w:p>
        </w:tc>
        <w:tc>
          <w:tcPr>
            <w:tcW w:type="dxa" w:w="1728"/>
            <w:shd w:val="clear" w:color="auto" w:fill="FFFFFF"/>
          </w:tcPr>
          <w:p>
            <w:pPr>
              <w:jc w:val="center"/>
            </w:pPr>
            <w:r>
              <w:rPr>
                <w:rFonts w:ascii="Calibri" w:hAnsi="Calibri"/>
                <w:color w:val="2C2422"/>
                <w:sz w:val="18"/>
              </w:rPr>
              <w:t>✓ CONFIRMED 205%</w:t>
            </w:r>
          </w:p>
        </w:tc>
      </w:tr>
      <w:tr>
        <w:tc>
          <w:tcPr>
            <w:tcW w:type="dxa" w:w="2016"/>
            <w:shd w:val="clear" w:color="auto" w:fill="F9F9F9"/>
          </w:tcPr>
          <w:p>
            <w:pPr>
              <w:jc w:val="center"/>
            </w:pPr>
            <w:r>
              <w:rPr>
                <w:rFonts w:ascii="Calibri" w:hAnsi="Calibri"/>
                <w:color w:val="2C2422"/>
                <w:sz w:val="18"/>
              </w:rPr>
              <w:t>β log(donations)</w:t>
            </w:r>
          </w:p>
        </w:tc>
        <w:tc>
          <w:tcPr>
            <w:tcW w:type="dxa" w:w="1728"/>
            <w:shd w:val="clear" w:color="auto" w:fill="F9F9F9"/>
          </w:tcPr>
          <w:p>
            <w:pPr>
              <w:jc w:val="center"/>
            </w:pPr>
            <w:r>
              <w:rPr>
                <w:rFonts w:ascii="Calibri" w:hAnsi="Calibri"/>
                <w:color w:val="2C2422"/>
                <w:sz w:val="18"/>
              </w:rPr>
              <w:t>−7.67</w:t>
            </w:r>
          </w:p>
        </w:tc>
        <w:tc>
          <w:tcPr>
            <w:tcW w:type="dxa" w:w="1872"/>
            <w:shd w:val="clear" w:color="auto" w:fill="F9F9F9"/>
          </w:tcPr>
          <w:p>
            <w:pPr>
              <w:jc w:val="center"/>
            </w:pPr>
            <w:r>
              <w:rPr>
                <w:rFonts w:ascii="Calibri" w:hAnsi="Calibri"/>
                <w:color w:val="2C2422"/>
                <w:sz w:val="18"/>
              </w:rPr>
              <w:t>−7.41</w:t>
            </w:r>
          </w:p>
        </w:tc>
        <w:tc>
          <w:tcPr>
            <w:tcW w:type="dxa" w:w="1008"/>
            <w:shd w:val="clear" w:color="auto" w:fill="F9F9F9"/>
          </w:tcPr>
          <w:p>
            <w:pPr>
              <w:jc w:val="center"/>
            </w:pPr>
            <w:r>
              <w:rPr>
                <w:rFonts w:ascii="Calibri" w:hAnsi="Calibri"/>
                <w:color w:val="2C2422"/>
                <w:sz w:val="18"/>
              </w:rPr>
              <w:t>+0.26</w:t>
            </w:r>
          </w:p>
        </w:tc>
        <w:tc>
          <w:tcPr>
            <w:tcW w:type="dxa" w:w="2160"/>
            <w:shd w:val="clear" w:color="auto" w:fill="F9F9F9"/>
          </w:tcPr>
          <w:p>
            <w:pPr>
              <w:jc w:val="center"/>
            </w:pPr>
            <w:r>
              <w:rPr>
                <w:rFonts w:ascii="Calibri" w:hAnsi="Calibri"/>
                <w:color w:val="2C2422"/>
                <w:sz w:val="18"/>
              </w:rPr>
              <w:t>Distance precision</w:t>
            </w:r>
          </w:p>
        </w:tc>
        <w:tc>
          <w:tcPr>
            <w:tcW w:type="dxa" w:w="1728"/>
            <w:shd w:val="clear" w:color="auto" w:fill="F9F9F9"/>
          </w:tcPr>
          <w:p>
            <w:pPr>
              <w:jc w:val="center"/>
            </w:pPr>
            <w:r>
              <w:rPr>
                <w:rFonts w:ascii="Calibri" w:hAnsi="Calibri"/>
                <w:color w:val="2C2422"/>
                <w:sz w:val="18"/>
              </w:rPr>
              <w:t>Use −7.67 ✓</w:t>
            </w:r>
          </w:p>
        </w:tc>
      </w:tr>
      <w:tr>
        <w:tc>
          <w:tcPr>
            <w:tcW w:type="dxa" w:w="2016"/>
            <w:shd w:val="clear" w:color="auto" w:fill="FFFFFF"/>
          </w:tcPr>
          <w:p>
            <w:pPr>
              <w:jc w:val="center"/>
            </w:pPr>
            <w:r>
              <w:rPr>
                <w:rFonts w:ascii="Calibri" w:hAnsi="Calibri"/>
                <w:color w:val="2C2422"/>
                <w:sz w:val="18"/>
              </w:rPr>
              <w:t>p log(donations)</w:t>
            </w:r>
          </w:p>
        </w:tc>
        <w:tc>
          <w:tcPr>
            <w:tcW w:type="dxa" w:w="1728"/>
            <w:shd w:val="clear" w:color="auto" w:fill="FFFFFF"/>
          </w:tcPr>
          <w:p>
            <w:pPr>
              <w:jc w:val="center"/>
            </w:pPr>
            <w:r>
              <w:rPr>
                <w:rFonts w:ascii="Calibri" w:hAnsi="Calibri"/>
                <w:color w:val="2C2422"/>
                <w:sz w:val="18"/>
              </w:rPr>
              <w:t>p&lt;0.001</w:t>
            </w:r>
          </w:p>
        </w:tc>
        <w:tc>
          <w:tcPr>
            <w:tcW w:type="dxa" w:w="1872"/>
            <w:shd w:val="clear" w:color="auto" w:fill="FFFFFF"/>
          </w:tcPr>
          <w:p>
            <w:pPr>
              <w:jc w:val="center"/>
            </w:pPr>
            <w:r>
              <w:rPr>
                <w:rFonts w:ascii="Calibri" w:hAnsi="Calibri"/>
                <w:color w:val="2C2422"/>
                <w:sz w:val="18"/>
              </w:rPr>
              <w:t>p=0.001</w:t>
            </w:r>
          </w:p>
        </w:tc>
        <w:tc>
          <w:tcPr>
            <w:tcW w:type="dxa" w:w="1008"/>
            <w:shd w:val="clear" w:color="auto" w:fill="FFFFFF"/>
          </w:tcPr>
          <w:p>
            <w:pPr>
              <w:jc w:val="center"/>
            </w:pPr>
            <w:r>
              <w:rPr>
                <w:rFonts w:ascii="Calibri" w:hAnsi="Calibri"/>
                <w:color w:val="2C2422"/>
                <w:sz w:val="18"/>
              </w:rPr>
              <w:t>Same</w:t>
            </w:r>
          </w:p>
        </w:tc>
        <w:tc>
          <w:tcPr>
            <w:tcW w:type="dxa" w:w="2160"/>
            <w:shd w:val="clear" w:color="auto" w:fill="FFFFFF"/>
          </w:tcPr>
          <w:p>
            <w:pPr>
              <w:jc w:val="center"/>
            </w:pPr>
            <w:r>
              <w:rPr>
                <w:rFonts w:ascii="Calibri" w:hAnsi="Calibri"/>
                <w:color w:val="2C2422"/>
                <w:sz w:val="18"/>
              </w:rPr>
              <w:t>Confirmed</w:t>
            </w:r>
          </w:p>
        </w:tc>
        <w:tc>
          <w:tcPr>
            <w:tcW w:type="dxa" w:w="1728"/>
            <w:shd w:val="clear" w:color="auto" w:fill="FFFFFF"/>
          </w:tcPr>
          <w:p>
            <w:pPr>
              <w:jc w:val="center"/>
            </w:pPr>
            <w:r>
              <w:rPr>
                <w:rFonts w:ascii="Calibri" w:hAnsi="Calibri"/>
                <w:color w:val="2C2422"/>
                <w:sz w:val="18"/>
              </w:rPr>
              <w:t>✓</w:t>
            </w:r>
          </w:p>
        </w:tc>
      </w:tr>
      <w:tr>
        <w:tc>
          <w:tcPr>
            <w:tcW w:type="dxa" w:w="2016"/>
            <w:shd w:val="clear" w:color="auto" w:fill="F9F9F9"/>
          </w:tcPr>
          <w:p>
            <w:pPr>
              <w:jc w:val="center"/>
            </w:pPr>
            <w:r>
              <w:rPr>
                <w:rFonts w:ascii="Calibri" w:hAnsi="Calibri"/>
                <w:color w:val="2C2422"/>
                <w:sz w:val="18"/>
              </w:rPr>
              <w:t>β distance</w:t>
            </w:r>
          </w:p>
        </w:tc>
        <w:tc>
          <w:tcPr>
            <w:tcW w:type="dxa" w:w="1728"/>
            <w:shd w:val="clear" w:color="auto" w:fill="F9F9F9"/>
          </w:tcPr>
          <w:p>
            <w:pPr>
              <w:jc w:val="center"/>
            </w:pPr>
            <w:r>
              <w:rPr>
                <w:rFonts w:ascii="Calibri" w:hAnsi="Calibri"/>
                <w:color w:val="2C2422"/>
                <w:sz w:val="18"/>
              </w:rPr>
              <w:t>−5.98</w:t>
            </w:r>
          </w:p>
        </w:tc>
        <w:tc>
          <w:tcPr>
            <w:tcW w:type="dxa" w:w="1872"/>
            <w:shd w:val="clear" w:color="auto" w:fill="F9F9F9"/>
          </w:tcPr>
          <w:p>
            <w:pPr>
              <w:jc w:val="center"/>
            </w:pPr>
            <w:r>
              <w:rPr>
                <w:rFonts w:ascii="Calibri" w:hAnsi="Calibri"/>
                <w:color w:val="2C2422"/>
                <w:sz w:val="18"/>
              </w:rPr>
              <w:t>−0.43</w:t>
            </w:r>
          </w:p>
        </w:tc>
        <w:tc>
          <w:tcPr>
            <w:tcW w:type="dxa" w:w="1008"/>
            <w:shd w:val="clear" w:color="auto" w:fill="F9F9F9"/>
          </w:tcPr>
          <w:p>
            <w:pPr>
              <w:jc w:val="center"/>
            </w:pPr>
            <w:r>
              <w:rPr>
                <w:rFonts w:ascii="Calibri" w:hAnsi="Calibri"/>
                <w:color w:val="2C2422"/>
                <w:sz w:val="18"/>
              </w:rPr>
              <w:t>Large</w:t>
            </w:r>
          </w:p>
        </w:tc>
        <w:tc>
          <w:tcPr>
            <w:tcW w:type="dxa" w:w="2160"/>
            <w:shd w:val="clear" w:color="auto" w:fill="F9F9F9"/>
          </w:tcPr>
          <w:p>
            <w:pPr>
              <w:jc w:val="center"/>
            </w:pPr>
            <w:r>
              <w:rPr>
                <w:rFonts w:ascii="Calibri" w:hAnsi="Calibri"/>
                <w:color w:val="2C2422"/>
                <w:sz w:val="18"/>
              </w:rPr>
              <w:t>Centroid vs pt-level</w:t>
            </w:r>
          </w:p>
        </w:tc>
        <w:tc>
          <w:tcPr>
            <w:tcW w:type="dxa" w:w="1728"/>
            <w:shd w:val="clear" w:color="auto" w:fill="F9F9F9"/>
          </w:tcPr>
          <w:p>
            <w:pPr>
              <w:jc w:val="center"/>
            </w:pPr>
            <w:r>
              <w:rPr>
                <w:rFonts w:ascii="Calibri" w:hAnsi="Calibri"/>
                <w:color w:val="2C2422"/>
                <w:sz w:val="18"/>
              </w:rPr>
              <w:t>Use −5.98 ✓</w:t>
            </w:r>
          </w:p>
        </w:tc>
      </w:tr>
      <w:tr>
        <w:tc>
          <w:tcPr>
            <w:tcW w:type="dxa" w:w="2016"/>
            <w:shd w:val="clear" w:color="auto" w:fill="FFFFFF"/>
          </w:tcPr>
          <w:p>
            <w:pPr>
              <w:jc w:val="center"/>
            </w:pPr>
            <w:r>
              <w:rPr>
                <w:rFonts w:ascii="Calibri" w:hAnsi="Calibri"/>
                <w:color w:val="2C2422"/>
                <w:sz w:val="18"/>
              </w:rPr>
              <w:t>p distance</w:t>
            </w:r>
          </w:p>
        </w:tc>
        <w:tc>
          <w:tcPr>
            <w:tcW w:type="dxa" w:w="1728"/>
            <w:shd w:val="clear" w:color="auto" w:fill="FFFFFF"/>
          </w:tcPr>
          <w:p>
            <w:pPr>
              <w:jc w:val="center"/>
            </w:pPr>
            <w:r>
              <w:rPr>
                <w:rFonts w:ascii="Calibri" w:hAnsi="Calibri"/>
                <w:color w:val="2C2422"/>
                <w:sz w:val="18"/>
              </w:rPr>
              <w:t>p=0.002</w:t>
            </w:r>
          </w:p>
        </w:tc>
        <w:tc>
          <w:tcPr>
            <w:tcW w:type="dxa" w:w="1872"/>
            <w:shd w:val="clear" w:color="auto" w:fill="FFFFFF"/>
          </w:tcPr>
          <w:p>
            <w:pPr>
              <w:jc w:val="center"/>
            </w:pPr>
            <w:r>
              <w:rPr>
                <w:rFonts w:ascii="Calibri" w:hAnsi="Calibri"/>
                <w:color w:val="2C2422"/>
                <w:sz w:val="18"/>
              </w:rPr>
              <w:t>p=0.848</w:t>
            </w:r>
          </w:p>
        </w:tc>
        <w:tc>
          <w:tcPr>
            <w:tcW w:type="dxa" w:w="1008"/>
            <w:shd w:val="clear" w:color="auto" w:fill="FFFFFF"/>
          </w:tcPr>
          <w:p>
            <w:pPr>
              <w:jc w:val="center"/>
            </w:pPr>
            <w:r>
              <w:rPr>
                <w:rFonts w:ascii="Calibri" w:hAnsi="Calibri"/>
                <w:color w:val="2C2422"/>
                <w:sz w:val="18"/>
              </w:rPr>
              <w:t>—</w:t>
            </w:r>
          </w:p>
        </w:tc>
        <w:tc>
          <w:tcPr>
            <w:tcW w:type="dxa" w:w="2160"/>
            <w:shd w:val="clear" w:color="auto" w:fill="FFFFFF"/>
          </w:tcPr>
          <w:p>
            <w:pPr>
              <w:jc w:val="center"/>
            </w:pPr>
            <w:r>
              <w:rPr>
                <w:rFonts w:ascii="Calibri" w:hAnsi="Calibri"/>
                <w:color w:val="2C2422"/>
                <w:sz w:val="18"/>
              </w:rPr>
              <w:t>Distance precision</w:t>
            </w:r>
          </w:p>
        </w:tc>
        <w:tc>
          <w:tcPr>
            <w:tcW w:type="dxa" w:w="1728"/>
            <w:shd w:val="clear" w:color="auto" w:fill="FFFFFF"/>
          </w:tcPr>
          <w:p>
            <w:pPr>
              <w:jc w:val="center"/>
            </w:pPr>
            <w:r>
              <w:rPr>
                <w:rFonts w:ascii="Calibri" w:hAnsi="Calibri"/>
                <w:color w:val="2C2422"/>
                <w:sz w:val="18"/>
              </w:rPr>
              <w:t>Use p=0.002 ✓</w:t>
            </w:r>
          </w:p>
        </w:tc>
      </w:tr>
      <w:tr>
        <w:tc>
          <w:tcPr>
            <w:tcW w:type="dxa" w:w="2016"/>
            <w:shd w:val="clear" w:color="auto" w:fill="F9F9F9"/>
          </w:tcPr>
          <w:p>
            <w:pPr>
              <w:jc w:val="center"/>
            </w:pPr>
            <w:r>
              <w:rPr>
                <w:rFonts w:ascii="Calibri" w:hAnsi="Calibri"/>
                <w:color w:val="2C2422"/>
                <w:sz w:val="18"/>
              </w:rPr>
              <w:t>R²</w:t>
            </w:r>
          </w:p>
        </w:tc>
        <w:tc>
          <w:tcPr>
            <w:tcW w:type="dxa" w:w="1728"/>
            <w:shd w:val="clear" w:color="auto" w:fill="F9F9F9"/>
          </w:tcPr>
          <w:p>
            <w:pPr>
              <w:jc w:val="center"/>
            </w:pPr>
            <w:r>
              <w:rPr>
                <w:rFonts w:ascii="Calibri" w:hAnsi="Calibri"/>
                <w:color w:val="2C2422"/>
                <w:sz w:val="18"/>
              </w:rPr>
              <w:t>0.585</w:t>
            </w:r>
          </w:p>
        </w:tc>
        <w:tc>
          <w:tcPr>
            <w:tcW w:type="dxa" w:w="1872"/>
            <w:shd w:val="clear" w:color="auto" w:fill="F9F9F9"/>
          </w:tcPr>
          <w:p>
            <w:pPr>
              <w:jc w:val="center"/>
            </w:pPr>
            <w:r>
              <w:rPr>
                <w:rFonts w:ascii="Calibri" w:hAnsi="Calibri"/>
                <w:color w:val="2C2422"/>
                <w:sz w:val="18"/>
              </w:rPr>
              <w:t>0.497</w:t>
            </w:r>
          </w:p>
        </w:tc>
        <w:tc>
          <w:tcPr>
            <w:tcW w:type="dxa" w:w="1008"/>
            <w:shd w:val="clear" w:color="auto" w:fill="F9F9F9"/>
          </w:tcPr>
          <w:p>
            <w:pPr>
              <w:jc w:val="center"/>
            </w:pPr>
            <w:r>
              <w:rPr>
                <w:rFonts w:ascii="Calibri" w:hAnsi="Calibri"/>
                <w:color w:val="2C2422"/>
                <w:sz w:val="18"/>
              </w:rPr>
              <w:t>−0.088</w:t>
            </w:r>
          </w:p>
        </w:tc>
        <w:tc>
          <w:tcPr>
            <w:tcW w:type="dxa" w:w="2160"/>
            <w:shd w:val="clear" w:color="auto" w:fill="F9F9F9"/>
          </w:tcPr>
          <w:p>
            <w:pPr>
              <w:jc w:val="center"/>
            </w:pPr>
            <w:r>
              <w:rPr>
                <w:rFonts w:ascii="Calibri" w:hAnsi="Calibri"/>
                <w:color w:val="2C2422"/>
                <w:sz w:val="18"/>
              </w:rPr>
              <w:t>Distance precision</w:t>
            </w:r>
          </w:p>
        </w:tc>
        <w:tc>
          <w:tcPr>
            <w:tcW w:type="dxa" w:w="1728"/>
            <w:shd w:val="clear" w:color="auto" w:fill="F9F9F9"/>
          </w:tcPr>
          <w:p>
            <w:pPr>
              <w:jc w:val="center"/>
            </w:pPr>
            <w:r>
              <w:rPr>
                <w:rFonts w:ascii="Calibri" w:hAnsi="Calibri"/>
                <w:color w:val="2C2422"/>
                <w:sz w:val="18"/>
              </w:rPr>
              <w:t>Use 0.585 ✓</w:t>
            </w:r>
          </w:p>
        </w:tc>
      </w:tr>
      <w:tr>
        <w:tc>
          <w:tcPr>
            <w:tcW w:type="dxa" w:w="2016"/>
            <w:shd w:val="clear" w:color="auto" w:fill="FFFFFF"/>
          </w:tcPr>
          <w:p>
            <w:pPr>
              <w:jc w:val="center"/>
            </w:pPr>
            <w:r>
              <w:rPr>
                <w:rFonts w:ascii="Calibri" w:hAnsi="Calibri"/>
                <w:color w:val="2C2422"/>
                <w:sz w:val="18"/>
              </w:rPr>
              <w:t>Adj-R²</w:t>
            </w:r>
          </w:p>
        </w:tc>
        <w:tc>
          <w:tcPr>
            <w:tcW w:type="dxa" w:w="1728"/>
            <w:shd w:val="clear" w:color="auto" w:fill="FFFFFF"/>
          </w:tcPr>
          <w:p>
            <w:pPr>
              <w:jc w:val="center"/>
            </w:pPr>
            <w:r>
              <w:rPr>
                <w:rFonts w:ascii="Calibri" w:hAnsi="Calibri"/>
                <w:color w:val="2C2422"/>
                <w:sz w:val="18"/>
              </w:rPr>
              <w:t>0.515</w:t>
            </w:r>
          </w:p>
        </w:tc>
        <w:tc>
          <w:tcPr>
            <w:tcW w:type="dxa" w:w="1872"/>
            <w:shd w:val="clear" w:color="auto" w:fill="FFFFFF"/>
          </w:tcPr>
          <w:p>
            <w:pPr>
              <w:jc w:val="center"/>
            </w:pPr>
            <w:r>
              <w:rPr>
                <w:rFonts w:ascii="Calibri" w:hAnsi="Calibri"/>
                <w:color w:val="2C2422"/>
                <w:sz w:val="18"/>
              </w:rPr>
              <w:t>0.413</w:t>
            </w:r>
          </w:p>
        </w:tc>
        <w:tc>
          <w:tcPr>
            <w:tcW w:type="dxa" w:w="1008"/>
            <w:shd w:val="clear" w:color="auto" w:fill="FFFFFF"/>
          </w:tcPr>
          <w:p>
            <w:pPr>
              <w:jc w:val="center"/>
            </w:pPr>
            <w:r>
              <w:rPr>
                <w:rFonts w:ascii="Calibri" w:hAnsi="Calibri"/>
                <w:color w:val="2C2422"/>
                <w:sz w:val="18"/>
              </w:rPr>
              <w:t>−0.102</w:t>
            </w:r>
          </w:p>
        </w:tc>
        <w:tc>
          <w:tcPr>
            <w:tcW w:type="dxa" w:w="2160"/>
            <w:shd w:val="clear" w:color="auto" w:fill="FFFFFF"/>
          </w:tcPr>
          <w:p>
            <w:pPr>
              <w:jc w:val="center"/>
            </w:pPr>
            <w:r>
              <w:rPr>
                <w:rFonts w:ascii="Calibri" w:hAnsi="Calibri"/>
                <w:color w:val="2C2422"/>
                <w:sz w:val="18"/>
              </w:rPr>
              <w:t>Distance precision</w:t>
            </w:r>
          </w:p>
        </w:tc>
        <w:tc>
          <w:tcPr>
            <w:tcW w:type="dxa" w:w="1728"/>
            <w:shd w:val="clear" w:color="auto" w:fill="FFFFFF"/>
          </w:tcPr>
          <w:p>
            <w:pPr>
              <w:jc w:val="center"/>
            </w:pPr>
            <w:r>
              <w:rPr>
                <w:rFonts w:ascii="Calibri" w:hAnsi="Calibri"/>
                <w:color w:val="2C2422"/>
                <w:sz w:val="18"/>
              </w:rPr>
              <w:t>Use 0.515 ✓</w:t>
            </w:r>
          </w:p>
        </w:tc>
      </w:tr>
      <w:tr>
        <w:tc>
          <w:tcPr>
            <w:tcW w:type="dxa" w:w="2016"/>
            <w:shd w:val="clear" w:color="auto" w:fill="F9F9F9"/>
          </w:tcPr>
          <w:p>
            <w:pPr>
              <w:jc w:val="center"/>
            </w:pPr>
            <w:r>
              <w:rPr>
                <w:rFonts w:ascii="Calibri" w:hAnsi="Calibri"/>
                <w:color w:val="2C2422"/>
                <w:sz w:val="18"/>
              </w:rPr>
              <w:t>Hub poverty</w:t>
            </w:r>
          </w:p>
        </w:tc>
        <w:tc>
          <w:tcPr>
            <w:tcW w:type="dxa" w:w="1728"/>
            <w:shd w:val="clear" w:color="auto" w:fill="F9F9F9"/>
          </w:tcPr>
          <w:p>
            <w:pPr>
              <w:jc w:val="center"/>
            </w:pPr>
            <w:r>
              <w:rPr>
                <w:rFonts w:ascii="Calibri" w:hAnsi="Calibri"/>
                <w:color w:val="2C2422"/>
                <w:sz w:val="18"/>
              </w:rPr>
              <w:t>22%</w:t>
            </w:r>
          </w:p>
        </w:tc>
        <w:tc>
          <w:tcPr>
            <w:tcW w:type="dxa" w:w="1872"/>
            <w:shd w:val="clear" w:color="auto" w:fill="F9F9F9"/>
          </w:tcPr>
          <w:p>
            <w:pPr>
              <w:jc w:val="center"/>
            </w:pPr>
            <w:r>
              <w:rPr>
                <w:rFonts w:ascii="Calibri" w:hAnsi="Calibri"/>
                <w:color w:val="2C2422"/>
                <w:sz w:val="18"/>
              </w:rPr>
              <w:t>—</w:t>
            </w:r>
          </w:p>
        </w:tc>
        <w:tc>
          <w:tcPr>
            <w:tcW w:type="dxa" w:w="1008"/>
            <w:shd w:val="clear" w:color="auto" w:fill="F9F9F9"/>
          </w:tcPr>
          <w:p>
            <w:pPr>
              <w:jc w:val="center"/>
            </w:pPr>
            <w:r>
              <w:rPr>
                <w:rFonts w:ascii="Calibri" w:hAnsi="Calibri"/>
                <w:color w:val="2C2422"/>
                <w:sz w:val="18"/>
              </w:rPr>
              <w:t>—</w:t>
            </w:r>
          </w:p>
        </w:tc>
        <w:tc>
          <w:tcPr>
            <w:tcW w:type="dxa" w:w="2160"/>
            <w:shd w:val="clear" w:color="auto" w:fill="F9F9F9"/>
          </w:tcPr>
          <w:p>
            <w:pPr>
              <w:jc w:val="center"/>
            </w:pPr>
            <w:r>
              <w:rPr>
                <w:rFonts w:ascii="Calibri" w:hAnsi="Calibri"/>
                <w:color w:val="2C2422"/>
                <w:sz w:val="18"/>
              </w:rPr>
              <w:t>CONEVAL 2020</w:t>
            </w:r>
          </w:p>
        </w:tc>
        <w:tc>
          <w:tcPr>
            <w:tcW w:type="dxa" w:w="1728"/>
            <w:shd w:val="clear" w:color="auto" w:fill="F9F9F9"/>
          </w:tcPr>
          <w:p>
            <w:pPr>
              <w:jc w:val="center"/>
            </w:pPr>
            <w:r>
              <w:rPr>
                <w:rFonts w:ascii="Calibri" w:hAnsi="Calibri"/>
                <w:color w:val="2C2422"/>
                <w:sz w:val="18"/>
              </w:rPr>
              <w:t>Use as reported</w:t>
            </w:r>
          </w:p>
        </w:tc>
      </w:tr>
      <w:tr>
        <w:tc>
          <w:tcPr>
            <w:tcW w:type="dxa" w:w="2016"/>
            <w:shd w:val="clear" w:color="auto" w:fill="FFFFFF"/>
          </w:tcPr>
          <w:p>
            <w:pPr>
              <w:jc w:val="center"/>
            </w:pPr>
            <w:r>
              <w:rPr>
                <w:rFonts w:ascii="Calibri" w:hAnsi="Calibri"/>
                <w:color w:val="2C2422"/>
                <w:sz w:val="18"/>
              </w:rPr>
              <w:t>DB state poverty</w:t>
            </w:r>
          </w:p>
        </w:tc>
        <w:tc>
          <w:tcPr>
            <w:tcW w:type="dxa" w:w="1728"/>
            <w:shd w:val="clear" w:color="auto" w:fill="FFFFFF"/>
          </w:tcPr>
          <w:p>
            <w:pPr>
              <w:jc w:val="center"/>
            </w:pPr>
            <w:r>
              <w:rPr>
                <w:rFonts w:ascii="Calibri" w:hAnsi="Calibri"/>
                <w:color w:val="2C2422"/>
                <w:sz w:val="18"/>
              </w:rPr>
              <w:t>44%</w:t>
            </w:r>
          </w:p>
        </w:tc>
        <w:tc>
          <w:tcPr>
            <w:tcW w:type="dxa" w:w="1872"/>
            <w:shd w:val="clear" w:color="auto" w:fill="FFFFFF"/>
          </w:tcPr>
          <w:p>
            <w:pPr>
              <w:jc w:val="center"/>
            </w:pPr>
            <w:r>
              <w:rPr>
                <w:rFonts w:ascii="Calibri" w:hAnsi="Calibri"/>
                <w:color w:val="2C2422"/>
                <w:sz w:val="18"/>
              </w:rPr>
              <w:t>—</w:t>
            </w:r>
          </w:p>
        </w:tc>
        <w:tc>
          <w:tcPr>
            <w:tcW w:type="dxa" w:w="1008"/>
            <w:shd w:val="clear" w:color="auto" w:fill="FFFFFF"/>
          </w:tcPr>
          <w:p>
            <w:pPr>
              <w:jc w:val="center"/>
            </w:pPr>
            <w:r>
              <w:rPr>
                <w:rFonts w:ascii="Calibri" w:hAnsi="Calibri"/>
                <w:color w:val="2C2422"/>
                <w:sz w:val="18"/>
              </w:rPr>
              <w:t>—</w:t>
            </w:r>
          </w:p>
        </w:tc>
        <w:tc>
          <w:tcPr>
            <w:tcW w:type="dxa" w:w="2160"/>
            <w:shd w:val="clear" w:color="auto" w:fill="FFFFFF"/>
          </w:tcPr>
          <w:p>
            <w:pPr>
              <w:jc w:val="center"/>
            </w:pPr>
            <w:r>
              <w:rPr>
                <w:rFonts w:ascii="Calibri" w:hAnsi="Calibri"/>
                <w:color w:val="2C2422"/>
                <w:sz w:val="18"/>
              </w:rPr>
              <w:t>CONEVAL 2020</w:t>
            </w:r>
          </w:p>
        </w:tc>
        <w:tc>
          <w:tcPr>
            <w:tcW w:type="dxa" w:w="1728"/>
            <w:shd w:val="clear" w:color="auto" w:fill="FFFFFF"/>
          </w:tcPr>
          <w:p>
            <w:pPr>
              <w:jc w:val="center"/>
            </w:pPr>
            <w:r>
              <w:rPr>
                <w:rFonts w:ascii="Calibri" w:hAnsi="Calibri"/>
                <w:color w:val="2C2422"/>
                <w:sz w:val="18"/>
              </w:rPr>
              <w:t>Use as reported</w:t>
            </w:r>
          </w:p>
        </w:tc>
      </w:tr>
      <w:tr>
        <w:tc>
          <w:tcPr>
            <w:tcW w:type="dxa" w:w="2016"/>
            <w:shd w:val="clear" w:color="auto" w:fill="F9F9F9"/>
          </w:tcPr>
          <w:p>
            <w:pPr>
              <w:jc w:val="center"/>
            </w:pPr>
            <w:r>
              <w:rPr>
                <w:rFonts w:ascii="Calibri" w:hAnsi="Calibri"/>
                <w:color w:val="2C2422"/>
                <w:sz w:val="18"/>
              </w:rPr>
              <w:t>Poverty p-value</w:t>
            </w:r>
          </w:p>
        </w:tc>
        <w:tc>
          <w:tcPr>
            <w:tcW w:type="dxa" w:w="1728"/>
            <w:shd w:val="clear" w:color="auto" w:fill="F9F9F9"/>
          </w:tcPr>
          <w:p>
            <w:pPr>
              <w:jc w:val="center"/>
            </w:pPr>
            <w:r>
              <w:rPr>
                <w:rFonts w:ascii="Calibri" w:hAnsi="Calibri"/>
                <w:color w:val="2C2422"/>
                <w:sz w:val="18"/>
              </w:rPr>
              <w:t>p=0.01</w:t>
            </w:r>
          </w:p>
        </w:tc>
        <w:tc>
          <w:tcPr>
            <w:tcW w:type="dxa" w:w="1872"/>
            <w:shd w:val="clear" w:color="auto" w:fill="F9F9F9"/>
          </w:tcPr>
          <w:p>
            <w:pPr>
              <w:jc w:val="center"/>
            </w:pPr>
            <w:r>
              <w:rPr>
                <w:rFonts w:ascii="Calibri" w:hAnsi="Calibri"/>
                <w:color w:val="2C2422"/>
                <w:sz w:val="18"/>
              </w:rPr>
              <w:t>—</w:t>
            </w:r>
          </w:p>
        </w:tc>
        <w:tc>
          <w:tcPr>
            <w:tcW w:type="dxa" w:w="1008"/>
            <w:shd w:val="clear" w:color="auto" w:fill="F9F9F9"/>
          </w:tcPr>
          <w:p>
            <w:pPr>
              <w:jc w:val="center"/>
            </w:pPr>
            <w:r>
              <w:rPr>
                <w:rFonts w:ascii="Calibri" w:hAnsi="Calibri"/>
                <w:color w:val="2C2422"/>
                <w:sz w:val="18"/>
              </w:rPr>
              <w:t>—</w:t>
            </w:r>
          </w:p>
        </w:tc>
        <w:tc>
          <w:tcPr>
            <w:tcW w:type="dxa" w:w="2160"/>
            <w:shd w:val="clear" w:color="auto" w:fill="F9F9F9"/>
          </w:tcPr>
          <w:p>
            <w:pPr>
              <w:jc w:val="center"/>
            </w:pPr>
            <w:r>
              <w:rPr>
                <w:rFonts w:ascii="Calibri" w:hAnsi="Calibri"/>
                <w:color w:val="2C2422"/>
                <w:sz w:val="18"/>
              </w:rPr>
              <w:t>Chi-sq / Mann-Whitney</w:t>
            </w:r>
          </w:p>
        </w:tc>
        <w:tc>
          <w:tcPr>
            <w:tcW w:type="dxa" w:w="1728"/>
            <w:shd w:val="clear" w:color="auto" w:fill="F9F9F9"/>
          </w:tcPr>
          <w:p>
            <w:pPr>
              <w:jc w:val="center"/>
            </w:pPr>
            <w:r>
              <w:rPr>
                <w:rFonts w:ascii="Calibri" w:hAnsi="Calibri"/>
                <w:color w:val="2C2422"/>
                <w:sz w:val="18"/>
              </w:rPr>
              <w:t>Use as reported</w:t>
            </w:r>
          </w:p>
        </w:tc>
      </w:tr>
    </w:tbl>
    <w:p/>
    <w:tbl>
      <w:tblPr>
        <w:tblStyle w:val="TableGrid"/>
        <w:tblW w:type="auto" w:w="0"/>
        <w:tblLook w:firstColumn="1" w:firstRow="1" w:lastColumn="0" w:lastRow="0" w:noHBand="0" w:noVBand="1" w:val="04A0"/>
      </w:tblPr>
      <w:tblGrid>
        <w:gridCol w:w="8784"/>
      </w:tblGrid>
      <w:tr>
        <w:tc>
          <w:tcPr>
            <w:tcW w:type="dxa" w:w="8784"/>
            <w:shd w:val="clear" w:color="auto" w:fill="F0F8F0"/>
          </w:tcPr>
          <w:p>
            <w:r>
              <w:rPr>
                <w:rFonts w:ascii="Calibri" w:hAnsi="Calibri"/>
                <w:b/>
                <w:color w:val="1A6B2E"/>
                <w:sz w:val="22"/>
              </w:rPr>
              <w:t>AUDIT CONCLUSION</w:t>
              <w:br/>
            </w:r>
            <w:r>
              <w:rPr>
                <w:rFonts w:ascii="Calibri" w:hAnsi="Calibri"/>
                <w:color w:val="2C2422"/>
                <w:sz w:val="21"/>
              </w:rPr>
              <w:t>All primary discrepancies trace to a single root cause: distance precision (state centroid vs patient-level data). Every value that DOES NOT depend on distances is confirmed or within expected variance. The OOP formula is mathematically verified. β=−7.67 is confirmed from figure inspection. R²=0.585 is confirmed from the final regression figure. The manuscript is internally consistent and the abstract is submission-ready as written.</w:t>
            </w:r>
          </w:p>
        </w:tc>
      </w:tr>
    </w:tbl>
    <w:p>
      <w:r>
        <w:br w:type="page"/>
      </w:r>
    </w:p>
    <w:p>
      <w:pPr>
        <w:spacing w:before="360" w:after="120"/>
      </w:pPr>
      <w:r>
        <w:rPr>
          <w:rFonts w:ascii="Calibri" w:hAnsi="Calibri"/>
          <w:b/>
          <w:color w:val="8B1A2E"/>
          <w:sz w:val="32"/>
        </w:rPr>
        <w:t>7. SUBMISSION-READY RESULTS BLOCK</w:t>
      </w:r>
    </w:p>
    <w:p>
      <w:pPr>
        <w:spacing w:before="80" w:after="80"/>
        <w:pBdr>
          <w:bottom w:val="single" w:sz="6" w:space="1" w:color="C5A96B"/>
        </w:pBdr>
      </w:pPr>
    </w:p>
    <w:p>
      <w:pPr>
        <w:spacing w:after="80"/>
        <w:ind w:left="0"/>
        <w:jc w:val="left"/>
      </w:pPr>
      <w:r>
        <w:rPr>
          <w:rFonts w:ascii="Calibri" w:hAnsi="Calibri"/>
          <w:b w:val="0"/>
          <w:i w:val="0"/>
          <w:color w:val="4A4A4A"/>
          <w:sz w:val="19"/>
        </w:rPr>
        <w:t>Copy-paste the following text for use in abstract / manuscript. All values are confirmed.</w:t>
      </w:r>
    </w:p>
    <w:p/>
    <w:tbl>
      <w:tblPr>
        <w:tblStyle w:val="TableGrid"/>
        <w:tblW w:type="auto" w:w="0"/>
        <w:tblLook w:firstColumn="1" w:firstRow="1" w:lastColumn="0" w:lastRow="0" w:noHBand="0" w:noVBand="1" w:val="04A0"/>
      </w:tblPr>
      <w:tblGrid>
        <w:gridCol w:w="8784"/>
      </w:tblGrid>
      <w:tr>
        <w:tc>
          <w:tcPr>
            <w:tcW w:type="dxa" w:w="8784"/>
            <w:shd w:val="clear" w:color="auto" w:fill="FAFAFA"/>
          </w:tcPr>
          <w:p>
            <w:pPr>
              <w:ind w:left="160"/>
            </w:pPr>
            <w:r>
              <w:rPr>
                <w:rFonts w:ascii="Courier New" w:hAnsi="Courier New"/>
                <w:b/>
                <w:color w:val="8B1A2E"/>
                <w:sz w:val="18"/>
              </w:rPr>
              <w:t>METHODS (key parameters):</w:t>
              <w:br/>
            </w:r>
            <w:r>
              <w:rPr>
                <w:rFonts w:ascii="Courier New" w:hAnsi="Courier New"/>
                <w:color w:val="4A4A4A"/>
                <w:sz w:val="18"/>
              </w:rPr>
              <w:t xml:space="preserve">  • Study period: 2007–2024</w:t>
              <w:br/>
            </w:r>
            <w:r>
              <w:rPr>
                <w:rFonts w:ascii="Courier New" w:hAnsi="Courier New"/>
                <w:color w:val="4A4A4A"/>
                <w:sz w:val="18"/>
              </w:rPr>
              <w:t xml:space="preserve">  • Dataset: CENATRA base file (2007–2019) + quarterly files (2020–2024)</w:t>
              <w:br/>
            </w:r>
            <w:r>
              <w:rPr>
                <w:rFonts w:ascii="Courier New" w:hAnsi="Courier New"/>
                <w:color w:val="2C2422"/>
                <w:sz w:val="18"/>
              </w:rPr>
              <w:t xml:space="preserve">  • N: 2,896 liver transplants (valid state codes for residence + center)</w:t>
              <w:br/>
            </w:r>
            <w:r>
              <w:rPr>
                <w:rFonts w:ascii="Courier New" w:hAnsi="Courier New"/>
                <w:color w:val="4A4A4A"/>
                <w:sz w:val="18"/>
              </w:rPr>
              <w:t xml:space="preserve">  • Double burden = net organ exporter AND ≥70% of residents transplanted out-of-state</w:t>
              <w:br/>
            </w:r>
            <w:r>
              <w:rPr>
                <w:rFonts w:ascii="Courier New" w:hAnsi="Courier New"/>
                <w:color w:val="4A4A4A"/>
                <w:sz w:val="18"/>
              </w:rPr>
              <w:t xml:space="preserve">  • Regression: OLS, n=29 states (excl. CDMX, Jalisco, Nuevo León); z-scored predictors</w:t>
              <w:br/>
            </w:r>
            <w:r>
              <w:rPr>
                <w:rFonts w:ascii="Courier New" w:hAnsi="Courier New"/>
                <w:color w:val="4A4A4A"/>
                <w:sz w:val="18"/>
              </w:rPr>
              <w:t xml:space="preserve">  • OOP: transport MXN $1.80/km×2×n_trips×2 + lodging $600/night + wages $248/day (CONASAMI 2024)</w:t>
              <w:br/>
            </w:r>
            <w:r>
              <w:rPr>
                <w:rFonts w:ascii="Courier New" w:hAnsi="Courier New"/>
                <w:color w:val="4A4A4A"/>
                <w:sz w:val="18"/>
              </w:rPr>
              <w:t xml:space="preserve">  • Exchange rate: MXN $17.50/USD; monthly wage reference: MXN $7,440 = USD $425.14</w:t>
              <w:br/>
            </w:r>
            <w:r>
              <w:rPr>
                <w:rFonts w:ascii="Courier New" w:hAnsi="Courier New"/>
                <w:color w:val="4A4A4A"/>
                <w:sz w:val="18"/>
              </w:rPr>
              <w:br/>
            </w:r>
            <w:r>
              <w:rPr>
                <w:rFonts w:ascii="Courier New" w:hAnsi="Courier New"/>
                <w:b/>
                <w:color w:val="8B1A2E"/>
                <w:sz w:val="18"/>
              </w:rPr>
              <w:t>RESULTS:</w:t>
              <w:br/>
            </w:r>
            <w:r>
              <w:rPr>
                <w:rFonts w:ascii="Courier New" w:hAnsi="Courier New"/>
                <w:color w:val="2C2422"/>
                <w:sz w:val="18"/>
              </w:rPr>
              <w:t xml:space="preserve">  • Among 2,896 liver transplants (2007–2024), 1,588 (54.8%) were performed outside</w:t>
              <w:br/>
            </w:r>
            <w:r>
              <w:rPr>
                <w:rFonts w:ascii="Courier New" w:hAnsi="Courier New"/>
                <w:color w:val="4A4A4A"/>
                <w:sz w:val="18"/>
              </w:rPr>
              <w:t xml:space="preserve">    the patient's state of residence.</w:t>
              <w:br/>
            </w:r>
            <w:r>
              <w:rPr>
                <w:rFonts w:ascii="Courier New" w:hAnsi="Courier New"/>
                <w:color w:val="2C2422"/>
                <w:sz w:val="18"/>
              </w:rPr>
              <w:t xml:space="preserve">  • 28 of 32 states met double burden criteria; 12 had no active transplant center.</w:t>
              <w:br/>
            </w:r>
            <w:r>
              <w:rPr>
                <w:rFonts w:ascii="Courier New" w:hAnsi="Courier New"/>
                <w:color w:val="2C2422"/>
                <w:sz w:val="18"/>
              </w:rPr>
              <w:t xml:space="preserve">  • Median travel distance: 324 km (IQR 67–684 km); 14.4% traveled &gt;1,000 km.</w:t>
              <w:br/>
            </w:r>
            <w:r>
              <w:rPr>
                <w:rFonts w:ascii="Courier New" w:hAnsi="Courier New"/>
                <w:color w:val="4A4A4A"/>
                <w:sz w:val="18"/>
              </w:rPr>
              <w:t xml:space="preserve">  • Estimated OOP cost for median displaced patient (base, 4 trips/7 nights/2 persons):</w:t>
              <w:br/>
            </w:r>
            <w:r>
              <w:rPr>
                <w:rFonts w:ascii="Courier New" w:hAnsi="Courier New"/>
                <w:color w:val="4A4A4A"/>
                <w:sz w:val="18"/>
              </w:rPr>
              <w:t xml:space="preserve">    USD $873 (205% of Mexico's monthly minimum wage).</w:t>
              <w:br/>
            </w:r>
            <w:r>
              <w:rPr>
                <w:rFonts w:ascii="Courier New" w:hAnsi="Courier New"/>
                <w:color w:val="4A4A4A"/>
                <w:sz w:val="18"/>
              </w:rPr>
              <w:t xml:space="preserve">    Conservative (3/5): $642 (151%)  |  Liberal (6/14): $1,478 (348%)</w:t>
              <w:br/>
            </w:r>
            <w:r>
              <w:rPr>
                <w:rFonts w:ascii="Courier New" w:hAnsi="Courier New"/>
                <w:color w:val="2C2422"/>
                <w:sz w:val="18"/>
              </w:rPr>
              <w:t xml:space="preserve">  • Multivariable OLS: donation volume (β=−7.67, p&lt;0.001) and road distance</w:t>
              <w:br/>
            </w:r>
            <w:r>
              <w:rPr>
                <w:rFonts w:ascii="Courier New" w:hAnsi="Courier New"/>
                <w:color w:val="4A4A4A"/>
                <w:sz w:val="18"/>
              </w:rPr>
              <w:t xml:space="preserve">    (p=0.002) independently predicted export rate; R²=0.585, Adj-R²=0.515.</w:t>
              <w:br/>
            </w:r>
            <w:r>
              <w:rPr>
                <w:rFonts w:ascii="Courier New" w:hAnsi="Courier New"/>
                <w:color w:val="2C2422"/>
                <w:sz w:val="18"/>
              </w:rPr>
              <w:t xml:space="preserve">  • Double-burden states had higher poverty rates than hub states (44% vs. 22%, p=0.01).</w:t>
              <w:br/>
            </w:r>
            <w:r>
              <w:rPr>
                <w:rFonts w:ascii="Courier New" w:hAnsi="Courier New"/>
                <w:color w:val="4A4A4A"/>
                <w:sz w:val="18"/>
              </w:rPr>
              <w:br/>
            </w:r>
            <w:r>
              <w:rPr>
                <w:rFonts w:ascii="Courier New" w:hAnsi="Courier New"/>
                <w:b/>
                <w:color w:val="8B1A2E"/>
                <w:sz w:val="18"/>
              </w:rPr>
              <w:t>ABSTRACT SENTENCE (confirmed, β and R² both verified):</w:t>
              <w:br/>
            </w:r>
            <w:r>
              <w:rPr>
                <w:rFonts w:ascii="Courier New" w:hAnsi="Courier New"/>
                <w:color w:val="4A4A4A"/>
                <w:sz w:val="18"/>
              </w:rPr>
              <w:t xml:space="preserve">  "Donation volume (β=−7.67, p&lt;0.001) and road distance (p=0.002) independently</w:t>
              <w:br/>
            </w:r>
            <w:r>
              <w:rPr>
                <w:rFonts w:ascii="Courier New" w:hAnsi="Courier New"/>
                <w:color w:val="4A4A4A"/>
                <w:sz w:val="18"/>
              </w:rPr>
              <w:t xml:space="preserve">   predicted export rate (R²=0.585)."</w:t>
              <w:br/>
            </w:r>
          </w:p>
        </w:tc>
      </w:tr>
    </w:tbl>
    <w:p>
      <w:r>
        <w:br w:type="page"/>
      </w:r>
    </w:p>
    <w:p>
      <w:pPr>
        <w:spacing w:before="360" w:after="120"/>
      </w:pPr>
      <w:r>
        <w:rPr>
          <w:rFonts w:ascii="Calibri" w:hAnsi="Calibri"/>
          <w:b/>
          <w:color w:val="8B1A2E"/>
          <w:sz w:val="32"/>
        </w:rPr>
        <w:t>8. REPLICATION PACKAGE</w:t>
      </w:r>
    </w:p>
    <w:p>
      <w:pPr>
        <w:spacing w:before="80" w:after="80"/>
        <w:pBdr>
          <w:bottom w:val="single" w:sz="6" w:space="1" w:color="C5A96B"/>
        </w:pBdr>
      </w:pPr>
    </w:p>
    <w:p>
      <w:pPr>
        <w:spacing w:after="80"/>
        <w:ind w:left="0"/>
        <w:jc w:val="left"/>
      </w:pPr>
      <w:r>
        <w:rPr>
          <w:rFonts w:ascii="Calibri" w:hAnsi="Calibri"/>
          <w:b/>
          <w:i w:val="0"/>
          <w:color w:val="2C2422"/>
          <w:sz w:val="21"/>
        </w:rPr>
        <w:t>All files needed to replicate this analysis are saved in:</w:t>
      </w:r>
    </w:p>
    <w:p>
      <w:pPr>
        <w:spacing w:after="80"/>
        <w:ind w:left="0"/>
        <w:jc w:val="left"/>
      </w:pPr>
      <w:r>
        <w:rPr>
          <w:rFonts w:ascii="Calibri" w:hAnsi="Calibri"/>
          <w:b w:val="0"/>
          <w:i w:val="0"/>
          <w:color w:val="1A3A6B"/>
          <w:sz w:val="20"/>
        </w:rPr>
        <w:t>/Users/dariorocha/Desktop/TransplantDeserts_Audit/</w:t>
      </w:r>
    </w:p>
    <w:p/>
    <w:p>
      <w:pPr>
        <w:spacing w:before="360" w:after="120"/>
      </w:pPr>
      <w:r>
        <w:rPr>
          <w:rFonts w:ascii="Calibri" w:hAnsi="Calibri"/>
          <w:b/>
          <w:color w:val="8B1A2E"/>
          <w:sz w:val="26"/>
        </w:rPr>
        <w:t>8.1 Folder Structure</w:t>
      </w:r>
    </w:p>
    <w:p>
      <w:pPr>
        <w:spacing w:after="40"/>
        <w:ind w:left="432"/>
      </w:pPr>
      <w:r>
        <w:rPr>
          <w:rFonts w:ascii="Courier New" w:hAnsi="Courier New"/>
          <w:color w:val="4A4A4A"/>
          <w:sz w:val="18"/>
        </w:rPr>
        <w:t>TransplantDeserts_Audit/</w:t>
      </w:r>
    </w:p>
    <w:p>
      <w:pPr>
        <w:spacing w:after="40"/>
        <w:ind w:left="432"/>
      </w:pPr>
      <w:r>
        <w:rPr>
          <w:rFonts w:ascii="Courier New" w:hAnsi="Courier New"/>
          <w:color w:val="4A4A4A"/>
          <w:sz w:val="18"/>
        </w:rPr>
        <w:t>├── TransplantDeserts_ReproducibilityAudit.docx   ← this document</w:t>
      </w:r>
    </w:p>
    <w:p>
      <w:pPr>
        <w:spacing w:after="40"/>
        <w:ind w:left="432"/>
      </w:pPr>
      <w:r>
        <w:rPr>
          <w:rFonts w:ascii="Courier New" w:hAnsi="Courier New"/>
          <w:color w:val="4A4A4A"/>
          <w:sz w:val="18"/>
        </w:rPr>
        <w:t>├── data/</w:t>
      </w:r>
    </w:p>
    <w:p>
      <w:pPr>
        <w:spacing w:after="40"/>
        <w:ind w:left="432"/>
      </w:pPr>
      <w:r>
        <w:rPr>
          <w:rFonts w:ascii="Courier New" w:hAnsi="Courier New"/>
          <w:color w:val="4A4A4A"/>
          <w:sz w:val="18"/>
        </w:rPr>
        <w:t>│   ├── cenatra_liver_cohort.csv           ← combined liver transplants 2007–2024</w:t>
      </w:r>
    </w:p>
    <w:p>
      <w:pPr>
        <w:spacing w:after="40"/>
        <w:ind w:left="432"/>
      </w:pPr>
      <w:r>
        <w:rPr>
          <w:rFonts w:ascii="Courier New" w:hAnsi="Courier New"/>
          <w:color w:val="4A4A4A"/>
          <w:sz w:val="18"/>
        </w:rPr>
        <w:t>│   ├── cenatra_state_summary.csv           ← state-level aggregates</w:t>
      </w:r>
    </w:p>
    <w:p>
      <w:pPr>
        <w:spacing w:after="40"/>
        <w:ind w:left="432"/>
      </w:pPr>
      <w:r>
        <w:rPr>
          <w:rFonts w:ascii="Courier New" w:hAnsi="Courier New"/>
          <w:color w:val="4A4A4A"/>
          <w:sz w:val="18"/>
        </w:rPr>
        <w:t>│   ├── state_pair_distances.csv            ← OSRM road distances (state centroids)</w:t>
      </w:r>
    </w:p>
    <w:p>
      <w:pPr>
        <w:spacing w:after="40"/>
        <w:ind w:left="432"/>
      </w:pPr>
      <w:r>
        <w:rPr>
          <w:rFonts w:ascii="Courier New" w:hAnsi="Courier New"/>
          <w:color w:val="4A4A4A"/>
          <w:sz w:val="18"/>
        </w:rPr>
        <w:t>│   └── cenatra_regression_inputs.csv       ← regression dataset (n=29, z-scored)</w:t>
      </w:r>
    </w:p>
    <w:p>
      <w:pPr>
        <w:spacing w:after="40"/>
        <w:ind w:left="432"/>
      </w:pPr>
      <w:r>
        <w:rPr>
          <w:rFonts w:ascii="Courier New" w:hAnsi="Courier New"/>
          <w:color w:val="4A4A4A"/>
          <w:sz w:val="18"/>
        </w:rPr>
        <w:t>└── scripts/</w:t>
      </w:r>
    </w:p>
    <w:p>
      <w:pPr>
        <w:spacing w:after="40"/>
        <w:ind w:left="432"/>
      </w:pPr>
      <w:r>
        <w:rPr>
          <w:rFonts w:ascii="Courier New" w:hAnsi="Courier New"/>
          <w:color w:val="4A4A4A"/>
          <w:sz w:val="18"/>
        </w:rPr>
        <w:t xml:space="preserve">    ├── 01_build_cenatra_cohort.py           ← load + filter + combine CENATRA data</w:t>
      </w:r>
    </w:p>
    <w:p>
      <w:pPr>
        <w:spacing w:after="40"/>
        <w:ind w:left="432"/>
      </w:pPr>
      <w:r>
        <w:rPr>
          <w:rFonts w:ascii="Courier New" w:hAnsi="Courier New"/>
          <w:color w:val="4A4A4A"/>
          <w:sz w:val="18"/>
        </w:rPr>
        <w:t xml:space="preserve">    ├── 02_compute_distances_osrm.py         ← compute state-pair road distances</w:t>
      </w:r>
    </w:p>
    <w:p>
      <w:pPr>
        <w:spacing w:after="40"/>
        <w:ind w:left="432"/>
      </w:pPr>
      <w:r>
        <w:rPr>
          <w:rFonts w:ascii="Courier New" w:hAnsi="Courier New"/>
          <w:color w:val="4A4A4A"/>
          <w:sz w:val="18"/>
        </w:rPr>
        <w:t xml:space="preserve">    ├── 03_oop_and_regression.py             ← OOP calculations + OLS regression</w:t>
      </w:r>
    </w:p>
    <w:p>
      <w:pPr>
        <w:spacing w:after="40"/>
        <w:ind w:left="432"/>
      </w:pPr>
      <w:r>
        <w:rPr>
          <w:rFonts w:ascii="Courier New" w:hAnsi="Courier New"/>
          <w:color w:val="4A4A4A"/>
          <w:sz w:val="18"/>
        </w:rPr>
        <w:t xml:space="preserve">    └── 04_generate_audit_report.py          ← generate this Word document</w:t>
      </w:r>
    </w:p>
    <w:p>
      <w:pPr>
        <w:spacing w:before="360" w:after="120"/>
      </w:pPr>
      <w:r>
        <w:rPr>
          <w:rFonts w:ascii="Calibri" w:hAnsi="Calibri"/>
          <w:b/>
          <w:color w:val="8B1A2E"/>
          <w:sz w:val="26"/>
        </w:rPr>
        <w:t>8.2 Raw Data Location</w:t>
      </w:r>
    </w:p>
    <w:tbl>
      <w:tblPr>
        <w:tblStyle w:val="TableGrid"/>
        <w:tblW w:type="auto" w:w="0"/>
        <w:jc w:val="center"/>
        <w:tblLook w:firstColumn="1" w:firstRow="1" w:lastColumn="0" w:lastRow="0" w:noHBand="0" w:noVBand="1" w:val="04A0"/>
      </w:tblPr>
      <w:tblGrid>
        <w:gridCol w:w="2928"/>
        <w:gridCol w:w="2928"/>
        <w:gridCol w:w="2928"/>
      </w:tblGrid>
      <w:tr>
        <w:tc>
          <w:tcPr>
            <w:tcW w:type="dxa" w:w="1872"/>
            <w:shd w:val="clear" w:color="auto" w:fill="8B1A2E"/>
          </w:tcPr>
          <w:p>
            <w:pPr>
              <w:jc w:val="center"/>
            </w:pPr>
            <w:r>
              <w:rPr>
                <w:rFonts w:ascii="Calibri" w:hAnsi="Calibri"/>
                <w:b/>
                <w:color w:val="FFFFFF"/>
                <w:sz w:val="18"/>
              </w:rPr>
              <w:t>File</w:t>
            </w:r>
          </w:p>
        </w:tc>
        <w:tc>
          <w:tcPr>
            <w:tcW w:type="dxa" w:w="4320"/>
            <w:shd w:val="clear" w:color="auto" w:fill="8B1A2E"/>
          </w:tcPr>
          <w:p>
            <w:pPr>
              <w:jc w:val="center"/>
            </w:pPr>
            <w:r>
              <w:rPr>
                <w:rFonts w:ascii="Calibri" w:hAnsi="Calibri"/>
                <w:b/>
                <w:color w:val="FFFFFF"/>
                <w:sz w:val="18"/>
              </w:rPr>
              <w:t>Path</w:t>
            </w:r>
          </w:p>
        </w:tc>
        <w:tc>
          <w:tcPr>
            <w:tcW w:type="dxa" w:w="3024"/>
            <w:shd w:val="clear" w:color="auto" w:fill="8B1A2E"/>
          </w:tcPr>
          <w:p>
            <w:pPr>
              <w:jc w:val="center"/>
            </w:pPr>
            <w:r>
              <w:rPr>
                <w:rFonts w:ascii="Calibri" w:hAnsi="Calibri"/>
                <w:b/>
                <w:color w:val="FFFFFF"/>
                <w:sz w:val="18"/>
              </w:rPr>
              <w:t>Description</w:t>
            </w:r>
          </w:p>
        </w:tc>
      </w:tr>
      <w:tr>
        <w:tc>
          <w:tcPr>
            <w:tcW w:type="dxa" w:w="1872"/>
            <w:shd w:val="clear" w:color="auto" w:fill="F9F9F9"/>
          </w:tcPr>
          <w:p>
            <w:pPr>
              <w:jc w:val="center"/>
            </w:pPr>
            <w:r>
              <w:rPr>
                <w:rFonts w:ascii="Calibri" w:hAnsi="Calibri"/>
                <w:color w:val="2C2422"/>
                <w:sz w:val="18"/>
              </w:rPr>
              <w:t>Trasplantes.csv</w:t>
            </w:r>
          </w:p>
        </w:tc>
        <w:tc>
          <w:tcPr>
            <w:tcW w:type="dxa" w:w="4320"/>
            <w:shd w:val="clear" w:color="auto" w:fill="F9F9F9"/>
          </w:tcPr>
          <w:p>
            <w:pPr>
              <w:jc w:val="center"/>
            </w:pPr>
            <w:r>
              <w:rPr>
                <w:rFonts w:ascii="Calibri" w:hAnsi="Calibri"/>
                <w:color w:val="2C2422"/>
                <w:sz w:val="18"/>
              </w:rPr>
              <w:t>/Users/dariorocha/Downloads/CENATRA Trasplantes y Donadores /Trasplantes/</w:t>
            </w:r>
          </w:p>
        </w:tc>
        <w:tc>
          <w:tcPr>
            <w:tcW w:type="dxa" w:w="3024"/>
            <w:shd w:val="clear" w:color="auto" w:fill="F9F9F9"/>
          </w:tcPr>
          <w:p>
            <w:pPr>
              <w:jc w:val="center"/>
            </w:pPr>
            <w:r>
              <w:rPr>
                <w:rFonts w:ascii="Calibri" w:hAnsi="Calibri"/>
                <w:color w:val="2C2422"/>
                <w:sz w:val="18"/>
              </w:rPr>
              <w:t>Base CSV, 2007–2020, all organs, UTF-8 BOM</w:t>
            </w:r>
          </w:p>
        </w:tc>
      </w:tr>
      <w:tr>
        <w:tc>
          <w:tcPr>
            <w:tcW w:type="dxa" w:w="1872"/>
            <w:shd w:val="clear" w:color="auto" w:fill="FFFFFF"/>
          </w:tcPr>
          <w:p>
            <w:pPr>
              <w:jc w:val="center"/>
            </w:pPr>
            <w:r>
              <w:rPr>
                <w:rFonts w:ascii="Calibri" w:hAnsi="Calibri"/>
                <w:color w:val="2C2422"/>
                <w:sz w:val="18"/>
              </w:rPr>
              <w:t>Trasplantes*.xlsx</w:t>
            </w:r>
          </w:p>
        </w:tc>
        <w:tc>
          <w:tcPr>
            <w:tcW w:type="dxa" w:w="4320"/>
            <w:shd w:val="clear" w:color="auto" w:fill="FFFFFF"/>
          </w:tcPr>
          <w:p>
            <w:pPr>
              <w:jc w:val="center"/>
            </w:pPr>
            <w:r>
              <w:rPr>
                <w:rFonts w:ascii="Calibri" w:hAnsi="Calibri"/>
                <w:color w:val="2C2422"/>
                <w:sz w:val="18"/>
              </w:rPr>
              <w:t>Same folder</w:t>
            </w:r>
          </w:p>
        </w:tc>
        <w:tc>
          <w:tcPr>
            <w:tcW w:type="dxa" w:w="3024"/>
            <w:shd w:val="clear" w:color="auto" w:fill="FFFFFF"/>
          </w:tcPr>
          <w:p>
            <w:pPr>
              <w:jc w:val="center"/>
            </w:pPr>
            <w:r>
              <w:rPr>
                <w:rFonts w:ascii="Calibri" w:hAnsi="Calibri"/>
                <w:color w:val="2C2422"/>
                <w:sz w:val="18"/>
              </w:rPr>
              <w:t>17 quarterly files, Q1 2021 – Q4 2024</w:t>
            </w:r>
          </w:p>
        </w:tc>
      </w:tr>
    </w:tbl>
    <w:p/>
    <w:p>
      <w:pPr>
        <w:spacing w:before="360" w:after="120"/>
      </w:pPr>
      <w:r>
        <w:rPr>
          <w:rFonts w:ascii="Calibri" w:hAnsi="Calibri"/>
          <w:b/>
          <w:color w:val="8B1A2E"/>
          <w:sz w:val="26"/>
        </w:rPr>
        <w:t>8.3 Required Python Packages</w:t>
      </w:r>
    </w:p>
    <w:p>
      <w:pPr>
        <w:pStyle w:val="ListBullet"/>
        <w:spacing w:after="60"/>
        <w:ind w:left="288"/>
      </w:pPr>
      <w:r>
        <w:rPr>
          <w:rFonts w:ascii="Calibri" w:hAnsi="Calibri"/>
          <w:color w:val="2C2422"/>
          <w:sz w:val="19"/>
        </w:rPr>
        <w:t>pip install pandas</w:t>
      </w:r>
    </w:p>
    <w:p>
      <w:pPr>
        <w:pStyle w:val="ListBullet"/>
        <w:spacing w:after="60"/>
        <w:ind w:left="288"/>
      </w:pPr>
      <w:r>
        <w:rPr>
          <w:rFonts w:ascii="Calibri" w:hAnsi="Calibri"/>
          <w:color w:val="2C2422"/>
          <w:sz w:val="19"/>
        </w:rPr>
        <w:t>pip install numpy</w:t>
      </w:r>
    </w:p>
    <w:p>
      <w:pPr>
        <w:pStyle w:val="ListBullet"/>
        <w:spacing w:after="60"/>
        <w:ind w:left="288"/>
      </w:pPr>
      <w:r>
        <w:rPr>
          <w:rFonts w:ascii="Calibri" w:hAnsi="Calibri"/>
          <w:color w:val="2C2422"/>
          <w:sz w:val="19"/>
        </w:rPr>
        <w:t>pip install openpyxl</w:t>
      </w:r>
    </w:p>
    <w:p>
      <w:pPr>
        <w:pStyle w:val="ListBullet"/>
        <w:spacing w:after="60"/>
        <w:ind w:left="288"/>
      </w:pPr>
      <w:r>
        <w:rPr>
          <w:rFonts w:ascii="Calibri" w:hAnsi="Calibri"/>
          <w:color w:val="2C2422"/>
          <w:sz w:val="19"/>
        </w:rPr>
        <w:t>pip install statsmodels</w:t>
      </w:r>
    </w:p>
    <w:p>
      <w:pPr>
        <w:pStyle w:val="ListBullet"/>
        <w:spacing w:after="60"/>
        <w:ind w:left="288"/>
      </w:pPr>
      <w:r>
        <w:rPr>
          <w:rFonts w:ascii="Calibri" w:hAnsi="Calibri"/>
          <w:color w:val="2C2422"/>
          <w:sz w:val="19"/>
        </w:rPr>
        <w:t>pip install requests</w:t>
      </w:r>
    </w:p>
    <w:p>
      <w:pPr>
        <w:pStyle w:val="ListBullet"/>
        <w:spacing w:after="60"/>
        <w:ind w:left="288"/>
      </w:pPr>
      <w:r>
        <w:rPr>
          <w:rFonts w:ascii="Calibri" w:hAnsi="Calibri"/>
          <w:color w:val="2C2422"/>
          <w:sz w:val="19"/>
        </w:rPr>
        <w:t>pip install python-docx</w:t>
      </w:r>
    </w:p>
    <w:p>
      <w:pPr>
        <w:spacing w:before="360" w:after="120"/>
      </w:pPr>
      <w:r>
        <w:rPr>
          <w:rFonts w:ascii="Calibri" w:hAnsi="Calibri"/>
          <w:b/>
          <w:color w:val="8B1A2E"/>
          <w:sz w:val="26"/>
        </w:rPr>
        <w:t>8.4 Run Order</w:t>
      </w:r>
    </w:p>
    <w:p>
      <w:pPr>
        <w:spacing w:after="40"/>
        <w:ind w:left="432"/>
      </w:pPr>
      <w:r>
        <w:rPr>
          <w:rFonts w:ascii="Courier New" w:hAnsi="Courier New"/>
          <w:color w:val="4A4A4A"/>
          <w:sz w:val="18"/>
        </w:rPr>
        <w:t>1. python3 scripts/01_build_cenatra_cohort.py         # builds cohort + state summary</w:t>
      </w:r>
    </w:p>
    <w:p>
      <w:pPr>
        <w:spacing w:after="40"/>
        <w:ind w:left="432"/>
      </w:pPr>
      <w:r>
        <w:rPr>
          <w:rFonts w:ascii="Courier New" w:hAnsi="Courier New"/>
          <w:color w:val="4A4A4A"/>
          <w:sz w:val="18"/>
        </w:rPr>
        <w:t>2. python3 scripts/02_compute_distances_osrm.py       # compute OSRM distances (needs internet)</w:t>
      </w:r>
    </w:p>
    <w:p>
      <w:pPr>
        <w:spacing w:after="40"/>
        <w:ind w:left="432"/>
      </w:pPr>
      <w:r>
        <w:rPr>
          <w:rFonts w:ascii="Courier New" w:hAnsi="Courier New"/>
          <w:color w:val="4A4A4A"/>
          <w:sz w:val="18"/>
        </w:rPr>
        <w:t>3. python3 scripts/03_oop_and_regression.py           # OOP + regression</w:t>
      </w:r>
    </w:p>
    <w:p>
      <w:pPr>
        <w:spacing w:after="40"/>
        <w:ind w:left="432"/>
      </w:pPr>
      <w:r>
        <w:rPr>
          <w:rFonts w:ascii="Courier New" w:hAnsi="Courier New"/>
          <w:color w:val="4A4A4A"/>
          <w:sz w:val="18"/>
        </w:rPr>
        <w:t>4. python3 scripts/04_generate_audit_report.py        # regenerate this document</w:t>
      </w:r>
    </w:p>
    <w:p>
      <w:pPr>
        <w:spacing w:before="360" w:after="120"/>
      </w:pPr>
      <w:r>
        <w:rPr>
          <w:rFonts w:ascii="Calibri" w:hAnsi="Calibri"/>
          <w:b/>
          <w:color w:val="8B1A2E"/>
          <w:sz w:val="26"/>
        </w:rPr>
        <w:t>8.5 To Improve Precision (Future Work)</w:t>
      </w:r>
    </w:p>
    <w:p>
      <w:pPr>
        <w:pStyle w:val="ListBullet"/>
        <w:spacing w:after="60"/>
        <w:ind w:left="288"/>
      </w:pPr>
      <w:r>
        <w:rPr>
          <w:rFonts w:ascii="Calibri" w:hAnsi="Calibri"/>
          <w:color w:val="2C2422"/>
          <w:sz w:val="21"/>
        </w:rPr>
        <w:t>Replace state centroid coordinates with municipality-level patient residence coordinates from CENATRA's MUNICIPIO_RESIDENCIA field (if available in newer extracts)</w:t>
      </w:r>
    </w:p>
    <w:p>
      <w:pPr>
        <w:pStyle w:val="ListBullet"/>
        <w:spacing w:after="60"/>
        <w:ind w:left="288"/>
      </w:pPr>
      <w:r>
        <w:rPr>
          <w:rFonts w:ascii="Calibri" w:hAnsi="Calibri"/>
          <w:color w:val="2C2422"/>
          <w:sz w:val="21"/>
        </w:rPr>
        <w:t>Use exact transplant hospital coordinates instead of state centroid for cod_tx</w:t>
      </w:r>
    </w:p>
    <w:p>
      <w:pPr>
        <w:pStyle w:val="ListBullet"/>
        <w:spacing w:after="60"/>
        <w:ind w:left="288"/>
      </w:pPr>
      <w:r>
        <w:rPr>
          <w:rFonts w:ascii="Calibri" w:hAnsi="Calibri"/>
          <w:color w:val="2C2422"/>
          <w:sz w:val="21"/>
        </w:rPr>
        <w:t>This will recover the reported 324 km median and likely reproduce R²=0.585 exactly</w:t>
      </w:r>
    </w:p>
    <w:p/>
    <w:p>
      <w:pPr>
        <w:spacing w:before="80" w:after="80"/>
        <w:pBdr>
          <w:bottom w:val="single" w:sz="6" w:space="1" w:color="C5A96B"/>
        </w:pBdr>
      </w:pPr>
    </w:p>
    <w:p>
      <w:pPr>
        <w:jc w:val="right"/>
      </w:pPr>
      <w:r>
        <w:rPr>
          <w:rFonts w:ascii="Calibri" w:hAnsi="Calibri"/>
          <w:i/>
          <w:color w:val="4A4A4A"/>
          <w:sz w:val="17"/>
        </w:rPr>
        <w:t>Audit completed March 03, 2026 · CENATRA 2007–2024 · ACS Clinical Congress submission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