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0q4kkccqgqq" w:id="0"/>
      <w:bookmarkEnd w:id="0"/>
      <w:r w:rsidDel="00000000" w:rsidR="00000000" w:rsidRPr="00000000">
        <w:rPr>
          <w:rtl w:val="0"/>
        </w:rPr>
        <w:t xml:space="preserve">RELATÓRIO EXECUTIVO: DIAGNÓSTICO DE BANCO DE DADOS AZURE MYSQL E MODELAGEM ANALÍTICA NO POWER BI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j0exh8t8kg96" w:id="1"/>
      <w:bookmarkEnd w:id="1"/>
      <w:r w:rsidDel="00000000" w:rsidR="00000000" w:rsidRPr="00000000">
        <w:rPr>
          <w:rtl w:val="0"/>
        </w:rPr>
        <w:t xml:space="preserve">1. Visão Geral da Infraestrutura e Arquitetura do Banco de Dados Azure MySQL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migração e hospedagem do banco de dados relacional azure_company na plataforma em nuvem Azure MySQL representam um marco decisivo para a modernização da infraestrutura de dados da organização. Em arquiteturas analíticas corporativas, a camada relacional de origem atua como a base sobre a qual se constrói toda a inteligência de negócios. Um esquema bem modelado e hospedado em ambiente gerenciado garante não apenas a conformidade ACID e a integridade operacional das transações cotidianas, mas também viabiliza pipelines de extração eficientes, alta escalabilidade no processamento analítico e a consistência rigorosa dos indicadores apresentados à alta gestão.</w:t>
      </w:r>
    </w:p>
    <w:p w:rsidR="00000000" w:rsidDel="00000000" w:rsidP="00000000" w:rsidRDefault="00000000" w:rsidRPr="00000000" w14:paraId="00000004">
      <w:pPr>
        <w:pStyle w:val="Heading6"/>
        <w:rPr/>
      </w:pPr>
      <w:bookmarkStart w:colFirst="0" w:colLast="0" w:name="_6sso3jsfif5" w:id="2"/>
      <w:bookmarkEnd w:id="2"/>
      <w:r w:rsidDel="00000000" w:rsidR="00000000" w:rsidRPr="00000000">
        <w:rPr>
          <w:rtl w:val="0"/>
        </w:rPr>
        <w:t xml:space="preserve">Mapeamento de Tabelas e Esquema Relacional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sistema relacional azure_company é composto por seis entidades fundamentais que sustentam a gestão operacional de colaboradores, departamentos, estruturas regionais, catálogo de projetos, alocação de horas e registros de dependentes. A tabela a seguir sintetiza a estrutura lógica do banco de dados, mapeando a função de cada tabela e suas respectivas restrições de integridade referencial:| Tabela | Função no Modelo | Chaves Primárias (PK) | Chaves Estrangeiras (FK) || ------ | ------ | ------ | ------ || employee | Cadastro central de colaboradores, dados demográficos, remuneração e hierarquia de gestão. | Ssn | Super_ssn (ref. employee.Ssn), Dno (ref. departament.Dnumber) || departament | Unidades administrativas da organização, designação oficial e identificação do gestor responsável. | Dnumber | Mgr_ssn (ref. employee.Ssn) || dept_locations | Polos operacionais e localizações físicas associadas a cada departamento. | (Dnumber, Dlocation) | Dnumber (ref. departament.Dnumber) || project | Catálogo de projetos estratégicos, nome do projeto, localização e departamento responsável. | Pnumber | Dnum (ref. departament.Dnumber) || works_on | Tabela de associação operacional (fato) que registra as horas dedicadas por colaborador a cada projeto. | (Essn, Pno) | Essn (ref. employee.Ssn), Pno (ref. project.Pnumber) || dependent | Registros de dependentes diretos vinculados a cada colaborador para fins de governança de benefícios. | (Essn, Dependent_name) | Essn (ref. employee.Ssn) |</w:t>
      </w:r>
    </w:p>
    <w:p w:rsidR="00000000" w:rsidDel="00000000" w:rsidP="00000000" w:rsidRDefault="00000000" w:rsidRPr="00000000" w14:paraId="00000006">
      <w:pPr>
        <w:pStyle w:val="Heading6"/>
        <w:rPr/>
      </w:pPr>
      <w:bookmarkStart w:colFirst="0" w:colLast="0" w:name="_oianl2mehip0" w:id="3"/>
      <w:bookmarkEnd w:id="3"/>
      <w:r w:rsidDel="00000000" w:rsidR="00000000" w:rsidRPr="00000000">
        <w:rPr>
          <w:rtl w:val="0"/>
        </w:rPr>
        <w:t xml:space="preserve">Mapeamento de Conectividade Técnica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pipeline de dados inicia-se com o provisionamento da instância do Banco de Dados do Azure para MySQL. A segurança do ecossistema é assegurada por meio da configuração de regras de Firewall no Portal Azure, permitindo conexões diretas via Azure Cloud Shell e MySQL Workbench para administração de esquema DDL/DML e validação de restrições. A integração analítica com o Power BI Desktop ocorre mediante o conector nativo para MySQL em nuvem, estabelecendo o fluxo contínuo de dados extraídos via Power Query, onde são aplicadas as rotinas de limpeza, enriquecimento e modelagem dimensional.</w:t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                          FLUXO DE INTEGRAÇÃO TÉCNICA                               │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┌──────────────────────┐      ┌──────────────────────┐      ┌────────────────────────────┐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│  Azure MySQL Server  │ ───&gt; │ Azure Firewall Rules │ ───&gt; │ Azure Cloud Shell /        │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│  (`azure_company`)   │      │ (Segurança IP/SSL)   │      │ MySQL Workbench (DDL/DML)  │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└──────────────────────┘      └──────────────────────┘      └────────────────────────────┘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                                 │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                                 ▼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┌──────────────────────┐      ┌──────────────────────┐      ┌────────────────────────────┐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│ Power BI Service     │ &lt;─── │ Power BI Desktop     │ &lt;─── │ Power Query ETL Engine     │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│ (Publicação Web/App) │      │ (Modelagem Estrela)  │      │ (Conector Azure MySQL)     │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└──────────────────────┘      └──────────────────────┘      └────────────────────────────┘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integridade estrutural e a rigorosa definição das chaves no banco de dados de origem constituem o pré-requisito indispensável para suportar com precisão as fases subsequentes de higienização, saneamento e transformação dos dados no ambiente ETL.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lxt7vwffvvxo" w:id="4"/>
      <w:bookmarkEnd w:id="4"/>
      <w:r w:rsidDel="00000000" w:rsidR="00000000" w:rsidRPr="00000000">
        <w:rPr>
          <w:rtl w:val="0"/>
        </w:rPr>
        <w:t xml:space="preserve">2. Diagnóstico, Governança e Limpeza de Dados (ETL / Power Query)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fase de Extract, Transform, Load (ETL), executada no motor Power Query, tem a finalidade estratégica de saneá-los antes de sua carga no modelo multidimensional. O diagnóstico preventivo de anomalias, tratamento de nulos estruturais e adequação dos tipos de dados são procedimentos críticos para impedir a contaminação de métricas agregadas e garantir que os dashboards executivos expressem a exata realidade financeira e operacional da empresa.</w:t>
      </w:r>
    </w:p>
    <w:p w:rsidR="00000000" w:rsidDel="00000000" w:rsidP="00000000" w:rsidRDefault="00000000" w:rsidRPr="00000000" w14:paraId="00000019">
      <w:pPr>
        <w:pStyle w:val="Heading6"/>
        <w:rPr/>
      </w:pPr>
      <w:bookmarkStart w:colFirst="0" w:colLast="0" w:name="_6endvn8todgs" w:id="5"/>
      <w:bookmarkEnd w:id="5"/>
      <w:r w:rsidDel="00000000" w:rsidR="00000000" w:rsidRPr="00000000">
        <w:rPr>
          <w:rtl w:val="0"/>
        </w:rPr>
        <w:t xml:space="preserve">Tratamento de Valores Nulos e Identificação da Liderança Máxima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Na análise de integridade da tabela employee, identificou-se a presença de um valor NULL na coluna Super_ssn referente ao registro do colaborador James Borg (SSN: 888665555). Sob a ótica da governança de dados, diagnosticou-se que esse valor ausente não decorre de uma omissão no cadastramento nem de uma falha de integridade referencial. Trata-se do nó raiz da árvore hierárquica corporativa: James Borg ocupa a posição de Top Management / CEO da organização, não possuindo supervisor direto acima de sua cadeira. A retenção desse registro com nulidade controlada foi preservada para evitar a exclusão indevida do principal executivo no modelo analítico.</w:t>
      </w:r>
    </w:p>
    <w:p w:rsidR="00000000" w:rsidDel="00000000" w:rsidP="00000000" w:rsidRDefault="00000000" w:rsidRPr="00000000" w14:paraId="0000001B">
      <w:pPr>
        <w:pStyle w:val="Heading6"/>
        <w:rPr/>
      </w:pPr>
      <w:bookmarkStart w:colFirst="0" w:colLast="0" w:name="_fzlwncyizl4x" w:id="6"/>
      <w:bookmarkEnd w:id="6"/>
      <w:r w:rsidDel="00000000" w:rsidR="00000000" w:rsidRPr="00000000">
        <w:rPr>
          <w:rtl w:val="0"/>
        </w:rPr>
        <w:t xml:space="preserve">Saneamento de Departamentos e Gerências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verificação do campo Mgr_ssn na tabela departament confirmou que a estrutura de liderança setorial encontra-se plenamente mapeada, sem a presença de departamentos órfãos: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Research (Dnumber 5):</w:t>
      </w:r>
      <w:r w:rsidDel="00000000" w:rsidR="00000000" w:rsidRPr="00000000">
        <w:rPr>
          <w:rtl w:val="0"/>
        </w:rPr>
        <w:t xml:space="preserve">  Gerido por Franklin Wong (SSN: 333445555).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Administration (Dnumber 4):</w:t>
      </w:r>
      <w:r w:rsidDel="00000000" w:rsidR="00000000" w:rsidRPr="00000000">
        <w:rPr>
          <w:rtl w:val="0"/>
        </w:rPr>
        <w:t xml:space="preserve">  Gerido por Jennifer Wallace (SSN: 987654321).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Headquarters (Dnumber 1):</w:t>
      </w:r>
      <w:r w:rsidDel="00000000" w:rsidR="00000000" w:rsidRPr="00000000">
        <w:rPr>
          <w:rtl w:val="0"/>
        </w:rPr>
        <w:t xml:space="preserve">  Gerido por James Borg (SSN: 888665555).Cada setor possui uma liderança formal atribuída e validada por chaves estrangeiras com restrição de atualização em cascata (ON UPDATE CASCADE).</w:t>
      </w:r>
    </w:p>
    <w:p w:rsidR="00000000" w:rsidDel="00000000" w:rsidP="00000000" w:rsidRDefault="00000000" w:rsidRPr="00000000" w14:paraId="00000020">
      <w:pPr>
        <w:pStyle w:val="Heading6"/>
        <w:rPr/>
      </w:pPr>
      <w:bookmarkStart w:colFirst="0" w:colLast="0" w:name="_q5d5emkoi64u" w:id="7"/>
      <w:bookmarkEnd w:id="7"/>
      <w:r w:rsidDel="00000000" w:rsidR="00000000" w:rsidRPr="00000000">
        <w:rPr>
          <w:rtl w:val="0"/>
        </w:rPr>
        <w:t xml:space="preserve">Padronização de Tipos de Dados e Precisão Monetária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Para mitigar erros de truncamento ou imprecisões de arredondamento em cálculos somatórios e médias móveis no Power BI, os campos financeiros — com destaque para o atributo Salary da tabela employee — foram estruturados na origem como decimal(10,2) com checagem de valor mínimo (chk_salary_employee check (Salary &gt; 2000.0)). Durante o processo ETL no Power Query, esse campo foi convertido para o tipo numérico decimal de alta precisão (double / número decimal fixo). Essa adequação garante a paridade exata entre o livro razão relacional e o motor de compactação em memória VertiPaq.</w:t>
      </w:r>
    </w:p>
    <w:p w:rsidR="00000000" w:rsidDel="00000000" w:rsidP="00000000" w:rsidRDefault="00000000" w:rsidRPr="00000000" w14:paraId="00000022">
      <w:pPr>
        <w:pStyle w:val="Heading6"/>
        <w:rPr/>
      </w:pPr>
      <w:bookmarkStart w:colFirst="0" w:colLast="0" w:name="_4z1jz0xn83uq" w:id="8"/>
      <w:bookmarkEnd w:id="8"/>
      <w:r w:rsidDel="00000000" w:rsidR="00000000" w:rsidRPr="00000000">
        <w:rPr>
          <w:rtl w:val="0"/>
        </w:rPr>
        <w:t xml:space="preserve">Análise de Alocação de Horas e Casos Limite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diagnóstico na tabela fato de associação works_on revelou um caso limite no registro da dupla James Borg (SSN: 888665555) e projeto  </w:t>
      </w:r>
      <w:r w:rsidDel="00000000" w:rsidR="00000000" w:rsidRPr="00000000">
        <w:rPr>
          <w:i w:val="1"/>
          <w:iCs w:val="1"/>
          <w:rtl w:val="0"/>
        </w:rPr>
        <w:t xml:space="preserve">Reorganization</w:t>
      </w:r>
      <w:r w:rsidDel="00000000" w:rsidR="00000000" w:rsidRPr="00000000">
        <w:rPr>
          <w:rtl w:val="0"/>
        </w:rPr>
        <w:t xml:space="preserve">  (Pno 20), onde a coluna Hours apresenta o valor 0.0. A análise de processos de negócio confirmou que a entrada representa o papel institucional de acompanhamento e patrocínio executivo do CEO no projeto de reestruturação corporativa, sem alocação de horas operacionais diretas. Do ponto de vista analítico, o registro foi mantido para preservação do histórico de governança corporativa, aplicando-se regras na camada DAX para que a alocação nula não distorça a média de horas trabalhadas por projeto.A sanitização preventiva das inconsistências e o rigor na definição dos tipos numéricos preparam a base de dados para o correto mapeamento da hierarquia organizacional e do auto-relacionamento das lideranças.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7ill5vapsq8k" w:id="9"/>
      <w:bookmarkEnd w:id="9"/>
      <w:r w:rsidDel="00000000" w:rsidR="00000000" w:rsidRPr="00000000">
        <w:rPr>
          <w:rtl w:val="0"/>
        </w:rPr>
        <w:t xml:space="preserve">3. Mapeamento Estrutural e Hierarquia Organizacional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tradução de dados cadastrais planos em estruturas hierárquicas inteligíveis é essencial para a análise de capacidade operacional e amplitude de controle ( </w:t>
      </w:r>
      <w:r w:rsidDel="00000000" w:rsidR="00000000" w:rsidRPr="00000000">
        <w:rPr>
          <w:i w:val="1"/>
          <w:iCs w:val="1"/>
          <w:rtl w:val="0"/>
        </w:rPr>
        <w:t xml:space="preserve">Span of Control</w:t>
      </w:r>
      <w:r w:rsidDel="00000000" w:rsidR="00000000" w:rsidRPr="00000000">
        <w:rPr>
          <w:rtl w:val="0"/>
        </w:rPr>
        <w:t xml:space="preserve"> ). O mapeamento explícito do auto-relacionamento (Self-Join) na tabela employee permite consolidar a cadeia de comando da empresa, relacionando cada colaborador ao seu respectivo supervisor direto de forma transparente.</w:t>
      </w:r>
    </w:p>
    <w:p w:rsidR="00000000" w:rsidDel="00000000" w:rsidP="00000000" w:rsidRDefault="00000000" w:rsidRPr="00000000" w14:paraId="00000026">
      <w:pPr>
        <w:pStyle w:val="Heading6"/>
        <w:rPr/>
      </w:pPr>
      <w:bookmarkStart w:colFirst="0" w:colLast="0" w:name="_tpxmfuuehie" w:id="10"/>
      <w:bookmarkEnd w:id="10"/>
      <w:r w:rsidDel="00000000" w:rsidR="00000000" w:rsidRPr="00000000">
        <w:rPr>
          <w:rtl w:val="0"/>
        </w:rPr>
        <w:t xml:space="preserve">Modelagem de Auto-Relacionamento via SQL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construção da hierarquia de gestão foi codificada por meio de uma junção externa à esquerda (LEFT JOIN) da tabela employee com ela mesma. A escolha do LEFT JOIN é determinante para a consistência do modelo: ao relacionar e.Super_ssn com m.Ssn, garante-se que o colaborador no topo da pirâmide organizacional (James Borg, cujo Super_ssn é NULL) não seja descartado do resultado final, mantendo seu registro com a coluna de gestor preenchida como NULL.Abaixo, apresenta-se o script padronizado utilizado para a consolidação da camada relacional: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Criacao da View de Hierarquia Organizacional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Utiliza alias 'e' para Colaborador e 'm' para Gerente/Supervisor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VIEW vw_employee_gerente AS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e.Ssn AS Colaborador_Ssn,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CONCAT(e.Fname, ' ', e.Lname) AS Nome_Colaborador,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e.Salary AS Salario,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e.Dno AS Numero_Departamento,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e.Super_ssn AS Gerente_Ssn,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CONCAT(m.Fname, ' ', m.Lname) AS Nome_Gerente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azure_company.employee e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LEFT JOIN azure_company.employee m ON e.Super_ssn = m.Ssn;</w:t>
      </w:r>
    </w:p>
    <w:p w:rsidR="00000000" w:rsidDel="00000000" w:rsidP="00000000" w:rsidRDefault="00000000" w:rsidRPr="00000000" w14:paraId="000000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6"/>
        <w:rPr/>
      </w:pPr>
      <w:bookmarkStart w:colFirst="0" w:colLast="0" w:name="_tt5tj0i9fef1" w:id="11"/>
      <w:bookmarkEnd w:id="11"/>
      <w:r w:rsidDel="00000000" w:rsidR="00000000" w:rsidRPr="00000000">
        <w:rPr>
          <w:rtl w:val="0"/>
        </w:rPr>
        <w:t xml:space="preserve">Sequência de Passos M / Power Query e Consolidação de Atributos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 ambiente Power Query (Editor de Transformação de Dados), a equivalência operacional dessa visão hierárquica foi construída executando-se a seguinte sequência estruturada de etapas M / UI: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Seleção e Limpeza Primária:</w:t>
      </w:r>
      <w:r w:rsidDel="00000000" w:rsidR="00000000" w:rsidRPr="00000000">
        <w:rPr>
          <w:rtl w:val="0"/>
        </w:rPr>
        <w:t xml:space="preserve">  Seleção da consulta azure_company employee e remoção de atributos irrelevantes para a análise hierárquica.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Mesclar Consultas (Self-Join):</w:t>
      </w:r>
      <w:r w:rsidDel="00000000" w:rsidR="00000000" w:rsidRPr="00000000">
        <w:rPr>
          <w:rtl w:val="0"/>
        </w:rPr>
        <w:t xml:space="preserve">  Seleção da operação  </w:t>
      </w:r>
      <w:r w:rsidDel="00000000" w:rsidR="00000000" w:rsidRPr="00000000">
        <w:rPr>
          <w:i w:val="1"/>
          <w:iCs w:val="1"/>
          <w:rtl w:val="0"/>
        </w:rPr>
        <w:t xml:space="preserve">Mesclar Consultas</w:t>
      </w:r>
      <w:r w:rsidDel="00000000" w:rsidR="00000000" w:rsidRPr="00000000">
        <w:rPr>
          <w:rtl w:val="0"/>
        </w:rPr>
        <w:t xml:space="preserve"> , combinando a tabela azure_company employee com ela mesma, estabelecendo a chave de junção entre o campo Super_ssn (da tabela primária) e o campo Ssn (da tabela secundária espelhada). O tipo de junção aplicado foi  </w:t>
      </w:r>
      <w:r w:rsidDel="00000000" w:rsidR="00000000" w:rsidRPr="00000000">
        <w:rPr>
          <w:i w:val="1"/>
          <w:iCs w:val="1"/>
          <w:rtl w:val="0"/>
        </w:rPr>
        <w:t xml:space="preserve">Externa Esquerda (todas da primeira, correspondentes da segunda)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Expansão do Nome do Gestor:</w:t>
      </w:r>
      <w:r w:rsidDel="00000000" w:rsidR="00000000" w:rsidRPr="00000000">
        <w:rPr>
          <w:rtl w:val="0"/>
        </w:rPr>
        <w:t xml:space="preserve">  Expansão da coluna da tabela mesclada para extrair os campos Fname e Lname do supervisor, renomeando-os para Fname_Gerente e Lname_Gerente.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Concatenação de Nomes (Colaborador e Gerente):</w:t>
      </w:r>
      <w:r w:rsidDel="00000000" w:rsidR="00000000" w:rsidRPr="00000000">
        <w:rPr>
          <w:rtl w:val="0"/>
        </w:rPr>
        <w:t xml:space="preserve">  Aplicação da transformação  </w:t>
      </w:r>
      <w:r w:rsidDel="00000000" w:rsidR="00000000" w:rsidRPr="00000000">
        <w:rPr>
          <w:i w:val="1"/>
          <w:iCs w:val="1"/>
          <w:rtl w:val="0"/>
        </w:rPr>
        <w:t xml:space="preserve">Mesclar Colunas</w:t>
      </w:r>
      <w:r w:rsidDel="00000000" w:rsidR="00000000" w:rsidRPr="00000000">
        <w:rPr>
          <w:rtl w:val="0"/>
        </w:rPr>
        <w:t xml:space="preserve">  para unificar Fname + Lname em Nome Completo (ou Nome_Colaborador) e Fname_Gerente + Lname_Gerente na coluna unificada Nome_Gerente.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Tratamento da Raiz da Árvore:</w:t>
      </w:r>
      <w:r w:rsidDel="00000000" w:rsidR="00000000" w:rsidRPr="00000000">
        <w:rPr>
          <w:rtl w:val="0"/>
        </w:rPr>
        <w:t xml:space="preserve">  Substituição do valor NULL resultante na coluna Nome_Gerente do nó raiz por um rótulo nulo ou preservação textual adequada para agregações.Com a consolidação da cadeia de comando e a limpeza dos nomes completos, o modelo ganha o suporte necessário para transicionar de um esquema relacional genérico para uma arquitetura dimensional em Estrela ( </w:t>
      </w:r>
      <w:r w:rsidDel="00000000" w:rsidR="00000000" w:rsidRPr="00000000">
        <w:rPr>
          <w:i w:val="1"/>
          <w:iCs w:val="1"/>
          <w:rtl w:val="0"/>
        </w:rPr>
        <w:t xml:space="preserve">Star Schema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a9egmeaz6ee4" w:id="12"/>
      <w:bookmarkEnd w:id="12"/>
      <w:r w:rsidDel="00000000" w:rsidR="00000000" w:rsidRPr="00000000">
        <w:rPr>
          <w:rtl w:val="0"/>
        </w:rPr>
        <w:t xml:space="preserve">4. Engenharia de Modelagem: Modelo Estrela e Fusão Departamento-Localização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transição da modelagem relacional OLTP para a modelagem dimensional OLAP (Star Schema) é um requisito arquitetural para otimizar o desempenho do Power BI. O modelo em estrela desacopla os eventos operacionais contínuos (armazenados em Tabelas Fato) do contexto de análise (armazenado em Tabelas Dimensão), maximizando a taxa de compressão do mecanismo em memória VertiPaq, simplificando a escrita de fórmulas DAX e acelerando o tempo de resposta dos visuais.</w:t>
      </w:r>
    </w:p>
    <w:p w:rsidR="00000000" w:rsidDel="00000000" w:rsidP="00000000" w:rsidRDefault="00000000" w:rsidRPr="00000000" w14:paraId="0000003E">
      <w:pPr>
        <w:pStyle w:val="Heading6"/>
        <w:rPr/>
      </w:pPr>
      <w:bookmarkStart w:colFirst="0" w:colLast="0" w:name="_rbuo9poyjkop" w:id="13"/>
      <w:bookmarkEnd w:id="13"/>
      <w:r w:rsidDel="00000000" w:rsidR="00000000" w:rsidRPr="00000000">
        <w:rPr>
          <w:rtl w:val="0"/>
        </w:rPr>
        <w:t xml:space="preserve">Justificativa Técnica: Mesclar (Merge) vs. Atribuir (Append)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Um dos pontos mais críticos do pipeline de modelagem consistiu na integração dos dados de departamentos e suas respectivas localizações geográficas (dept_locations). A operação executada foi estritamente a  </w:t>
      </w:r>
      <w:r w:rsidDel="00000000" w:rsidR="00000000" w:rsidRPr="00000000">
        <w:rPr>
          <w:b w:val="1"/>
          <w:bCs w:val="1"/>
          <w:rtl w:val="0"/>
        </w:rPr>
        <w:t xml:space="preserve">Mescla de Consultas (Merge)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Mesclar Consultas (Merge):</w:t>
      </w:r>
      <w:r w:rsidDel="00000000" w:rsidR="00000000" w:rsidRPr="00000000">
        <w:rPr>
          <w:rtl w:val="0"/>
        </w:rPr>
        <w:t xml:space="preserve">  Realiza uma expansão horizontal do esquema de dados baseada em chaves relacionais (Dnumber). Esta operação cruza os atributos de departamento com os atributos de polos operacionais, gerando chaves compostas e combinações unívocas de setor e localidade (Dname + Dlocation). Isso é indispensável para criar uma dimensão consolidada e sem cardinalidade ambígua.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Atribuir Consultas (Append):</w:t>
      </w:r>
      <w:r w:rsidDel="00000000" w:rsidR="00000000" w:rsidRPr="00000000">
        <w:rPr>
          <w:rtl w:val="0"/>
        </w:rPr>
        <w:t xml:space="preserve">  Executa um empilhamento vertical de registros (equivalente ao operador UNION ALL em SQL). Aplicar o  </w:t>
      </w:r>
      <w:r w:rsidDel="00000000" w:rsidR="00000000" w:rsidRPr="00000000">
        <w:rPr>
          <w:i w:val="1"/>
          <w:iCs w:val="1"/>
          <w:rtl w:val="0"/>
        </w:rPr>
        <w:t xml:space="preserve">Append</w:t>
      </w:r>
      <w:r w:rsidDel="00000000" w:rsidR="00000000" w:rsidRPr="00000000">
        <w:rPr>
          <w:rtl w:val="0"/>
        </w:rPr>
        <w:t xml:space="preserve">  neste cenário configuraria um erro conceitual grave de engenharia de dados, pois duplicaria o volume de linhas empilhando estruturas de tabelas heterogêneas sem correlacionar horizontalmente as localizações aos seus respetivos departamentos.</w:t>
      </w:r>
    </w:p>
    <w:p w:rsidR="00000000" w:rsidDel="00000000" w:rsidP="00000000" w:rsidRDefault="00000000" w:rsidRPr="00000000" w14:paraId="000000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OPERAÇÃO CORRETA: MESCLAR (MERGE) - CRUZAMENTO HORIZONTAL</w:t>
      </w:r>
    </w:p>
    <w:p w:rsidR="00000000" w:rsidDel="00000000" w:rsidP="00000000" w:rsidRDefault="00000000" w:rsidRPr="00000000" w14:paraId="000000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┌──────────────────────────┐         ┌──────────────────────────┐</w:t>
      </w:r>
    </w:p>
    <w:p w:rsidR="00000000" w:rsidDel="00000000" w:rsidP="00000000" w:rsidRDefault="00000000" w:rsidRPr="00000000" w14:paraId="0000004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departament        │         │      dept_locations      │</w:t>
      </w:r>
    </w:p>
    <w:p w:rsidR="00000000" w:rsidDel="00000000" w:rsidP="00000000" w:rsidRDefault="00000000" w:rsidRPr="00000000" w14:paraId="0000004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├─────────┬────────────────┤         ├─────────┬────────────────┤</w:t>
      </w:r>
    </w:p>
    <w:p w:rsidR="00000000" w:rsidDel="00000000" w:rsidP="00000000" w:rsidRDefault="00000000" w:rsidRPr="00000000" w14:paraId="0000004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Dnumber │ Dname          │  &lt;───&gt;  │ Dnumber │ Dlocation      │</w:t>
      </w:r>
    </w:p>
    <w:p w:rsidR="00000000" w:rsidDel="00000000" w:rsidP="00000000" w:rsidRDefault="00000000" w:rsidRPr="00000000" w14:paraId="0000004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└─────────┴────────────────┘ (Merge) └─────────┴────────────────┘</w:t>
      </w:r>
    </w:p>
    <w:p w:rsidR="00000000" w:rsidDel="00000000" w:rsidP="00000000" w:rsidRDefault="00000000" w:rsidRPr="00000000" w14:paraId="0000004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4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04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│  dim_department_location (Dimensão)    │</w:t>
      </w:r>
    </w:p>
    <w:p w:rsidR="00000000" w:rsidDel="00000000" w:rsidP="00000000" w:rsidRDefault="00000000" w:rsidRPr="00000000" w14:paraId="0000004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├─────────┬────────────────┬──────────────┤</w:t>
      </w:r>
    </w:p>
    <w:p w:rsidR="00000000" w:rsidDel="00000000" w:rsidP="00000000" w:rsidRDefault="00000000" w:rsidRPr="00000000" w14:paraId="0000004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│ Dnumber │ Dname          │ Dlocation    │</w:t>
      </w:r>
    </w:p>
    <w:p w:rsidR="00000000" w:rsidDel="00000000" w:rsidP="00000000" w:rsidRDefault="00000000" w:rsidRPr="00000000" w14:paraId="0000004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└─────────┴────────────────┴──────────────┘</w:t>
      </w:r>
    </w:p>
    <w:p w:rsidR="00000000" w:rsidDel="00000000" w:rsidP="00000000" w:rsidRDefault="00000000" w:rsidRPr="00000000" w14:paraId="0000004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OPERAÇÃO INCORRETA: ATRIBUIR (APPEND) - EMPILHAMENTO VERTICAL (NÃO APLICADO)</w:t>
      </w:r>
    </w:p>
    <w:p w:rsidR="00000000" w:rsidDel="00000000" w:rsidP="00000000" w:rsidRDefault="00000000" w:rsidRPr="00000000" w14:paraId="0000005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05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departament        │</w:t>
      </w:r>
    </w:p>
    <w:p w:rsidR="00000000" w:rsidDel="00000000" w:rsidP="00000000" w:rsidRDefault="00000000" w:rsidRPr="00000000" w14:paraId="0000005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├─────────┬────────────────┤</w:t>
      </w:r>
    </w:p>
    <w:p w:rsidR="00000000" w:rsidDel="00000000" w:rsidP="00000000" w:rsidRDefault="00000000" w:rsidRPr="00000000" w14:paraId="0000005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Dnumber │ Dname          │</w:t>
      </w:r>
    </w:p>
    <w:p w:rsidR="00000000" w:rsidDel="00000000" w:rsidP="00000000" w:rsidRDefault="00000000" w:rsidRPr="00000000" w14:paraId="0000005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└─────────┴────────────────┘</w:t>
      </w:r>
    </w:p>
    <w:p w:rsidR="00000000" w:rsidDel="00000000" w:rsidP="00000000" w:rsidRDefault="00000000" w:rsidRPr="00000000" w14:paraId="0000005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▲</w:t>
      </w:r>
    </w:p>
    <w:p w:rsidR="00000000" w:rsidDel="00000000" w:rsidP="00000000" w:rsidRDefault="00000000" w:rsidRPr="00000000" w14:paraId="0000005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│ (Append - Incompatível / Cria ruído estrutural)</w:t>
      </w:r>
    </w:p>
    <w:p w:rsidR="00000000" w:rsidDel="00000000" w:rsidP="00000000" w:rsidRDefault="00000000" w:rsidRPr="00000000" w14:paraId="000000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┌───────────┴──────────────┐</w:t>
      </w:r>
    </w:p>
    <w:p w:rsidR="00000000" w:rsidDel="00000000" w:rsidP="00000000" w:rsidRDefault="00000000" w:rsidRPr="00000000" w14:paraId="000000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dept_locations      │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├─────────┬────────────────┤</w:t>
      </w:r>
    </w:p>
    <w:p w:rsidR="00000000" w:rsidDel="00000000" w:rsidP="00000000" w:rsidRDefault="00000000" w:rsidRPr="00000000" w14:paraId="000000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Dnumber │ Dlocation      │</w:t>
      </w:r>
    </w:p>
    <w:p w:rsidR="00000000" w:rsidDel="00000000" w:rsidP="00000000" w:rsidRDefault="00000000" w:rsidRPr="00000000" w14:paraId="000000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└─────────┴────────────────┘</w:t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6"/>
        <w:rPr/>
      </w:pPr>
      <w:bookmarkStart w:colFirst="0" w:colLast="0" w:name="_tcfzgsh6huys" w:id="14"/>
      <w:bookmarkEnd w:id="14"/>
      <w:r w:rsidDel="00000000" w:rsidR="00000000" w:rsidRPr="00000000">
        <w:rPr>
          <w:rtl w:val="0"/>
        </w:rPr>
        <w:t xml:space="preserve">Definição das Entidades do Modelo Estrela (Star Schema)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arquitetura dimensional resultante reflete a seguinte distribuição de tabelas fato e dimensões: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Tabela Fato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fact_works_on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Contém os eventos quantitativos do negócio. Armazena as chaves estrangeiras Essn e Pno, além da métrica numérica contínua Hours.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Dimensão Colaborador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dim_employee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Contém os dados cadastrais dos funcionários (Ssn, Nome Completo, Salary, Sex, Bdate), a hierarquia de gestão (Nome_Gerente) e o vínculo setorial.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Dimensão Departamento e Localização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dim_department_location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Dimensão unificada resultante do  </w:t>
      </w:r>
      <w:r w:rsidDel="00000000" w:rsidR="00000000" w:rsidRPr="00000000">
        <w:rPr>
          <w:i w:val="1"/>
          <w:i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  entre departament e dept_locations, contendo os atributos Dnumber, Dname, Mgr_ssn e Dlocation.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Dimensão Projeto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dim_project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Armazena os atributos dos projetos corporativos (Pnumber, Pname, Plocation, Dnum).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ARQUITETURA DO MODELO ESTRELA (STAR SCHEMA)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┌───────────────────────────────────┐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│       dim_department_location     │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├───────────────────────────────────┤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│ PK    Dnumber_Dlocation_Key       │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│       Dnumber                     │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│       Dname                       │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│       Dlocation                   │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│       Mgr_ssn                     │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└─────────────────┬─────────────────┘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│ 1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│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│ *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┌─────────────────┴─────────────────┐           ┌───────────────────────────────────┐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│           dim_project             │           │           dim_employee            │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├───────────────────────────────────┤           ├───────────────────────────────────┤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│ PK        Pnumber                 │           │ PK        Ssn                     │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│           Pname                   │           │           Nome Completo           │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│           Plocation               │           │           Salary                  │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│ FK        Dnum                    │           │           Nome_Gerente            │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└─────────────────┬─────────────────┘           │ FK        Dno                     │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│ 1                           └─────────────────┬─────────────────┘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│                                               │ 1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│ *                                             │ *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┌──────┴───────────────────────────────────────────────┴──────┐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│                       fact_works_on                         │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│ PK, FK    Essn                                              │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│ PK, FK    Pno                                               │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│           Hours                                             │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6"/>
        <w:rPr/>
      </w:pPr>
      <w:bookmarkStart w:colFirst="0" w:colLast="0" w:name="_p6wcs634r3c9" w:id="15"/>
      <w:bookmarkEnd w:id="15"/>
      <w:r w:rsidDel="00000000" w:rsidR="00000000" w:rsidRPr="00000000">
        <w:rPr>
          <w:rtl w:val="0"/>
        </w:rPr>
        <w:t xml:space="preserve">Mapeamento Unívoco Departamento-Localização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 mescla unificou as associações físicas, garantindo que cada par departamento-polo seja tratado de forma unívoca: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Research:</w:t>
      </w:r>
      <w:r w:rsidDel="00000000" w:rsidR="00000000" w:rsidRPr="00000000">
        <w:rPr>
          <w:rtl w:val="0"/>
        </w:rPr>
        <w:t xml:space="preserve">  Bellaire, Sugarland, Houston (3 polos distintos).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Administration:</w:t>
      </w:r>
      <w:r w:rsidDel="00000000" w:rsidR="00000000" w:rsidRPr="00000000">
        <w:rPr>
          <w:rtl w:val="0"/>
        </w:rPr>
        <w:t xml:space="preserve">  Stafford (1 polo).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Headquarters:</w:t>
      </w:r>
      <w:r w:rsidDel="00000000" w:rsidR="00000000" w:rsidRPr="00000000">
        <w:rPr>
          <w:rtl w:val="0"/>
        </w:rPr>
        <w:t xml:space="preserve">  Houston (1 polo).A correta estruturação dimensional elimina a ambiguidade de cardinalidade nas relações, assegurando o contexto de filtro adequado para a renderização do dashboard executivo.</w:t>
      </w:r>
    </w:p>
    <w:p w:rsidR="00000000" w:rsidDel="00000000" w:rsidP="00000000" w:rsidRDefault="00000000" w:rsidRPr="00000000" w14:paraId="0000008A">
      <w:pPr>
        <w:pStyle w:val="Heading5"/>
        <w:rPr/>
      </w:pPr>
      <w:bookmarkStart w:colFirst="0" w:colLast="0" w:name="_t5i16bmxaria" w:id="16"/>
      <w:bookmarkEnd w:id="16"/>
      <w:r w:rsidDel="00000000" w:rsidR="00000000" w:rsidRPr="00000000">
        <w:rPr>
          <w:rtl w:val="0"/>
        </w:rPr>
        <w:t xml:space="preserve">5. Análise Executiva do Dashboard e Solução de Problemas Técnicos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 construção do painel visual encerra o ciclo de vida da engenharia de dados, convertendo entidades relacionais e tabelas dimensionais em inteligência acionável. O Dashboard Analítico de Gestão Empresarial foi estruturado para suportar a tomada de decisão executiva em quatro pilares principais: amplitude de liderança, gestão de custos salariais, esforço operacional em projetos e distribuição geográfica.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              DASHBOARD ANALÍTICO DE GESTÃO EMPRESARIAL - AZURE COMPANY           |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+------------------------------------+----------------------------------------------+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1. SOMA DE LIDERADOS POR GERENTE   | 2. GRÁFICO FINANCEIRO / SALARIAL POR DEPTO   |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 - Franklin Wong:   3 subordinados |  - Research:     $133,000 (Média: $33,250)   |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 - Jennifer Wallace:2 subordinados |  - Administration:$93,000 (Média: $31,000)   |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 - James Borg:      2 subordinados |  - Headquarters:  $55,000 (Média: $55,000)   |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 - John Smith:      0 subordinados |                                              |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+------------------------------------+----------------------------------------------+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3. SOMA DE HORAS POR PROJETO/SETOR | 4. POLOS REGIONAIS POR DEPARTAMENTO          |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 - Computerization: 55.0h (Admin/Res)| - Research:      3 polos                     |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 - Newbenefits:     55.0h (Admin)  | - Administration:1 polo                      |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 - ProductX:        52.5h (Research)| - Headquarters:  1 polo                      |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 - ProductZ:        50.0h (Research)|                                              |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 - ProductY:        37.5h (Research)|                                              |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|  - Reorganization:  25.0h (HQ/Res) |                                              |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+------------------------------------+----------------------------------------------+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6"/>
        <w:rPr/>
      </w:pPr>
      <w:bookmarkStart w:colFirst="0" w:colLast="0" w:name="_8czzbtg3c8sn" w:id="17"/>
      <w:bookmarkEnd w:id="17"/>
      <w:r w:rsidDel="00000000" w:rsidR="00000000" w:rsidRPr="00000000">
        <w:rPr>
          <w:rtl w:val="0"/>
        </w:rPr>
        <w:t xml:space="preserve">Análise Qualitativa e Quantitativa dos Visuais do Dashboard</w:t>
      </w:r>
    </w:p>
    <w:p w:rsidR="00000000" w:rsidDel="00000000" w:rsidP="00000000" w:rsidRDefault="00000000" w:rsidRPr="00000000" w14:paraId="0000009F">
      <w:pPr>
        <w:pStyle w:val="Heading6"/>
        <w:rPr/>
      </w:pPr>
      <w:bookmarkStart w:colFirst="0" w:colLast="0" w:name="_gdmwkld0zahr" w:id="18"/>
      <w:bookmarkEnd w:id="18"/>
      <w:r w:rsidDel="00000000" w:rsidR="00000000" w:rsidRPr="00000000">
        <w:rPr>
          <w:rtl w:val="0"/>
        </w:rPr>
        <w:t xml:space="preserve">Visual 1: Soma de Liderados por Gerente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Métricas Consolidadas:</w:t>
      </w:r>
      <w:r w:rsidDel="00000000" w:rsidR="00000000" w:rsidRPr="00000000">
        <w:rPr>
          <w:rtl w:val="0"/>
        </w:rPr>
        <w:t xml:space="preserve">  Franklin Wong lidera a maior equipe, contabilizando 3 subordinados diretos (John Smith, Ramesh Narayan, Joyce English). Jennifer Wallace responde por 2 subordinados (Alicia Zelaya, Ahmad Jabbar). James Borg possui 2 subordinados diretos (Franklin Wong, Jennifer Wallace). John Smith não possui liderados sob sua gestão (0 subordinados).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Diagnóstico de Gestão:</w:t>
      </w:r>
      <w:r w:rsidDel="00000000" w:rsidR="00000000" w:rsidRPr="00000000">
        <w:rPr>
          <w:rtl w:val="0"/>
        </w:rPr>
        <w:t xml:space="preserve">  O visual revela uma estrutura organizacional enxuta e equilibrada. Franklin Wong atua como o principal gestor tático no setor operacional de pesquisa, enquanto James Borg exerce a gestão de topo sobre os líderes dos departamentos operacionais.</w:t>
      </w:r>
    </w:p>
    <w:p w:rsidR="00000000" w:rsidDel="00000000" w:rsidP="00000000" w:rsidRDefault="00000000" w:rsidRPr="00000000" w14:paraId="000000A2">
      <w:pPr>
        <w:pStyle w:val="Heading6"/>
        <w:rPr/>
      </w:pPr>
      <w:bookmarkStart w:colFirst="0" w:colLast="0" w:name="_ccagzunco2gk" w:id="19"/>
      <w:bookmarkEnd w:id="19"/>
      <w:r w:rsidDel="00000000" w:rsidR="00000000" w:rsidRPr="00000000">
        <w:rPr>
          <w:rtl w:val="0"/>
        </w:rPr>
        <w:t xml:space="preserve">Visual 2: Gráfico Financeiro e Salarial por Departamento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Métricas Consolidadas: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Research:</w:t>
      </w:r>
      <w:r w:rsidDel="00000000" w:rsidR="00000000" w:rsidRPr="00000000">
        <w:rPr>
          <w:rtl w:val="0"/>
        </w:rPr>
        <w:t xml:space="preserve">  Total da Folha = $133,000 USD | Média Salarial = $33,250 USD.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Administration:</w:t>
      </w:r>
      <w:r w:rsidDel="00000000" w:rsidR="00000000" w:rsidRPr="00000000">
        <w:rPr>
          <w:rtl w:val="0"/>
        </w:rPr>
        <w:t xml:space="preserve">  Total da Folha = $93,000 USD | Média Salarial = $31,000 USD.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Headquarters:</w:t>
      </w:r>
      <w:r w:rsidDel="00000000" w:rsidR="00000000" w:rsidRPr="00000000">
        <w:rPr>
          <w:rtl w:val="0"/>
        </w:rPr>
        <w:t xml:space="preserve">  Total da Folha = $55,000 USD | Média Salarial = $55,000 USD.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Diagnóstico de Gestão e Esclarecimento do Modelo:</w:t>
      </w:r>
      <w:r w:rsidDel="00000000" w:rsidR="00000000" w:rsidRPr="00000000">
        <w:rPr>
          <w:rtl w:val="0"/>
        </w:rPr>
        <w:t xml:space="preserve">  Nas iterações prévias da camada visual, a ausência de um modelo dimensional limpo provocava junções cartesianas e exibição incorreta do símbolo de moeda em Real (R$), inflando artificialmente os somatórios salariais (como a exibição errônea de R$ 0,40 Mi na soma bruta de Research). Após a refatoração para o modelo em Estrela ( </w:t>
      </w:r>
      <w:r w:rsidDel="00000000" w:rsidR="00000000" w:rsidRPr="00000000">
        <w:rPr>
          <w:i w:val="1"/>
          <w:iCs w:val="1"/>
          <w:rtl w:val="0"/>
        </w:rPr>
        <w:t xml:space="preserve">Star Schema</w:t>
      </w:r>
      <w:r w:rsidDel="00000000" w:rsidR="00000000" w:rsidRPr="00000000">
        <w:rPr>
          <w:rtl w:val="0"/>
        </w:rPr>
        <w:t xml:space="preserve"> ) e tratamento de moedas, o relatório passou a refletir com exatidão os valores originais da base em Dólares (USD), evidenciando que o Research absorve o maior custo absoluto de folha ( $133,000 USD) devido ao quantitativo de pessoal, enquanto o Headquarters apresenta a maior média individual ($ 55,000 USD), decorrente do salário do CEO.</w:t>
      </w:r>
    </w:p>
    <w:p w:rsidR="00000000" w:rsidDel="00000000" w:rsidP="00000000" w:rsidRDefault="00000000" w:rsidRPr="00000000" w14:paraId="000000A8">
      <w:pPr>
        <w:pStyle w:val="Heading6"/>
        <w:rPr/>
      </w:pPr>
      <w:bookmarkStart w:colFirst="0" w:colLast="0" w:name="_5psml6gcpi94" w:id="20"/>
      <w:bookmarkEnd w:id="20"/>
      <w:r w:rsidDel="00000000" w:rsidR="00000000" w:rsidRPr="00000000">
        <w:rPr>
          <w:rtl w:val="0"/>
        </w:rPr>
        <w:t xml:space="preserve">Visual 3: Soma de Horas por Projeto e Setor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Métricas Consolidadas:</w:t>
      </w:r>
      <w:r w:rsidDel="00000000" w:rsidR="00000000" w:rsidRPr="00000000">
        <w:rPr>
          <w:rtl w:val="0"/>
        </w:rPr>
        <w:t xml:space="preserve">  As iniciativas  </w:t>
      </w:r>
      <w:r w:rsidDel="00000000" w:rsidR="00000000" w:rsidRPr="00000000">
        <w:rPr>
          <w:i w:val="1"/>
          <w:iCs w:val="1"/>
          <w:rtl w:val="0"/>
        </w:rPr>
        <w:t xml:space="preserve">Computerization</w:t>
      </w:r>
      <w:r w:rsidDel="00000000" w:rsidR="00000000" w:rsidRPr="00000000">
        <w:rPr>
          <w:rtl w:val="0"/>
        </w:rPr>
        <w:t xml:space="preserve">  (55.0h no total: 45.0h Admin / 10.0h Research) e  </w:t>
      </w:r>
      <w:r w:rsidDel="00000000" w:rsidR="00000000" w:rsidRPr="00000000">
        <w:rPr>
          <w:i w:val="1"/>
          <w:iCs w:val="1"/>
          <w:rtl w:val="0"/>
        </w:rPr>
        <w:t xml:space="preserve">Newbenefits</w:t>
      </w:r>
      <w:r w:rsidDel="00000000" w:rsidR="00000000" w:rsidRPr="00000000">
        <w:rPr>
          <w:rtl w:val="0"/>
        </w:rPr>
        <w:t xml:space="preserve">  (55.0h Admin) registram a maior carga de trabalho. Na sequência, posicionam-se os projetos de pesquisa  </w:t>
      </w:r>
      <w:r w:rsidDel="00000000" w:rsidR="00000000" w:rsidRPr="00000000">
        <w:rPr>
          <w:i w:val="1"/>
          <w:iCs w:val="1"/>
          <w:rtl w:val="0"/>
        </w:rPr>
        <w:t xml:space="preserve">ProductX</w:t>
      </w:r>
      <w:r w:rsidDel="00000000" w:rsidR="00000000" w:rsidRPr="00000000">
        <w:rPr>
          <w:rtl w:val="0"/>
        </w:rPr>
        <w:t xml:space="preserve">  (52.5h),  </w:t>
      </w:r>
      <w:r w:rsidDel="00000000" w:rsidR="00000000" w:rsidRPr="00000000">
        <w:rPr>
          <w:i w:val="1"/>
          <w:iCs w:val="1"/>
          <w:rtl w:val="0"/>
        </w:rPr>
        <w:t xml:space="preserve">ProductZ</w:t>
      </w:r>
      <w:r w:rsidDel="00000000" w:rsidR="00000000" w:rsidRPr="00000000">
        <w:rPr>
          <w:rtl w:val="0"/>
        </w:rPr>
        <w:t xml:space="preserve">  (50.0h) e  </w:t>
      </w:r>
      <w:r w:rsidDel="00000000" w:rsidR="00000000" w:rsidRPr="00000000">
        <w:rPr>
          <w:i w:val="1"/>
          <w:iCs w:val="1"/>
          <w:rtl w:val="0"/>
        </w:rPr>
        <w:t xml:space="preserve">ProductY</w:t>
      </w:r>
      <w:r w:rsidDel="00000000" w:rsidR="00000000" w:rsidRPr="00000000">
        <w:rPr>
          <w:rtl w:val="0"/>
        </w:rPr>
        <w:t xml:space="preserve">  (37.5h). O projeto  </w:t>
      </w:r>
      <w:r w:rsidDel="00000000" w:rsidR="00000000" w:rsidRPr="00000000">
        <w:rPr>
          <w:i w:val="1"/>
          <w:iCs w:val="1"/>
          <w:rtl w:val="0"/>
        </w:rPr>
        <w:t xml:space="preserve">Reorganization</w:t>
      </w:r>
      <w:r w:rsidDel="00000000" w:rsidR="00000000" w:rsidRPr="00000000">
        <w:rPr>
          <w:rtl w:val="0"/>
        </w:rPr>
        <w:t xml:space="preserve">  soma 25.0h (15.0h Admin / 10.0h Research / 0.0h HQ).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Diagnóstico de Gestão:</w:t>
      </w:r>
      <w:r w:rsidDel="00000000" w:rsidR="00000000" w:rsidRPr="00000000">
        <w:rPr>
          <w:rtl w:val="0"/>
        </w:rPr>
        <w:t xml:space="preserve">  A distribuição do esforço demonstra priorização clara em projetos de infraestrutura/modernização ( </w:t>
      </w:r>
      <w:r w:rsidDel="00000000" w:rsidR="00000000" w:rsidRPr="00000000">
        <w:rPr>
          <w:i w:val="1"/>
          <w:iCs w:val="1"/>
          <w:rtl w:val="0"/>
        </w:rPr>
        <w:t xml:space="preserve">Computerization</w:t>
      </w:r>
      <w:r w:rsidDel="00000000" w:rsidR="00000000" w:rsidRPr="00000000">
        <w:rPr>
          <w:rtl w:val="0"/>
        </w:rPr>
        <w:t xml:space="preserve"> ) e gestão de benefícios ( </w:t>
      </w:r>
      <w:r w:rsidDel="00000000" w:rsidR="00000000" w:rsidRPr="00000000">
        <w:rPr>
          <w:i w:val="1"/>
          <w:iCs w:val="1"/>
          <w:rtl w:val="0"/>
        </w:rPr>
        <w:t xml:space="preserve">Newbenefits</w:t>
      </w:r>
      <w:r w:rsidDel="00000000" w:rsidR="00000000" w:rsidRPr="00000000">
        <w:rPr>
          <w:rtl w:val="0"/>
        </w:rPr>
        <w:t xml:space="preserve"> ), enquanto a equipe de Research mantém dedicação contínua ao desenvolvimento de novos produtos (linhas X, Y e Z).</w:t>
      </w:r>
    </w:p>
    <w:p w:rsidR="00000000" w:rsidDel="00000000" w:rsidP="00000000" w:rsidRDefault="00000000" w:rsidRPr="00000000" w14:paraId="000000AB">
      <w:pPr>
        <w:pStyle w:val="Heading6"/>
        <w:rPr/>
      </w:pPr>
      <w:bookmarkStart w:colFirst="0" w:colLast="0" w:name="_u8qwmbfl0evo" w:id="21"/>
      <w:bookmarkEnd w:id="21"/>
      <w:r w:rsidDel="00000000" w:rsidR="00000000" w:rsidRPr="00000000">
        <w:rPr>
          <w:rtl w:val="0"/>
        </w:rPr>
        <w:t xml:space="preserve">Visual 4: Polos Regionais por Departamento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Métricas Consolidadas:</w:t>
      </w:r>
      <w:r w:rsidDel="00000000" w:rsidR="00000000" w:rsidRPr="00000000">
        <w:rPr>
          <w:rtl w:val="0"/>
        </w:rPr>
        <w:t xml:space="preserve">  O departamento de Research opera de forma descentralizada em 3 polos regionais (Bellaire, Sugarland e Houston). Administration opera em 1 polo (Stafford) e Headquarters em 1 polo (Houston).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Diagnóstico de Gestão:</w:t>
      </w:r>
      <w:r w:rsidDel="00000000" w:rsidR="00000000" w:rsidRPr="00000000">
        <w:rPr>
          <w:rtl w:val="0"/>
        </w:rPr>
        <w:t xml:space="preserve">  A dispersão geográfica do departamento de Research exige maior maturidade na governança de ativos e comunicação remota, ao passo que os demais setores mantêm operações centralizadas.</w:t>
      </w:r>
    </w:p>
    <w:p w:rsidR="00000000" w:rsidDel="00000000" w:rsidP="00000000" w:rsidRDefault="00000000" w:rsidRPr="00000000" w14:paraId="000000AE">
      <w:pPr>
        <w:pStyle w:val="Heading6"/>
        <w:rPr/>
      </w:pPr>
      <w:bookmarkStart w:colFirst="0" w:colLast="0" w:name="_2068rphg635y" w:id="22"/>
      <w:bookmarkEnd w:id="22"/>
      <w:r w:rsidDel="00000000" w:rsidR="00000000" w:rsidRPr="00000000">
        <w:rPr>
          <w:rtl w:val="0"/>
        </w:rPr>
        <w:t xml:space="preserve">Diagnóstico e Resolução de Erros Técnicos no Power BI</w:t>
      </w:r>
    </w:p>
    <w:p w:rsidR="00000000" w:rsidDel="00000000" w:rsidP="00000000" w:rsidRDefault="00000000" w:rsidRPr="00000000" w14:paraId="000000AF">
      <w:pPr>
        <w:pStyle w:val="Heading6"/>
        <w:rPr/>
      </w:pPr>
      <w:bookmarkStart w:colFirst="0" w:colLast="0" w:name="_k0fzgts4jx12" w:id="23"/>
      <w:bookmarkEnd w:id="23"/>
      <w:r w:rsidDel="00000000" w:rsidR="00000000" w:rsidRPr="00000000">
        <w:rPr>
          <w:rtl w:val="0"/>
        </w:rPr>
        <w:t xml:space="preserve">Causa-Raiz e Solução do Erro ComplexHighlightsNotAllowed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Durante a fase de construção dos relatórios gráficos no Power BI Desktop, o motor de renderização interrompeu a exibição do visual, emitindo o erro técnico com o seguinte código subjacente: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Erro Subjacente: ComplexHighlightsNotAllowed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Mais detalhes: The query contains an unsupported highlight filter on measure 'H0'. 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Highlight filter conditions must not specify multiple tuples of values for columns 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different tables against this model.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Diagnóstico de Causa-Raiz:</w:t>
      </w:r>
      <w:r w:rsidDel="00000000" w:rsidR="00000000" w:rsidRPr="00000000">
        <w:rPr>
          <w:rtl w:val="0"/>
        </w:rPr>
        <w:t xml:space="preserve">  O erro ocorreu devido à execução da medida DAX para contagem de subordinados configurada como:  $$\text{Nº de Subordinados Diretos} = \text{COUNTROWS('azure_company employee')}$$  Ao arrastar essa medida não restrita para visuais que cruzavam atributos de múltiplas tabelas desnormalizadas sem cardinalidade explícita, o mecanismo de filtragem cruzada ( </w:t>
      </w:r>
      <w:r w:rsidDel="00000000" w:rsidR="00000000" w:rsidRPr="00000000">
        <w:rPr>
          <w:i w:val="1"/>
          <w:iCs w:val="1"/>
          <w:rtl w:val="0"/>
        </w:rPr>
        <w:t xml:space="preserve">cross-highlighting</w:t>
      </w:r>
      <w:r w:rsidDel="00000000" w:rsidR="00000000" w:rsidRPr="00000000">
        <w:rPr>
          <w:rtl w:val="0"/>
        </w:rPr>
        <w:t xml:space="preserve"> ) tentou avaliar múltiplas tuplas de tabelas distintas no mesmo contexto de filtro não suportado pelo motor.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Remediação Aplicada: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Reestruturação do modelo analítico para a arquitetura Star Schema, isolando a dimensão dim_employee.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Ajuste do contexto de filtro das fórmulas DAX utilizando funções de agregação contextualizadas (CALCULATE e COUNTROWS sobre tabelas dimensionais devidamente relacionadas).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Configuração do comportamento das interações visuais no Power BI Desktop, desativando o realce cruzado ( </w:t>
      </w:r>
      <w:r w:rsidDel="00000000" w:rsidR="00000000" w:rsidRPr="00000000">
        <w:rPr>
          <w:i w:val="1"/>
          <w:iCs w:val="1"/>
          <w:rtl w:val="0"/>
        </w:rPr>
        <w:t xml:space="preserve">cross-highlighting</w:t>
      </w:r>
      <w:r w:rsidDel="00000000" w:rsidR="00000000" w:rsidRPr="00000000">
        <w:rPr>
          <w:rtl w:val="0"/>
        </w:rPr>
        <w:t xml:space="preserve"> ) complexo nos gráficos afetados para priorizar a filtragem direta ( </w:t>
      </w:r>
      <w:r w:rsidDel="00000000" w:rsidR="00000000" w:rsidRPr="00000000">
        <w:rPr>
          <w:i w:val="1"/>
          <w:iCs w:val="1"/>
          <w:rtl w:val="0"/>
        </w:rPr>
        <w:t xml:space="preserve">cross-filtering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BB">
      <w:pPr>
        <w:pStyle w:val="Heading6"/>
        <w:rPr/>
      </w:pPr>
      <w:bookmarkStart w:colFirst="0" w:colLast="0" w:name="_b7oxmhm0huk4" w:id="24"/>
      <w:bookmarkEnd w:id="24"/>
      <w:r w:rsidDel="00000000" w:rsidR="00000000" w:rsidRPr="00000000">
        <w:rPr>
          <w:rtl w:val="0"/>
        </w:rPr>
        <w:t xml:space="preserve">Transição Visual de UX/UI e Publicação no Tema Escuro (Dark Theme)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As versões iniciais do painel apresentavam limitações de usabilidade e interface (UX/UI), tais como rótulos de dados colidindo sobre as barras, eixos não formatados e ausência de contraste adequado em fundos claros padrão.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                         EVOLUÇÃO VISUAL E REMEDIAÇÃO UX/UI                          │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┌─────────────────────────────────────────┐          ┌───────────────────────────────────┐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│ ITERAÇÃO INICIAL (LAYOUT CLARO / ERROS) │          │ ITERAÇÃO FINAL (DARK THEME WEB)   │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├─────────────────────────────────────────┤          ├───────────────────────────────────┤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│ • Rótulos sobrepostos em barras         │ ───────&gt; │ • Tema Escuro (Dark Theme)        │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│ • Ruído de junção artesiana (R$ 0,40M)  │  Ajustes │ • Rótulos com alto contraste      │</w:t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│ • Bloqueio ComplexHighlightsNotAllowed  │  Modelag.│ • Valores calibrados em Dólares   │</w:t>
      </w:r>
    </w:p>
    <w:p w:rsidR="00000000" w:rsidDel="00000000" w:rsidP="00000000" w:rsidRDefault="00000000" w:rsidRPr="00000000" w14:paraId="000000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│ • Eixos e legendas desalinhados         │          │ • Publicado no Power BI Service   │</w:t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└─────────────────────────────────────────┘          └───────────────────────────────────┘</w:t>
      </w:r>
    </w:p>
    <w:p w:rsidR="00000000" w:rsidDel="00000000" w:rsidP="00000000" w:rsidRDefault="00000000" w:rsidRPr="00000000" w14:paraId="000000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 otimização final da interface contemplou: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Adoção do Tema Escuro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Dark Theme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Implementação de um fundo escuro corporativo com barras de dados em cores de alto contraste, eliminando o cansaço visual e facilitando a leitura em salas de reunião executivas.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Ajuste Fino de Rótulos e Margens:</w:t>
      </w:r>
      <w:r w:rsidDel="00000000" w:rsidR="00000000" w:rsidRPr="00000000">
        <w:rPr>
          <w:rtl w:val="0"/>
        </w:rPr>
        <w:t xml:space="preserve">  Formatação manual de tamanhos de fonte, alinhamento de legendas e posicionamento de rótulos acima dos elementos visuais, eliminando qualquer sobreposição.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Publicação no Serviço em Nuvem:</w:t>
      </w:r>
      <w:r w:rsidDel="00000000" w:rsidR="00000000" w:rsidRPr="00000000">
        <w:rPr>
          <w:rtl w:val="0"/>
        </w:rPr>
        <w:t xml:space="preserve">  O relatório limpo, validado e estilizado foi publicado no ambiente Power BI Service web, garantindo acesso seguro, atualizações agendadas e alinhamento às melhores práticas globais de governança de dados.A condução do diagnóstico de infraestrutura, a limpeza criteriosa no pipeline ETL, a engenharia da modelagem em Estrela e a entrega do dashboard no Power BI Service consolidam uma solução analítica de alta performance, proporcionando à liderança executiva uma visão precisa e acionável para a governança estratégica da empresa.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