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1EC" w14:textId="62CDD8CD" w:rsidR="003715ED" w:rsidRPr="00B249DB" w:rsidRDefault="003715ED" w:rsidP="00B249DB">
      <w:pPr>
        <w:jc w:val="center"/>
        <w:rPr>
          <w:b/>
          <w:bCs/>
        </w:rPr>
      </w:pPr>
      <w:r w:rsidRPr="00B249DB">
        <w:rPr>
          <w:b/>
          <w:bCs/>
        </w:rPr>
        <w:t>Stack Definition using Mathematical notation</w:t>
      </w:r>
    </w:p>
    <w:p w14:paraId="4D73E9CC" w14:textId="0EC16590" w:rsidR="00A14CD0" w:rsidRDefault="00A14CD0">
      <w:r>
        <w:t>We can suppose that following symbols are:</w:t>
      </w:r>
    </w:p>
    <w:p w14:paraId="093C1714" w14:textId="613F1E22" w:rsidR="003715ED" w:rsidRDefault="003715ED">
      <w:r>
        <w:t xml:space="preserve">X: </w:t>
      </w:r>
      <w:r w:rsidR="001B007E">
        <w:t>element’s type</w:t>
      </w:r>
      <w:r>
        <w:t xml:space="preserve"> in a Stack</w:t>
      </w:r>
    </w:p>
    <w:p w14:paraId="484CC59D" w14:textId="69BC0FE7" w:rsidR="003715ED" w:rsidRDefault="002F58F7">
      <w:r>
        <w:t>S</w:t>
      </w:r>
      <w:r w:rsidR="001B007E">
        <w:t>: Stack</w:t>
      </w:r>
    </w:p>
    <w:p w14:paraId="479291D5" w14:textId="6B97F454" w:rsidR="001B007E" w:rsidRDefault="001B007E">
      <w:r>
        <w:t>x: element in a Stack</w:t>
      </w:r>
    </w:p>
    <w:p w14:paraId="3F8537F2" w14:textId="3B1FBADB" w:rsidR="005A7EB8" w:rsidRDefault="005A7EB8">
      <w:r>
        <w:t>We are also assuming that we are calling these functions with the stack pointer that exist. Undeclared stack pointer will yield Null.</w:t>
      </w:r>
    </w:p>
    <w:p w14:paraId="3D6BE671" w14:textId="6F744E0C" w:rsidR="001B007E" w:rsidRDefault="001B007E"/>
    <w:p w14:paraId="5BE309C2" w14:textId="77777777" w:rsidR="001B007E" w:rsidRDefault="001B007E"/>
    <w:p w14:paraId="4B0F2807" w14:textId="33BDA2A5" w:rsidR="003715ED" w:rsidRDefault="003715ED">
      <w:r w:rsidRPr="00DE2F28">
        <w:t>Size</w:t>
      </w:r>
      <w:r>
        <w:t>:</w:t>
      </w:r>
      <w:r w:rsidR="001B007E">
        <w:t xml:space="preserve"> </w:t>
      </w:r>
      <w:r w:rsidR="002F58F7">
        <w:t xml:space="preserve"> </w:t>
      </w:r>
      <w:r w:rsidR="001B007E">
        <w:t xml:space="preserve">      </w:t>
      </w:r>
      <w:proofErr w:type="spellStart"/>
      <w:proofErr w:type="gramStart"/>
      <w:r w:rsidR="00AA772A">
        <w:t>len</w:t>
      </w:r>
      <w:proofErr w:type="spellEnd"/>
      <w:r w:rsidR="00AA772A">
        <w:t>(</w:t>
      </w:r>
      <w:proofErr w:type="gramEnd"/>
      <w:r w:rsidR="002F58F7">
        <w:t>S</w:t>
      </w:r>
      <w:r w:rsidR="00AA772A">
        <w:t xml:space="preserve">: </w:t>
      </w:r>
      <w:r w:rsidR="00B249DB">
        <w:t>S</w:t>
      </w:r>
      <w:r w:rsidR="00AA772A">
        <w:t>tack)</w:t>
      </w:r>
    </w:p>
    <w:p w14:paraId="0D155967" w14:textId="7F9E4DC5" w:rsidR="005A7EB8" w:rsidRDefault="005A7EB8">
      <w:r>
        <w:t>Thus, Size returns length of stack which is list.</w:t>
      </w:r>
    </w:p>
    <w:p w14:paraId="0E4505D4" w14:textId="77777777" w:rsidR="005A7EB8" w:rsidRDefault="005A7EB8"/>
    <w:p w14:paraId="6E5ECC0B" w14:textId="771A8476" w:rsidR="003715ED" w:rsidRDefault="003715ED">
      <w:pPr>
        <w:rPr>
          <w:b/>
          <w:bCs/>
        </w:rPr>
      </w:pPr>
      <w:r w:rsidRPr="00DE2F28">
        <w:t>Empty</w:t>
      </w:r>
      <w:r>
        <w:t>:</w:t>
      </w:r>
      <w:r w:rsidR="005E392D">
        <w:t xml:space="preserve">   </w:t>
      </w:r>
      <w:r w:rsidR="008903A7">
        <w:t xml:space="preserve">if </w:t>
      </w:r>
      <w:r w:rsidR="008903A7" w:rsidRPr="00DE2F28">
        <w:rPr>
          <w:b/>
          <w:bCs/>
        </w:rPr>
        <w:t>[nil]</w:t>
      </w:r>
      <w:r w:rsidR="008903A7">
        <w:t xml:space="preserve"> then </w:t>
      </w:r>
      <w:r w:rsidR="008903A7" w:rsidRPr="00DE2F28">
        <w:rPr>
          <w:b/>
          <w:bCs/>
        </w:rPr>
        <w:t>True</w:t>
      </w:r>
      <w:r w:rsidR="008903A7">
        <w:t xml:space="preserve"> else </w:t>
      </w:r>
      <w:r w:rsidR="008903A7" w:rsidRPr="00DE2F28">
        <w:rPr>
          <w:b/>
          <w:bCs/>
        </w:rPr>
        <w:t>False</w:t>
      </w:r>
    </w:p>
    <w:p w14:paraId="4F58937C" w14:textId="7326F7DD" w:rsidR="005A7EB8" w:rsidRDefault="005A7EB8">
      <w:r>
        <w:t>Thus, Empty returns True if and only if stack contains nothing.</w:t>
      </w:r>
    </w:p>
    <w:p w14:paraId="31AFA508" w14:textId="77777777" w:rsidR="005A7EB8" w:rsidRPr="005A7EB8" w:rsidRDefault="005A7EB8"/>
    <w:p w14:paraId="715EA514" w14:textId="3A5AF13C" w:rsidR="003715ED" w:rsidRDefault="003715ED">
      <w:r w:rsidRPr="00DE2F28">
        <w:t>Push</w:t>
      </w:r>
      <w:r>
        <w:t>:</w:t>
      </w:r>
      <w:r w:rsidR="005E392D">
        <w:t xml:space="preserve">      </w:t>
      </w:r>
      <w:r w:rsidR="002F58F7">
        <w:t>&lt; S</w:t>
      </w:r>
      <w:r w:rsidR="005E392D">
        <w:t xml:space="preserve">: stack </w:t>
      </w:r>
      <w:r w:rsidR="001B007E">
        <w:sym w:font="Wingdings" w:char="F0E0"/>
      </w:r>
      <w:r w:rsidR="005E392D">
        <w:t xml:space="preserve"> </w:t>
      </w:r>
      <w:r w:rsidR="001B007E">
        <w:t xml:space="preserve">  </w:t>
      </w:r>
      <w:proofErr w:type="gramStart"/>
      <w:r w:rsidR="002F58F7">
        <w:t>&lt;</w:t>
      </w:r>
      <w:r w:rsidR="001B007E">
        <w:t xml:space="preserve">  x</w:t>
      </w:r>
      <w:proofErr w:type="gramEnd"/>
      <w:r w:rsidR="001B007E">
        <w:t xml:space="preserve">: int </w:t>
      </w:r>
      <w:r w:rsidR="001B007E">
        <w:sym w:font="Wingdings" w:char="F0E0"/>
      </w:r>
      <w:r w:rsidR="001B007E">
        <w:t xml:space="preserve"> </w:t>
      </w:r>
      <w:r w:rsidR="002F58F7" w:rsidRPr="00DE2F28">
        <w:rPr>
          <w:b/>
          <w:bCs/>
        </w:rPr>
        <w:t>S</w:t>
      </w:r>
      <w:r w:rsidR="001B007E" w:rsidRPr="00DE2F28">
        <w:rPr>
          <w:b/>
          <w:bCs/>
          <w:vertAlign w:val="superscript"/>
        </w:rPr>
        <w:t>+</w:t>
      </w:r>
      <w:r w:rsidR="001B007E" w:rsidRPr="00DE2F28">
        <w:rPr>
          <w:b/>
          <w:bCs/>
        </w:rPr>
        <w:t>[x]</w:t>
      </w:r>
      <w:r w:rsidR="001B007E">
        <w:t xml:space="preserve">   </w:t>
      </w:r>
      <w:r w:rsidR="002F58F7">
        <w:t>&gt;&gt;</w:t>
      </w:r>
      <w:r w:rsidR="001B007E">
        <w:t xml:space="preserve"> </w:t>
      </w:r>
    </w:p>
    <w:p w14:paraId="4DE54FA8" w14:textId="68F7C443" w:rsidR="005A7EB8" w:rsidRDefault="005A7EB8">
      <w:r>
        <w:t xml:space="preserve">Thus, Push returns a new stack with new element added </w:t>
      </w:r>
      <w:r w:rsidR="00B60B0D">
        <w:t>at the end of list/</w:t>
      </w:r>
      <w:r>
        <w:t>stack.</w:t>
      </w:r>
    </w:p>
    <w:p w14:paraId="01D61679" w14:textId="77777777" w:rsidR="005A7EB8" w:rsidRDefault="005A7EB8"/>
    <w:p w14:paraId="0DE58EEF" w14:textId="1B6B9B67" w:rsidR="003715ED" w:rsidRDefault="003715ED">
      <w:r w:rsidRPr="00DE2F28">
        <w:t>Pop</w:t>
      </w:r>
      <w:r>
        <w:t>:</w:t>
      </w:r>
      <w:r w:rsidR="001B007E">
        <w:t xml:space="preserve">       </w:t>
      </w:r>
      <w:r w:rsidR="008903A7">
        <w:t xml:space="preserve"> </w:t>
      </w:r>
      <w:r w:rsidR="002F58F7">
        <w:t>&lt; S</w:t>
      </w:r>
      <w:r w:rsidR="001B007E">
        <w:t xml:space="preserve">: stack </w:t>
      </w:r>
      <w:r w:rsidR="001B007E">
        <w:sym w:font="Wingdings" w:char="F0E0"/>
      </w:r>
      <w:r w:rsidR="001B007E">
        <w:t xml:space="preserve">   if </w:t>
      </w:r>
      <w:r w:rsidR="002F58F7">
        <w:t>S</w:t>
      </w:r>
      <w:r w:rsidR="00AA772A">
        <w:t>=</w:t>
      </w:r>
      <w:r w:rsidR="00AA772A" w:rsidRPr="00AA772A">
        <w:rPr>
          <w:b/>
          <w:bCs/>
        </w:rPr>
        <w:t>Empty</w:t>
      </w:r>
      <w:r w:rsidR="00AA772A">
        <w:t xml:space="preserve"> then </w:t>
      </w:r>
      <w:r w:rsidR="00AA772A">
        <w:rPr>
          <w:b/>
          <w:bCs/>
        </w:rPr>
        <w:t>[</w:t>
      </w:r>
      <w:r w:rsidR="00DE2F28">
        <w:rPr>
          <w:b/>
          <w:bCs/>
        </w:rPr>
        <w:t>N</w:t>
      </w:r>
      <w:r w:rsidR="00AA772A">
        <w:rPr>
          <w:b/>
          <w:bCs/>
        </w:rPr>
        <w:t xml:space="preserve">il] </w:t>
      </w:r>
      <w:proofErr w:type="gramStart"/>
      <w:r w:rsidR="00AA772A">
        <w:t xml:space="preserve">else </w:t>
      </w:r>
      <w:r w:rsidR="002F58F7">
        <w:t xml:space="preserve"> </w:t>
      </w:r>
      <w:r w:rsidR="002F58F7" w:rsidRPr="00DE2F28">
        <w:rPr>
          <w:b/>
          <w:bCs/>
        </w:rPr>
        <w:t>S</w:t>
      </w:r>
      <w:proofErr w:type="gramEnd"/>
      <w:r w:rsidR="00AA772A" w:rsidRPr="00DE2F28">
        <w:rPr>
          <w:b/>
          <w:bCs/>
        </w:rPr>
        <w:t>[0,1,…#</w:t>
      </w:r>
      <w:r w:rsidR="002F58F7" w:rsidRPr="00DE2F28">
        <w:rPr>
          <w:b/>
          <w:bCs/>
        </w:rPr>
        <w:t>S</w:t>
      </w:r>
      <w:r w:rsidR="00AA772A" w:rsidRPr="00DE2F28">
        <w:rPr>
          <w:b/>
          <w:bCs/>
        </w:rPr>
        <w:t>-1]</w:t>
      </w:r>
      <w:r w:rsidR="00AA772A">
        <w:t xml:space="preserve"> fi </w:t>
      </w:r>
      <w:r w:rsidR="002F58F7">
        <w:t xml:space="preserve">  &gt;</w:t>
      </w:r>
      <w:r w:rsidR="00AA772A">
        <w:t xml:space="preserve"> </w:t>
      </w:r>
    </w:p>
    <w:p w14:paraId="0A358F0B" w14:textId="290EC8BB" w:rsidR="00B60B0D" w:rsidRDefault="00B60B0D">
      <w:r>
        <w:t>Thus, Pop returns a new stack without last element in a stack/list if and only if stack is not empty.</w:t>
      </w:r>
    </w:p>
    <w:p w14:paraId="1CC0DE64" w14:textId="77777777" w:rsidR="00B60B0D" w:rsidRDefault="00B60B0D"/>
    <w:p w14:paraId="76356055" w14:textId="309F03BC" w:rsidR="003715ED" w:rsidRDefault="003715ED">
      <w:r w:rsidRPr="00DE2F28">
        <w:t>Top</w:t>
      </w:r>
      <w:r>
        <w:t>:</w:t>
      </w:r>
      <w:r w:rsidR="00AA772A">
        <w:t xml:space="preserve">        </w:t>
      </w:r>
      <w:r w:rsidR="002F58F7">
        <w:t>&lt; S</w:t>
      </w:r>
      <w:r w:rsidR="00B249DB">
        <w:t xml:space="preserve">: stack </w:t>
      </w:r>
      <w:r w:rsidR="00B249DB">
        <w:sym w:font="Wingdings" w:char="F0E0"/>
      </w:r>
      <w:r w:rsidR="00B249DB">
        <w:t xml:space="preserve">   if </w:t>
      </w:r>
      <w:r w:rsidR="002F58F7">
        <w:t>S</w:t>
      </w:r>
      <w:r w:rsidR="00B249DB">
        <w:t>=</w:t>
      </w:r>
      <w:r w:rsidR="00B249DB" w:rsidRPr="002F58F7">
        <w:rPr>
          <w:b/>
          <w:bCs/>
        </w:rPr>
        <w:t>Empty</w:t>
      </w:r>
      <w:r w:rsidR="00B249DB">
        <w:t xml:space="preserve"> then </w:t>
      </w:r>
      <w:r w:rsidR="002F58F7" w:rsidRPr="002F58F7">
        <w:rPr>
          <w:b/>
          <w:bCs/>
        </w:rPr>
        <w:t>Null</w:t>
      </w:r>
      <w:r w:rsidR="002F58F7">
        <w:t xml:space="preserve"> </w:t>
      </w:r>
      <w:proofErr w:type="gramStart"/>
      <w:r w:rsidR="002F58F7">
        <w:t xml:space="preserve">else  </w:t>
      </w:r>
      <w:r w:rsidR="002F58F7" w:rsidRPr="00DE2F28">
        <w:rPr>
          <w:b/>
          <w:bCs/>
        </w:rPr>
        <w:t>S</w:t>
      </w:r>
      <w:proofErr w:type="gramEnd"/>
      <w:r w:rsidR="002F58F7" w:rsidRPr="00DE2F28">
        <w:rPr>
          <w:b/>
          <w:bCs/>
        </w:rPr>
        <w:t>(#S-1)</w:t>
      </w:r>
      <w:r w:rsidR="002F58F7">
        <w:t xml:space="preserve"> fi   &gt;  </w:t>
      </w:r>
    </w:p>
    <w:p w14:paraId="4442DDC4" w14:textId="7D9B4973" w:rsidR="003715ED" w:rsidRDefault="00B60B0D">
      <w:r>
        <w:t>Thus, Top return the last element of list/stack if and only if stack is not empty.</w:t>
      </w:r>
    </w:p>
    <w:p w14:paraId="6D546FDB" w14:textId="04312E10" w:rsidR="00A14CD0" w:rsidRDefault="00A14CD0"/>
    <w:p w14:paraId="6DC0C89E" w14:textId="17DD4711" w:rsidR="00B60B0D" w:rsidRDefault="00B60B0D"/>
    <w:p w14:paraId="1EFC1FC9" w14:textId="495C15DF" w:rsidR="00B60B0D" w:rsidRDefault="00B60B0D"/>
    <w:p w14:paraId="6CBFDA29" w14:textId="1721420B" w:rsidR="00B60B0D" w:rsidRDefault="00B60B0D"/>
    <w:p w14:paraId="71EF703E" w14:textId="09B1E8F9" w:rsidR="00B60B0D" w:rsidRDefault="00B60B0D"/>
    <w:p w14:paraId="0943420C" w14:textId="74497290" w:rsidR="00B60B0D" w:rsidRDefault="00B60B0D"/>
    <w:p w14:paraId="5EBE5F46" w14:textId="2284A7C3" w:rsidR="00B60B0D" w:rsidRDefault="00B60B0D">
      <w:r>
        <w:lastRenderedPageBreak/>
        <w:t>Reference:</w:t>
      </w:r>
    </w:p>
    <w:p w14:paraId="5624A181" w14:textId="0F844F5C" w:rsidR="00B60B0D" w:rsidRDefault="00B60B0D">
      <w:pPr>
        <w:rPr>
          <w:color w:val="333333"/>
          <w:shd w:val="clear" w:color="auto" w:fill="FFFFFF"/>
        </w:rPr>
      </w:pPr>
      <w:r>
        <w:t xml:space="preserve">[1].  </w:t>
      </w:r>
      <w:proofErr w:type="gramStart"/>
      <w:r>
        <w:rPr>
          <w:color w:val="333333"/>
          <w:shd w:val="clear" w:color="auto" w:fill="FFFFFF"/>
        </w:rPr>
        <w:t>R. Neff,</w:t>
      </w:r>
      <w:proofErr w:type="gramEnd"/>
      <w:r>
        <w:rPr>
          <w:color w:val="333333"/>
          <w:shd w:val="clear" w:color="auto" w:fill="FFFFFF"/>
        </w:rPr>
        <w:t> </w:t>
      </w:r>
      <w:r>
        <w:rPr>
          <w:i/>
          <w:iCs/>
          <w:color w:val="333333"/>
        </w:rPr>
        <w:t>Metaphors Be With You</w:t>
      </w:r>
      <w:r>
        <w:rPr>
          <w:color w:val="333333"/>
          <w:shd w:val="clear" w:color="auto" w:fill="FFFFFF"/>
        </w:rPr>
        <w:t>. [Online]. Available: https://rickneff.github.io/metaphors-be-with-you.html#outline-container-org32e5c89. [Accessed: 27-Oct-2019].</w:t>
      </w:r>
    </w:p>
    <w:p w14:paraId="592BA968" w14:textId="79AB1E64" w:rsidR="00AA1433" w:rsidRDefault="00AA143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333333"/>
          <w:shd w:val="clear" w:color="auto" w:fill="FFFFFF"/>
        </w:rPr>
        <w:t xml:space="preserve">[2].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Neff, R.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Help with Stack Definition in Mathematical Notation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34B9CD67" w14:textId="6FB5CB4F" w:rsidR="00557662" w:rsidRDefault="00557662" w:rsidP="00557662">
      <w:pPr>
        <w:shd w:val="clear" w:color="auto" w:fill="F5FAFE"/>
        <w:rPr>
          <w:rFonts w:ascii="Arial" w:eastAsia="Times New Roman" w:hAnsi="Arial" w:cs="Arial"/>
          <w:color w:val="045281"/>
          <w:sz w:val="20"/>
          <w:szCs w:val="20"/>
        </w:rPr>
      </w:pPr>
      <w:r>
        <w:t>[</w:t>
      </w:r>
      <w:r w:rsidR="00381E40">
        <w:t>3</w:t>
      </w:r>
      <w:r>
        <w:t xml:space="preserve">].   </w:t>
      </w:r>
      <w:r w:rsidRPr="00425CDE">
        <w:rPr>
          <w:rFonts w:ascii="Arial" w:eastAsia="Times New Roman" w:hAnsi="Arial" w:cs="Arial"/>
          <w:color w:val="045281"/>
          <w:sz w:val="20"/>
          <w:szCs w:val="20"/>
        </w:rPr>
        <w:t xml:space="preserve">R. </w:t>
      </w:r>
      <w:proofErr w:type="spellStart"/>
      <w:r w:rsidRPr="00425CDE">
        <w:rPr>
          <w:rFonts w:ascii="Arial" w:eastAsia="Times New Roman" w:hAnsi="Arial" w:cs="Arial"/>
          <w:color w:val="045281"/>
          <w:sz w:val="20"/>
          <w:szCs w:val="20"/>
        </w:rPr>
        <w:t>Hehner</w:t>
      </w:r>
      <w:proofErr w:type="spellEnd"/>
      <w:r w:rsidRPr="00425CDE">
        <w:rPr>
          <w:rFonts w:ascii="Arial" w:eastAsia="Times New Roman" w:hAnsi="Arial" w:cs="Arial"/>
          <w:color w:val="045281"/>
          <w:sz w:val="20"/>
          <w:szCs w:val="20"/>
        </w:rPr>
        <w:t>, “Stack-Data Theory”. 26-Oct.-2019.</w:t>
      </w:r>
      <w:bookmarkStart w:id="0" w:name="_GoBack"/>
      <w:bookmarkEnd w:id="0"/>
    </w:p>
    <w:p w14:paraId="2C457C0E" w14:textId="75D57E95" w:rsidR="00381E40" w:rsidRPr="00381E40" w:rsidRDefault="00381E40" w:rsidP="00381E40">
      <w:pPr>
        <w:pStyle w:val="NormalWeb"/>
        <w:ind w:left="567" w:hanging="567"/>
      </w:pPr>
      <w:r>
        <w:rPr>
          <w:rFonts w:ascii="Arial" w:hAnsi="Arial" w:cs="Arial"/>
          <w:color w:val="045281"/>
          <w:sz w:val="20"/>
          <w:szCs w:val="20"/>
        </w:rPr>
        <w:t xml:space="preserve">[4].   </w:t>
      </w:r>
      <w:r>
        <w:t xml:space="preserve">Larsen, Peter </w:t>
      </w:r>
      <w:proofErr w:type="spellStart"/>
      <w:r>
        <w:t>Gorm</w:t>
      </w:r>
      <w:proofErr w:type="spellEnd"/>
      <w:r>
        <w:t xml:space="preserve">, et al. </w:t>
      </w:r>
      <w:r>
        <w:rPr>
          <w:i/>
          <w:iCs/>
        </w:rPr>
        <w:t>Overture – Open-Source Tools for Formal Modelling</w:t>
      </w:r>
      <w:r>
        <w:t>.</w:t>
      </w:r>
    </w:p>
    <w:p w14:paraId="1F757155" w14:textId="2A8E41E5" w:rsidR="00AA1433" w:rsidRDefault="00BE18D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381E40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].  </w:t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 xml:space="preserve">K.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Klement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5"/>
        </w:rPr>
        <w:t>, "Propositional Logic Reference,"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5F5F5"/>
        </w:rPr>
        <w:t>Internet Encyclopedia of Philosophy</w:t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>, Retrieved 15 December 2015.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5"/>
        </w:rPr>
        <w:t>[Online] Available: </w:t>
      </w:r>
      <w:hyperlink r:id="rId4" w:history="1">
        <w:r>
          <w:rPr>
            <w:rStyle w:val="Hyperlink"/>
            <w:rFonts w:ascii="Verdana" w:hAnsi="Verdana"/>
            <w:color w:val="009ACE"/>
            <w:sz w:val="20"/>
            <w:szCs w:val="20"/>
            <w:shd w:val="clear" w:color="auto" w:fill="F5F5F5"/>
          </w:rPr>
          <w:t>http://www.iep.utm.edu/prop-log</w:t>
        </w:r>
      </w:hyperlink>
    </w:p>
    <w:p w14:paraId="64FD19B5" w14:textId="69D3717E" w:rsidR="00425CDE" w:rsidRDefault="00BE18D5" w:rsidP="00425CDE">
      <w:pPr>
        <w:pStyle w:val="NormalWeb"/>
        <w:ind w:left="567" w:hanging="567"/>
      </w:pPr>
      <w:r>
        <w:t>[</w:t>
      </w:r>
      <w:r w:rsidR="00381E40">
        <w:t>6</w:t>
      </w:r>
      <w:r>
        <w:t xml:space="preserve">].   </w:t>
      </w:r>
      <w:r w:rsidR="00425CDE">
        <w:t xml:space="preserve">“Stacks, Queues, and Linked List.” </w:t>
      </w:r>
      <w:r w:rsidR="00425CDE">
        <w:rPr>
          <w:i/>
          <w:iCs/>
        </w:rPr>
        <w:t>Https://Www.cs.purdue.edu</w:t>
      </w:r>
      <w:r w:rsidR="00425CDE">
        <w:t>, www.cs.purdue.edu/homes/ayg/CS251/slides/chap3.pdf.</w:t>
      </w:r>
    </w:p>
    <w:p w14:paraId="552D4833" w14:textId="7C4DBC49" w:rsidR="00BE18D5" w:rsidRPr="00425CDE" w:rsidRDefault="00BE18D5" w:rsidP="00425CDE">
      <w:pPr>
        <w:shd w:val="clear" w:color="auto" w:fill="F5FAFE"/>
        <w:rPr>
          <w:rFonts w:ascii="Arial" w:eastAsia="Times New Roman" w:hAnsi="Arial" w:cs="Arial"/>
          <w:color w:val="045281"/>
          <w:sz w:val="20"/>
          <w:szCs w:val="20"/>
        </w:rPr>
      </w:pPr>
    </w:p>
    <w:p w14:paraId="290048AD" w14:textId="4D3D3C32" w:rsidR="00BE18D5" w:rsidRDefault="00BE18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64648FC" w14:textId="41C14BA5" w:rsidR="00B60B0D" w:rsidRPr="00425CDE" w:rsidRDefault="00425C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Self Grading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tbl>
      <w:tblPr>
        <w:tblW w:w="9132" w:type="dxa"/>
        <w:tblBorders>
          <w:top w:val="single" w:sz="12" w:space="0" w:color="003E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571"/>
        <w:gridCol w:w="1500"/>
        <w:gridCol w:w="1571"/>
        <w:gridCol w:w="1486"/>
        <w:gridCol w:w="1500"/>
      </w:tblGrid>
      <w:tr w:rsidR="00A14CD0" w:rsidRPr="00A14CD0" w14:paraId="10438941" w14:textId="77777777" w:rsidTr="00A14CD0"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DEFAE8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4C5E11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Exceptional</w:t>
            </w: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100%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C1661B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Good</w:t>
            </w: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90%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76C891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Acceptable</w:t>
            </w: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70%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F92357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Developing</w:t>
            </w: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50%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CD9114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Missing</w:t>
            </w:r>
            <w:r w:rsidRPr="00A14CD0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0%</w:t>
            </w:r>
          </w:p>
        </w:tc>
      </w:tr>
      <w:tr w:rsidR="00A14CD0" w:rsidRPr="00A14CD0" w14:paraId="36EEF865" w14:textId="77777777" w:rsidTr="00A14CD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5460D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t>Reference</w:t>
            </w: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br/>
              <w:t>30%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267C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25CDE"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  <w:t>The source cited is reputable and complete describes the notation used.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1AA5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The citation is "sound" and is correctly referenced.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FD3E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The source is of insufficient quality.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EA12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The notation cited is not appropriate for the stack.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9760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 formal notation is cited.</w:t>
            </w:r>
          </w:p>
        </w:tc>
      </w:tr>
      <w:tr w:rsidR="00A14CD0" w:rsidRPr="00A14CD0" w14:paraId="60710F07" w14:textId="77777777" w:rsidTr="00A14CD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C0F37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t>Formality</w:t>
            </w: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br/>
              <w:t>40%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06BBA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  <w:t>It is possible to conduct a formal proof from this definition.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81A1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Every aspect of the stack behavior was </w:t>
            </w:r>
            <w:r w:rsidRPr="00A14CD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modeled</w:t>
            </w: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6ED22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The notation was syntactically correct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FDB5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Every aspect of the stack behavior was </w:t>
            </w:r>
            <w:r w:rsidRPr="00A14CD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described to some degree</w:t>
            </w: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BFC0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Large components of the definition are up for interpretation.</w:t>
            </w:r>
          </w:p>
        </w:tc>
      </w:tr>
      <w:tr w:rsidR="00A14CD0" w:rsidRPr="00A14CD0" w14:paraId="44C0DE2F" w14:textId="77777777" w:rsidTr="00A14CD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5722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t>Correctness</w:t>
            </w: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br/>
              <w:t>20%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D9A27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  <w:t>The description is unambiguously correct.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AC19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All the behaviors of the stack are correctly modeled.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246E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 minor error exists in the definition of one of the interfaces.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78A3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One major error </w:t>
            </w:r>
            <w:proofErr w:type="gramStart"/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exists</w:t>
            </w:r>
            <w:proofErr w:type="gramEnd"/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or multiple minor errors exist.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D58A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The model does not resemble the stack.</w:t>
            </w:r>
          </w:p>
        </w:tc>
      </w:tr>
      <w:tr w:rsidR="00A14CD0" w:rsidRPr="00A14CD0" w14:paraId="2A56DBE8" w14:textId="77777777" w:rsidTr="00A14CD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7CC1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</w:pP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t>Professional</w:t>
            </w:r>
            <w:r w:rsidRPr="00A14CD0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br/>
              <w:t>10%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BD1F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  <w:t>All ideas were clearly and elegantly presented.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3344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Everything was done professionally.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8BDA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One aspect of the write-up was unprofessional.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DD00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The quality of the write-up was below what one would expect from a senior.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50252" w14:textId="77777777" w:rsidR="00A14CD0" w:rsidRPr="00A14CD0" w:rsidRDefault="00A14CD0" w:rsidP="00A14C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14CD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Extreme difficulty in readability, etc.</w:t>
            </w:r>
          </w:p>
        </w:tc>
      </w:tr>
    </w:tbl>
    <w:p w14:paraId="416194A5" w14:textId="77777777" w:rsidR="00A14CD0" w:rsidRDefault="00A14CD0"/>
    <w:sectPr w:rsidR="00A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sDQwNLEwMzExtDBS0lEKTi0uzszPAykwrAUAS8DXhywAAAA="/>
  </w:docVars>
  <w:rsids>
    <w:rsidRoot w:val="003715ED"/>
    <w:rsid w:val="001B007E"/>
    <w:rsid w:val="002F58F7"/>
    <w:rsid w:val="003715ED"/>
    <w:rsid w:val="00381E40"/>
    <w:rsid w:val="00425CDE"/>
    <w:rsid w:val="00557662"/>
    <w:rsid w:val="005A7EB8"/>
    <w:rsid w:val="005E392D"/>
    <w:rsid w:val="008903A7"/>
    <w:rsid w:val="00A14CD0"/>
    <w:rsid w:val="00AA1433"/>
    <w:rsid w:val="00AA772A"/>
    <w:rsid w:val="00AC7BCB"/>
    <w:rsid w:val="00B249DB"/>
    <w:rsid w:val="00B60B0D"/>
    <w:rsid w:val="00BE18D5"/>
    <w:rsid w:val="00D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7686"/>
  <w15:chartTrackingRefBased/>
  <w15:docId w15:val="{6263D89A-CA45-4E20-BC79-3C7BDA8E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8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ep.utm.edu/prop-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3</cp:revision>
  <dcterms:created xsi:type="dcterms:W3CDTF">2019-10-27T00:16:00Z</dcterms:created>
  <dcterms:modified xsi:type="dcterms:W3CDTF">2019-10-27T03:22:00Z</dcterms:modified>
</cp:coreProperties>
</file>