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B480B" w14:textId="5BAD1923" w:rsidR="008F4FE5" w:rsidRPr="00F83579" w:rsidRDefault="008F4FE5" w:rsidP="008F4FE5">
      <w:pPr>
        <w:spacing w:after="0" w:line="240" w:lineRule="auto"/>
        <w:jc w:val="center"/>
        <w:rPr>
          <w:rFonts w:ascii="Calibri" w:eastAsia="Times New Roman" w:hAnsi="Calibri" w:cs="Calibri"/>
          <w:b/>
          <w:bCs/>
          <w:color w:val="000000"/>
          <w:kern w:val="0"/>
          <w:sz w:val="36"/>
          <w:szCs w:val="36"/>
          <w:lang w:eastAsia="en-GB"/>
          <w14:ligatures w14:val="none"/>
        </w:rPr>
      </w:pPr>
      <w:r w:rsidRPr="00F83579">
        <w:rPr>
          <w:rFonts w:ascii="Calibri" w:eastAsia="Times New Roman" w:hAnsi="Calibri" w:cs="Calibri"/>
          <w:b/>
          <w:bCs/>
          <w:color w:val="000000"/>
          <w:kern w:val="0"/>
          <w:sz w:val="36"/>
          <w:szCs w:val="36"/>
          <w:lang w:eastAsia="en-GB"/>
          <w14:ligatures w14:val="none"/>
        </w:rPr>
        <w:t>ESG Investment Graph Database Implementation</w:t>
      </w:r>
    </w:p>
    <w:p w14:paraId="70078BBC" w14:textId="77777777" w:rsidR="008F4FE5" w:rsidRPr="00F83579" w:rsidRDefault="008F4FE5" w:rsidP="008F4FE5">
      <w:pPr>
        <w:spacing w:after="0" w:line="240" w:lineRule="auto"/>
        <w:jc w:val="center"/>
        <w:rPr>
          <w:rFonts w:ascii="Calibri" w:eastAsia="Times New Roman" w:hAnsi="Calibri" w:cs="Calibri"/>
          <w:color w:val="000000"/>
          <w:kern w:val="0"/>
          <w:sz w:val="28"/>
          <w:szCs w:val="28"/>
          <w:lang w:eastAsia="en-GB"/>
          <w14:ligatures w14:val="none"/>
        </w:rPr>
      </w:pPr>
      <w:r w:rsidRPr="00F83579">
        <w:rPr>
          <w:rFonts w:ascii="Calibri" w:eastAsia="Times New Roman" w:hAnsi="Calibri" w:cs="Calibri"/>
          <w:color w:val="000000"/>
          <w:kern w:val="0"/>
          <w:sz w:val="28"/>
          <w:szCs w:val="28"/>
          <w:lang w:eastAsia="en-GB"/>
          <w14:ligatures w14:val="none"/>
        </w:rPr>
        <w:t>Transforming Investment Decision Making through Neo4j</w:t>
      </w:r>
    </w:p>
    <w:p w14:paraId="6C889EE9" w14:textId="77777777" w:rsidR="008F4FE5" w:rsidRPr="00F83579" w:rsidRDefault="008F4FE5" w:rsidP="008F4FE5">
      <w:pPr>
        <w:spacing w:after="0" w:line="240" w:lineRule="auto"/>
        <w:jc w:val="center"/>
        <w:rPr>
          <w:rFonts w:ascii="Calibri" w:eastAsia="Times New Roman" w:hAnsi="Calibri" w:cs="Calibri"/>
          <w:color w:val="000000"/>
          <w:kern w:val="0"/>
          <w:sz w:val="28"/>
          <w:szCs w:val="28"/>
          <w:lang w:eastAsia="en-GB"/>
          <w14:ligatures w14:val="none"/>
        </w:rPr>
      </w:pPr>
      <w:r w:rsidRPr="00F83579">
        <w:rPr>
          <w:rFonts w:ascii="Calibri" w:eastAsia="Times New Roman" w:hAnsi="Calibri" w:cs="Calibri"/>
          <w:color w:val="000000"/>
          <w:kern w:val="0"/>
          <w:sz w:val="28"/>
          <w:szCs w:val="28"/>
          <w:lang w:eastAsia="en-GB"/>
          <w14:ligatures w14:val="none"/>
        </w:rPr>
        <w:t>PRT563 - Advanced Data Management</w:t>
      </w:r>
    </w:p>
    <w:p w14:paraId="504534F9" w14:textId="77777777" w:rsidR="008F4FE5" w:rsidRPr="00F83579" w:rsidRDefault="008F4FE5" w:rsidP="008F4FE5">
      <w:pPr>
        <w:spacing w:after="0" w:line="240" w:lineRule="auto"/>
        <w:jc w:val="center"/>
        <w:rPr>
          <w:rFonts w:ascii="Calibri" w:eastAsia="Times New Roman" w:hAnsi="Calibri" w:cs="Calibri"/>
          <w:color w:val="000000"/>
          <w:kern w:val="0"/>
          <w:sz w:val="28"/>
          <w:szCs w:val="28"/>
          <w:lang w:eastAsia="en-GB"/>
          <w14:ligatures w14:val="none"/>
        </w:rPr>
      </w:pPr>
      <w:r w:rsidRPr="00F83579">
        <w:rPr>
          <w:rFonts w:ascii="Calibri" w:eastAsia="Times New Roman" w:hAnsi="Calibri" w:cs="Calibri"/>
          <w:color w:val="000000"/>
          <w:kern w:val="0"/>
          <w:sz w:val="28"/>
          <w:szCs w:val="28"/>
          <w:lang w:eastAsia="en-GB"/>
          <w14:ligatures w14:val="none"/>
        </w:rPr>
        <w:t>Assessment 4 - Group 7</w:t>
      </w:r>
    </w:p>
    <w:p w14:paraId="326AFB46" w14:textId="77777777" w:rsidR="008029D7" w:rsidRDefault="008029D7" w:rsidP="008F4FE5">
      <w:pPr>
        <w:spacing w:after="0" w:line="360" w:lineRule="auto"/>
        <w:rPr>
          <w:rFonts w:ascii="Arial" w:hAnsi="Arial" w:cs="Arial"/>
          <w:sz w:val="22"/>
          <w:szCs w:val="22"/>
        </w:rPr>
      </w:pPr>
    </w:p>
    <w:p w14:paraId="14749E2C" w14:textId="77777777" w:rsidR="008F4FE5" w:rsidRPr="008029D7" w:rsidRDefault="008F4FE5" w:rsidP="008F4FE5">
      <w:pPr>
        <w:spacing w:after="0" w:line="360" w:lineRule="auto"/>
        <w:rPr>
          <w:rFonts w:ascii="Arial" w:hAnsi="Arial" w:cs="Arial"/>
          <w:sz w:val="22"/>
          <w:szCs w:val="22"/>
        </w:rPr>
      </w:pPr>
    </w:p>
    <w:p w14:paraId="4D368239" w14:textId="30EAC6E2" w:rsidR="008029D7" w:rsidRPr="000F5944" w:rsidRDefault="008029D7" w:rsidP="008F4FE5">
      <w:pPr>
        <w:spacing w:after="0" w:line="360" w:lineRule="auto"/>
        <w:rPr>
          <w:rFonts w:ascii="Arial" w:hAnsi="Arial" w:cs="Arial"/>
          <w:b/>
          <w:bCs/>
        </w:rPr>
      </w:pPr>
      <w:r w:rsidRPr="000F5944">
        <w:rPr>
          <w:rFonts w:ascii="Arial" w:hAnsi="Arial" w:cs="Arial"/>
          <w:b/>
          <w:bCs/>
        </w:rPr>
        <w:t>Team Members</w:t>
      </w:r>
    </w:p>
    <w:p w14:paraId="3F2E9DB9"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Harsh Rastogi - Database Architecture &amp; Implementation</w:t>
      </w:r>
    </w:p>
    <w:p w14:paraId="7A6593F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Rochak Bhusal - Data Analysis &amp; Query Development</w:t>
      </w:r>
    </w:p>
    <w:p w14:paraId="25E9D800" w14:textId="77777777" w:rsidR="008029D7" w:rsidRDefault="008029D7" w:rsidP="008F4FE5">
      <w:pPr>
        <w:spacing w:after="0" w:line="360" w:lineRule="auto"/>
        <w:rPr>
          <w:rFonts w:ascii="Arial" w:hAnsi="Arial" w:cs="Arial"/>
          <w:sz w:val="22"/>
          <w:szCs w:val="22"/>
        </w:rPr>
      </w:pPr>
      <w:r w:rsidRPr="008029D7">
        <w:rPr>
          <w:rFonts w:ascii="Arial" w:hAnsi="Arial" w:cs="Arial"/>
          <w:sz w:val="22"/>
          <w:szCs w:val="22"/>
        </w:rPr>
        <w:t>Rudraksh Patel - Documentation &amp; Business Analysis</w:t>
      </w:r>
    </w:p>
    <w:p w14:paraId="3057D3A8" w14:textId="77777777" w:rsidR="000F5944" w:rsidRDefault="000F5944" w:rsidP="008F4FE5">
      <w:pPr>
        <w:spacing w:after="0" w:line="360" w:lineRule="auto"/>
        <w:rPr>
          <w:rFonts w:ascii="Arial" w:hAnsi="Arial" w:cs="Arial"/>
          <w:sz w:val="22"/>
          <w:szCs w:val="22"/>
        </w:rPr>
      </w:pPr>
    </w:p>
    <w:p w14:paraId="25CF965B" w14:textId="77777777" w:rsidR="000F5944" w:rsidRPr="000F5944" w:rsidRDefault="000F5944" w:rsidP="000F5944">
      <w:pPr>
        <w:spacing w:after="0" w:line="360" w:lineRule="auto"/>
        <w:rPr>
          <w:rFonts w:ascii="Arial" w:hAnsi="Arial" w:cs="Arial"/>
          <w:b/>
          <w:bCs/>
        </w:rPr>
      </w:pPr>
      <w:r w:rsidRPr="000F5944">
        <w:rPr>
          <w:rFonts w:ascii="Arial" w:hAnsi="Arial" w:cs="Arial"/>
          <w:b/>
          <w:bCs/>
        </w:rPr>
        <w:t>Lecturer</w:t>
      </w:r>
    </w:p>
    <w:p w14:paraId="5544F9B1" w14:textId="27C7EE3D" w:rsidR="000F5944" w:rsidRDefault="000F5944" w:rsidP="000F5944">
      <w:pPr>
        <w:spacing w:after="0" w:line="360" w:lineRule="auto"/>
        <w:rPr>
          <w:rFonts w:ascii="Arial" w:hAnsi="Arial" w:cs="Arial"/>
          <w:sz w:val="22"/>
          <w:szCs w:val="22"/>
        </w:rPr>
      </w:pPr>
      <w:r w:rsidRPr="000F5944">
        <w:rPr>
          <w:rFonts w:ascii="Arial" w:hAnsi="Arial" w:cs="Arial"/>
          <w:sz w:val="22"/>
          <w:szCs w:val="22"/>
        </w:rPr>
        <w:t>Dr Md Rafiqul Islam</w:t>
      </w:r>
    </w:p>
    <w:p w14:paraId="11C9B477" w14:textId="77777777" w:rsidR="000F5944" w:rsidRDefault="000F5944" w:rsidP="000F5944">
      <w:pPr>
        <w:spacing w:after="0" w:line="360" w:lineRule="auto"/>
        <w:rPr>
          <w:rFonts w:ascii="Arial" w:hAnsi="Arial" w:cs="Arial"/>
          <w:sz w:val="22"/>
          <w:szCs w:val="22"/>
        </w:rPr>
      </w:pPr>
    </w:p>
    <w:p w14:paraId="698ACC5F" w14:textId="4EA93426" w:rsidR="000F5944" w:rsidRPr="000F5944" w:rsidRDefault="000F5944" w:rsidP="000F5944">
      <w:pPr>
        <w:spacing w:after="0" w:line="360" w:lineRule="auto"/>
        <w:rPr>
          <w:rFonts w:ascii="Arial" w:hAnsi="Arial" w:cs="Arial"/>
          <w:b/>
          <w:bCs/>
        </w:rPr>
      </w:pPr>
      <w:r>
        <w:rPr>
          <w:rFonts w:ascii="Arial" w:hAnsi="Arial" w:cs="Arial"/>
          <w:b/>
          <w:bCs/>
        </w:rPr>
        <w:t>Acknowledgement</w:t>
      </w:r>
    </w:p>
    <w:p w14:paraId="2BB461CA" w14:textId="174117FA" w:rsidR="000F5944" w:rsidRPr="008029D7" w:rsidRDefault="000F5944" w:rsidP="000F5944">
      <w:pPr>
        <w:spacing w:after="0" w:line="360" w:lineRule="auto"/>
        <w:rPr>
          <w:rFonts w:ascii="Arial" w:hAnsi="Arial" w:cs="Arial"/>
          <w:sz w:val="22"/>
          <w:szCs w:val="22"/>
        </w:rPr>
      </w:pPr>
      <w:r w:rsidRPr="000F5944">
        <w:rPr>
          <w:rFonts w:ascii="Arial" w:hAnsi="Arial" w:cs="Arial"/>
          <w:sz w:val="22"/>
          <w:szCs w:val="22"/>
        </w:rPr>
        <w:t>We acknowledge the Traditional Owners of the land on which</w:t>
      </w:r>
      <w:r>
        <w:rPr>
          <w:rFonts w:ascii="Arial" w:hAnsi="Arial" w:cs="Arial"/>
          <w:sz w:val="22"/>
          <w:szCs w:val="22"/>
        </w:rPr>
        <w:t xml:space="preserve"> </w:t>
      </w:r>
      <w:r w:rsidRPr="000F5944">
        <w:rPr>
          <w:rFonts w:ascii="Arial" w:hAnsi="Arial" w:cs="Arial"/>
          <w:sz w:val="22"/>
          <w:szCs w:val="22"/>
        </w:rPr>
        <w:t>we live and study, the people of the Northern Territory, and pay</w:t>
      </w:r>
      <w:r>
        <w:rPr>
          <w:rFonts w:ascii="Arial" w:hAnsi="Arial" w:cs="Arial"/>
          <w:sz w:val="22"/>
          <w:szCs w:val="22"/>
        </w:rPr>
        <w:t xml:space="preserve"> </w:t>
      </w:r>
      <w:r w:rsidRPr="000F5944">
        <w:rPr>
          <w:rFonts w:ascii="Arial" w:hAnsi="Arial" w:cs="Arial"/>
          <w:sz w:val="22"/>
          <w:szCs w:val="22"/>
        </w:rPr>
        <w:t>our respects to Elders past, present, and emerging.</w:t>
      </w:r>
    </w:p>
    <w:p w14:paraId="11D2B66C" w14:textId="77777777" w:rsidR="00C232B8" w:rsidRPr="008029D7" w:rsidRDefault="00C232B8" w:rsidP="008F4FE5">
      <w:pPr>
        <w:spacing w:after="0" w:line="360" w:lineRule="auto"/>
        <w:rPr>
          <w:rFonts w:ascii="Arial" w:hAnsi="Arial" w:cs="Arial"/>
          <w:sz w:val="22"/>
          <w:szCs w:val="22"/>
        </w:rPr>
      </w:pPr>
    </w:p>
    <w:p w14:paraId="65C4D1EF" w14:textId="77777777" w:rsidR="008029D7" w:rsidRPr="008029D7" w:rsidRDefault="008029D7" w:rsidP="008F4FE5">
      <w:pPr>
        <w:spacing w:after="0" w:line="360" w:lineRule="auto"/>
        <w:rPr>
          <w:rFonts w:ascii="Arial" w:hAnsi="Arial" w:cs="Arial"/>
          <w:sz w:val="22"/>
          <w:szCs w:val="22"/>
        </w:rPr>
      </w:pPr>
    </w:p>
    <w:p w14:paraId="4AB6ACA5" w14:textId="77777777" w:rsidR="008029D7" w:rsidRPr="008F4FE5" w:rsidRDefault="008029D7" w:rsidP="008F4FE5">
      <w:pPr>
        <w:spacing w:after="0" w:line="360" w:lineRule="auto"/>
        <w:rPr>
          <w:rFonts w:ascii="Arial" w:hAnsi="Arial" w:cs="Arial"/>
          <w:b/>
          <w:bCs/>
          <w:sz w:val="28"/>
          <w:szCs w:val="28"/>
        </w:rPr>
      </w:pPr>
      <w:r w:rsidRPr="008F4FE5">
        <w:rPr>
          <w:rFonts w:ascii="Arial" w:hAnsi="Arial" w:cs="Arial"/>
          <w:b/>
          <w:bCs/>
          <w:sz w:val="28"/>
          <w:szCs w:val="28"/>
        </w:rPr>
        <w:t>TABLE OF CONTENTS</w:t>
      </w:r>
    </w:p>
    <w:p w14:paraId="5D0A0238" w14:textId="77777777" w:rsidR="008029D7" w:rsidRPr="008029D7" w:rsidRDefault="008029D7" w:rsidP="008F4FE5">
      <w:pPr>
        <w:spacing w:after="0" w:line="360" w:lineRule="auto"/>
        <w:rPr>
          <w:rFonts w:ascii="Arial" w:hAnsi="Arial" w:cs="Arial"/>
          <w:sz w:val="22"/>
          <w:szCs w:val="22"/>
        </w:rPr>
      </w:pPr>
    </w:p>
    <w:p w14:paraId="6403F4BC" w14:textId="77777777" w:rsidR="008029D7" w:rsidRPr="00201604" w:rsidRDefault="008029D7" w:rsidP="008F4FE5">
      <w:pPr>
        <w:spacing w:after="0" w:line="360" w:lineRule="auto"/>
        <w:rPr>
          <w:rFonts w:ascii="Arial" w:hAnsi="Arial" w:cs="Arial"/>
        </w:rPr>
      </w:pPr>
      <w:r w:rsidRPr="00201604">
        <w:rPr>
          <w:rFonts w:ascii="Arial" w:hAnsi="Arial" w:cs="Arial"/>
        </w:rPr>
        <w:t>1. Introduction</w:t>
      </w:r>
    </w:p>
    <w:p w14:paraId="06D0BAB3" w14:textId="77777777" w:rsidR="008029D7" w:rsidRPr="00201604" w:rsidRDefault="008029D7" w:rsidP="008F4FE5">
      <w:pPr>
        <w:spacing w:after="0" w:line="360" w:lineRule="auto"/>
        <w:rPr>
          <w:rFonts w:ascii="Arial" w:hAnsi="Arial" w:cs="Arial"/>
        </w:rPr>
      </w:pPr>
      <w:r w:rsidRPr="00201604">
        <w:rPr>
          <w:rFonts w:ascii="Arial" w:hAnsi="Arial" w:cs="Arial"/>
        </w:rPr>
        <w:t>2. Graph Database Modelling</w:t>
      </w:r>
    </w:p>
    <w:p w14:paraId="109715CF" w14:textId="77777777" w:rsidR="008029D7" w:rsidRPr="00201604" w:rsidRDefault="008029D7" w:rsidP="008F4FE5">
      <w:pPr>
        <w:spacing w:after="0" w:line="360" w:lineRule="auto"/>
        <w:rPr>
          <w:rFonts w:ascii="Arial" w:hAnsi="Arial" w:cs="Arial"/>
        </w:rPr>
      </w:pPr>
      <w:r w:rsidRPr="00201604">
        <w:rPr>
          <w:rFonts w:ascii="Arial" w:hAnsi="Arial" w:cs="Arial"/>
        </w:rPr>
        <w:t>3. Graph Database Implementation</w:t>
      </w:r>
    </w:p>
    <w:p w14:paraId="0F2C6332" w14:textId="77777777" w:rsidR="008029D7" w:rsidRPr="00201604" w:rsidRDefault="008029D7" w:rsidP="008F4FE5">
      <w:pPr>
        <w:spacing w:after="0" w:line="360" w:lineRule="auto"/>
        <w:rPr>
          <w:rFonts w:ascii="Arial" w:hAnsi="Arial" w:cs="Arial"/>
        </w:rPr>
      </w:pPr>
      <w:r w:rsidRPr="00201604">
        <w:rPr>
          <w:rFonts w:ascii="Arial" w:hAnsi="Arial" w:cs="Arial"/>
        </w:rPr>
        <w:t>4. Graph Database Queries</w:t>
      </w:r>
    </w:p>
    <w:p w14:paraId="34E62319" w14:textId="77777777" w:rsidR="008029D7" w:rsidRPr="00201604" w:rsidRDefault="008029D7" w:rsidP="008F4FE5">
      <w:pPr>
        <w:spacing w:after="0" w:line="360" w:lineRule="auto"/>
        <w:rPr>
          <w:rFonts w:ascii="Arial" w:hAnsi="Arial" w:cs="Arial"/>
        </w:rPr>
      </w:pPr>
      <w:r w:rsidRPr="00201604">
        <w:rPr>
          <w:rFonts w:ascii="Arial" w:hAnsi="Arial" w:cs="Arial"/>
        </w:rPr>
        <w:t>5. Centrality Algorithms</w:t>
      </w:r>
    </w:p>
    <w:p w14:paraId="7BDD36D1" w14:textId="77777777" w:rsidR="008029D7" w:rsidRPr="00201604" w:rsidRDefault="008029D7" w:rsidP="008F4FE5">
      <w:pPr>
        <w:spacing w:after="0" w:line="360" w:lineRule="auto"/>
        <w:rPr>
          <w:rFonts w:ascii="Arial" w:hAnsi="Arial" w:cs="Arial"/>
        </w:rPr>
      </w:pPr>
      <w:r w:rsidRPr="00201604">
        <w:rPr>
          <w:rFonts w:ascii="Arial" w:hAnsi="Arial" w:cs="Arial"/>
        </w:rPr>
        <w:t>6. Similarity Algorithms</w:t>
      </w:r>
    </w:p>
    <w:p w14:paraId="708CEDBA" w14:textId="77777777" w:rsidR="008029D7" w:rsidRPr="00201604" w:rsidRDefault="008029D7" w:rsidP="008F4FE5">
      <w:pPr>
        <w:spacing w:after="0" w:line="360" w:lineRule="auto"/>
        <w:rPr>
          <w:rFonts w:ascii="Arial" w:hAnsi="Arial" w:cs="Arial"/>
        </w:rPr>
      </w:pPr>
      <w:r w:rsidRPr="00201604">
        <w:rPr>
          <w:rFonts w:ascii="Arial" w:hAnsi="Arial" w:cs="Arial"/>
        </w:rPr>
        <w:t>7. Integration with Business Intelligence and Data Warehousing</w:t>
      </w:r>
    </w:p>
    <w:p w14:paraId="6988F7DF" w14:textId="77777777" w:rsidR="008029D7" w:rsidRPr="00201604" w:rsidRDefault="008029D7" w:rsidP="008F4FE5">
      <w:pPr>
        <w:spacing w:after="0" w:line="360" w:lineRule="auto"/>
        <w:rPr>
          <w:rFonts w:ascii="Arial" w:hAnsi="Arial" w:cs="Arial"/>
        </w:rPr>
      </w:pPr>
      <w:r w:rsidRPr="00201604">
        <w:rPr>
          <w:rFonts w:ascii="Arial" w:hAnsi="Arial" w:cs="Arial"/>
        </w:rPr>
        <w:t>8. Discussion and Limitations</w:t>
      </w:r>
    </w:p>
    <w:p w14:paraId="469A173A" w14:textId="77777777" w:rsidR="008029D7" w:rsidRPr="00201604" w:rsidRDefault="008029D7" w:rsidP="008F4FE5">
      <w:pPr>
        <w:spacing w:after="0" w:line="360" w:lineRule="auto"/>
        <w:rPr>
          <w:rFonts w:ascii="Arial" w:hAnsi="Arial" w:cs="Arial"/>
        </w:rPr>
      </w:pPr>
      <w:r w:rsidRPr="00201604">
        <w:rPr>
          <w:rFonts w:ascii="Arial" w:hAnsi="Arial" w:cs="Arial"/>
        </w:rPr>
        <w:t>9. Conclusion</w:t>
      </w:r>
    </w:p>
    <w:p w14:paraId="2079F785" w14:textId="77777777" w:rsidR="008029D7" w:rsidRPr="00201604" w:rsidRDefault="008029D7" w:rsidP="008F4FE5">
      <w:pPr>
        <w:spacing w:after="0" w:line="360" w:lineRule="auto"/>
        <w:rPr>
          <w:rFonts w:ascii="Arial" w:hAnsi="Arial" w:cs="Arial"/>
        </w:rPr>
      </w:pPr>
      <w:r w:rsidRPr="00201604">
        <w:rPr>
          <w:rFonts w:ascii="Arial" w:hAnsi="Arial" w:cs="Arial"/>
        </w:rPr>
        <w:t>10. References</w:t>
      </w:r>
    </w:p>
    <w:p w14:paraId="02196EEE" w14:textId="77777777" w:rsidR="008029D7" w:rsidRPr="00201604" w:rsidRDefault="008029D7" w:rsidP="008F4FE5">
      <w:pPr>
        <w:spacing w:after="0" w:line="360" w:lineRule="auto"/>
        <w:rPr>
          <w:rFonts w:ascii="Arial" w:hAnsi="Arial" w:cs="Arial"/>
        </w:rPr>
      </w:pPr>
      <w:r w:rsidRPr="00201604">
        <w:rPr>
          <w:rFonts w:ascii="Arial" w:hAnsi="Arial" w:cs="Arial"/>
        </w:rPr>
        <w:t>11. Individual Contributions</w:t>
      </w:r>
    </w:p>
    <w:p w14:paraId="24C14A20" w14:textId="77777777" w:rsidR="008029D7" w:rsidRPr="008029D7" w:rsidRDefault="008029D7" w:rsidP="008F4FE5">
      <w:pPr>
        <w:spacing w:after="0" w:line="360" w:lineRule="auto"/>
        <w:rPr>
          <w:rFonts w:ascii="Arial" w:hAnsi="Arial" w:cs="Arial"/>
          <w:sz w:val="22"/>
          <w:szCs w:val="22"/>
        </w:rPr>
      </w:pPr>
    </w:p>
    <w:p w14:paraId="264560CE" w14:textId="77777777" w:rsidR="008029D7" w:rsidRDefault="008029D7" w:rsidP="008F4FE5">
      <w:pPr>
        <w:spacing w:after="0" w:line="360" w:lineRule="auto"/>
        <w:rPr>
          <w:rFonts w:ascii="Arial" w:hAnsi="Arial" w:cs="Arial"/>
          <w:sz w:val="22"/>
          <w:szCs w:val="22"/>
        </w:rPr>
      </w:pPr>
    </w:p>
    <w:p w14:paraId="0ECF639C" w14:textId="77777777" w:rsidR="00201604" w:rsidRDefault="00201604" w:rsidP="008F4FE5">
      <w:pPr>
        <w:spacing w:after="0" w:line="360" w:lineRule="auto"/>
        <w:rPr>
          <w:rFonts w:ascii="Arial" w:hAnsi="Arial" w:cs="Arial"/>
          <w:sz w:val="22"/>
          <w:szCs w:val="22"/>
        </w:rPr>
      </w:pPr>
    </w:p>
    <w:p w14:paraId="4E9F8BA3" w14:textId="1EA08307" w:rsidR="008029D7" w:rsidRPr="008F4FE5" w:rsidRDefault="008029D7" w:rsidP="008F4FE5">
      <w:pPr>
        <w:spacing w:after="0" w:line="360" w:lineRule="auto"/>
        <w:rPr>
          <w:rFonts w:ascii="Arial" w:hAnsi="Arial" w:cs="Arial"/>
          <w:b/>
          <w:bCs/>
          <w:sz w:val="28"/>
          <w:szCs w:val="28"/>
        </w:rPr>
      </w:pPr>
      <w:r w:rsidRPr="008F4FE5">
        <w:rPr>
          <w:rFonts w:ascii="Arial" w:hAnsi="Arial" w:cs="Arial"/>
          <w:b/>
          <w:bCs/>
          <w:sz w:val="28"/>
          <w:szCs w:val="28"/>
        </w:rPr>
        <w:lastRenderedPageBreak/>
        <w:t>LIST OF FIGURES</w:t>
      </w:r>
    </w:p>
    <w:p w14:paraId="59BCCD05" w14:textId="77777777" w:rsidR="008029D7" w:rsidRPr="008029D7" w:rsidRDefault="008029D7" w:rsidP="008F4FE5">
      <w:pPr>
        <w:spacing w:after="0" w:line="360" w:lineRule="auto"/>
        <w:rPr>
          <w:rFonts w:ascii="Arial" w:hAnsi="Arial" w:cs="Arial"/>
          <w:sz w:val="22"/>
          <w:szCs w:val="22"/>
        </w:rPr>
      </w:pPr>
    </w:p>
    <w:p w14:paraId="3B122CBB"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 Entity-Relationship Diagram (ERD) of Original Relational Model</w:t>
      </w:r>
    </w:p>
    <w:p w14:paraId="434ADBB3"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 Neo4j Schema Visualization</w:t>
      </w:r>
    </w:p>
    <w:p w14:paraId="29DB2CBC"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 Graph Model Sample Instance</w:t>
      </w:r>
    </w:p>
    <w:p w14:paraId="584FDF71"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4: Meta-Schema (Entity-Level Graph Representation)</w:t>
      </w:r>
    </w:p>
    <w:p w14:paraId="0B3BE645"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5: Complete Graph Topology (Entity Relationships)</w:t>
      </w:r>
    </w:p>
    <w:p w14:paraId="13FD8DFB"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6: CSV Dataset Folder Structure</w:t>
      </w:r>
    </w:p>
    <w:p w14:paraId="013C9068"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7: Constraints and Indexes</w:t>
      </w:r>
    </w:p>
    <w:p w14:paraId="0B7C9E6E"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8: Importing Audit Trail Data into Neo4j</w:t>
      </w:r>
    </w:p>
    <w:p w14:paraId="46D6A1BA"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9: Importing ESG Data Source Information</w:t>
      </w:r>
    </w:p>
    <w:p w14:paraId="330731A7"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10: Importing ESG Metric Data into Neo4j</w:t>
      </w:r>
    </w:p>
    <w:p w14:paraId="3608A411"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11: Creating ESG Performance Relationships</w:t>
      </w:r>
    </w:p>
    <w:p w14:paraId="048AF633"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12: Importing Fund Manager Data</w:t>
      </w:r>
    </w:p>
    <w:p w14:paraId="6213A3B8"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13: Importing Investment Fund Data</w:t>
      </w:r>
    </w:p>
    <w:p w14:paraId="267CB598"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14: Importing Portfolio Company Data</w:t>
      </w:r>
    </w:p>
    <w:p w14:paraId="194F4357"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15: Creating Investment Position and Manager-Fund Relationships</w:t>
      </w:r>
    </w:p>
    <w:p w14:paraId="10D72026"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16: Creating the Data Source to ESG Metric Relationship</w:t>
      </w:r>
    </w:p>
    <w:p w14:paraId="27F9067B"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17: Establishing Investment Fund to Company Relationships</w:t>
      </w:r>
    </w:p>
    <w:p w14:paraId="177A6AC3"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18: Final Neo4j ESG Investment Knowledge Graph Visualization</w:t>
      </w:r>
    </w:p>
    <w:p w14:paraId="4E5E78A8"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19: Query - Funds Managed by Specific Manager</w:t>
      </w:r>
    </w:p>
    <w:p w14:paraId="19479941"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20: Query - Top Companies by Portfolio Weight</w:t>
      </w:r>
    </w:p>
    <w:p w14:paraId="6ACF0C61"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21: Query - High Carbon Intensity Companies</w:t>
      </w:r>
    </w:p>
    <w:p w14:paraId="241AE72A"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22: Query - Weighted ESG Performance Score Calculation</w:t>
      </w:r>
    </w:p>
    <w:p w14:paraId="37230EC0"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23: Query - Extended Weighted ESG Rollup Results</w:t>
      </w:r>
    </w:p>
    <w:p w14:paraId="56F9A315"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24: PageRank - Projection of Co-Holding Graph</w:t>
      </w:r>
    </w:p>
    <w:p w14:paraId="41F23379"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25: PageRank - Algorithm Execution</w:t>
      </w:r>
    </w:p>
    <w:p w14:paraId="03AD7071"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26: PageRank - Summary Statistics</w:t>
      </w:r>
    </w:p>
    <w:p w14:paraId="2FBF5D78"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27: PageRank - Top Ten Companies by Centrality</w:t>
      </w:r>
    </w:p>
    <w:p w14:paraId="5B7183D5"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28: PageRank - Full Cypher Workflow</w:t>
      </w:r>
    </w:p>
    <w:p w14:paraId="2CDB67E9"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29: PageRank - Graph Cleanup</w:t>
      </w:r>
    </w:p>
    <w:p w14:paraId="782E0DD6"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30: Node Similarity - Graph Projection</w:t>
      </w:r>
    </w:p>
    <w:p w14:paraId="19D5D3CA"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31: Node Similarity - Algorithm Execution</w:t>
      </w:r>
    </w:p>
    <w:p w14:paraId="3B2AA867"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32: BI Integration - Dimension and Fact Table Creation</w:t>
      </w:r>
    </w:p>
    <w:p w14:paraId="6E8B3DD9"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33: BI Integration - Linking Fact to Dimension Tables</w:t>
      </w:r>
    </w:p>
    <w:p w14:paraId="6ED0A424"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34: BI Integration - Average ESG Score by Sector</w:t>
      </w:r>
    </w:p>
    <w:p w14:paraId="5535F216"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35: BI Integration - Weighted ESG Score by Fund</w:t>
      </w:r>
    </w:p>
    <w:p w14:paraId="11951D52" w14:textId="77777777" w:rsidR="008029D7" w:rsidRPr="008029D7" w:rsidRDefault="008029D7" w:rsidP="00201604">
      <w:pPr>
        <w:spacing w:after="0" w:line="340" w:lineRule="atLeast"/>
        <w:rPr>
          <w:rFonts w:ascii="Arial" w:hAnsi="Arial" w:cs="Arial"/>
          <w:sz w:val="22"/>
          <w:szCs w:val="22"/>
        </w:rPr>
      </w:pPr>
      <w:r w:rsidRPr="008029D7">
        <w:rPr>
          <w:rFonts w:ascii="Arial" w:hAnsi="Arial" w:cs="Arial"/>
          <w:sz w:val="22"/>
          <w:szCs w:val="22"/>
        </w:rPr>
        <w:t>Figure 36: BI Integration - CSV Import Summary</w:t>
      </w:r>
    </w:p>
    <w:p w14:paraId="49DE3A15" w14:textId="452D16C3" w:rsidR="00201604" w:rsidRDefault="008029D7" w:rsidP="00201604">
      <w:pPr>
        <w:spacing w:after="0" w:line="340" w:lineRule="atLeast"/>
        <w:rPr>
          <w:rFonts w:ascii="Arial" w:hAnsi="Arial" w:cs="Arial"/>
          <w:sz w:val="22"/>
          <w:szCs w:val="22"/>
        </w:rPr>
      </w:pPr>
      <w:r w:rsidRPr="008029D7">
        <w:rPr>
          <w:rFonts w:ascii="Arial" w:hAnsi="Arial" w:cs="Arial"/>
          <w:sz w:val="22"/>
          <w:szCs w:val="22"/>
        </w:rPr>
        <w:t>Figure 37: BI Integration - Fund-Company-Metric Relationship Extraction</w:t>
      </w:r>
    </w:p>
    <w:p w14:paraId="3DF283A6" w14:textId="77777777" w:rsidR="00201604" w:rsidRDefault="00201604" w:rsidP="00201604">
      <w:pPr>
        <w:spacing w:after="0" w:line="340" w:lineRule="atLeast"/>
        <w:rPr>
          <w:rFonts w:ascii="Arial" w:hAnsi="Arial" w:cs="Arial"/>
          <w:sz w:val="22"/>
          <w:szCs w:val="22"/>
        </w:rPr>
      </w:pPr>
    </w:p>
    <w:p w14:paraId="7A9C5D02" w14:textId="675309E6" w:rsidR="008029D7" w:rsidRPr="000F5944" w:rsidRDefault="008029D7" w:rsidP="008F4FE5">
      <w:pPr>
        <w:spacing w:after="0" w:line="360" w:lineRule="auto"/>
        <w:rPr>
          <w:rFonts w:ascii="Arial" w:hAnsi="Arial" w:cs="Arial"/>
          <w:sz w:val="22"/>
          <w:szCs w:val="22"/>
        </w:rPr>
      </w:pPr>
      <w:r w:rsidRPr="008F4FE5">
        <w:rPr>
          <w:rFonts w:ascii="Arial" w:hAnsi="Arial" w:cs="Arial"/>
          <w:b/>
          <w:bCs/>
          <w:sz w:val="28"/>
          <w:szCs w:val="28"/>
        </w:rPr>
        <w:lastRenderedPageBreak/>
        <w:t>1. INTRODUCTION</w:t>
      </w:r>
    </w:p>
    <w:p w14:paraId="5BA9146E" w14:textId="77777777" w:rsidR="008029D7" w:rsidRPr="008029D7" w:rsidRDefault="008029D7" w:rsidP="008F4FE5">
      <w:pPr>
        <w:spacing w:after="0" w:line="360" w:lineRule="auto"/>
        <w:rPr>
          <w:rFonts w:ascii="Arial" w:hAnsi="Arial" w:cs="Arial"/>
          <w:sz w:val="22"/>
          <w:szCs w:val="22"/>
        </w:rPr>
      </w:pPr>
    </w:p>
    <w:p w14:paraId="00819FC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Australian ESG (Environmental, Social, and Governance) investment landscape has experienced exponential growth, with over $100 billion in assets under management and stringent regulatory requirements under ASIC Regulatory Guide 65. Traditional relational database systems, while effective for structured data management, face significant challenges when dealing with the complex, interconnected nature of ESG investment data across multiple funds, companies, data sources, and regulatory frameworks.</w:t>
      </w:r>
    </w:p>
    <w:p w14:paraId="07DC14CD" w14:textId="77777777" w:rsidR="008029D7" w:rsidRPr="008029D7" w:rsidRDefault="008029D7" w:rsidP="008F4FE5">
      <w:pPr>
        <w:spacing w:after="0" w:line="360" w:lineRule="auto"/>
        <w:rPr>
          <w:rFonts w:ascii="Arial" w:hAnsi="Arial" w:cs="Arial"/>
          <w:sz w:val="22"/>
          <w:szCs w:val="22"/>
        </w:rPr>
      </w:pPr>
    </w:p>
    <w:p w14:paraId="2116BF1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report documents the complete migration of our ESG Data Management Database from a relational model (SQLite) to a graph-based model using Neo4j. The transition addresses critical business needs including:</w:t>
      </w:r>
    </w:p>
    <w:p w14:paraId="00AD8055" w14:textId="77777777" w:rsidR="008029D7" w:rsidRPr="008029D7" w:rsidRDefault="008029D7" w:rsidP="008F4FE5">
      <w:pPr>
        <w:spacing w:after="0" w:line="360" w:lineRule="auto"/>
        <w:rPr>
          <w:rFonts w:ascii="Arial" w:hAnsi="Arial" w:cs="Arial"/>
          <w:sz w:val="22"/>
          <w:szCs w:val="22"/>
        </w:rPr>
      </w:pPr>
    </w:p>
    <w:p w14:paraId="1B20E3BB" w14:textId="0A47300A" w:rsidR="008029D7" w:rsidRPr="00C232B8" w:rsidRDefault="008029D7" w:rsidP="00C232B8">
      <w:pPr>
        <w:pStyle w:val="ListParagraph"/>
        <w:numPr>
          <w:ilvl w:val="0"/>
          <w:numId w:val="3"/>
        </w:numPr>
        <w:spacing w:after="0" w:line="360" w:lineRule="auto"/>
        <w:rPr>
          <w:rFonts w:ascii="Arial" w:hAnsi="Arial" w:cs="Arial"/>
          <w:sz w:val="22"/>
          <w:szCs w:val="22"/>
        </w:rPr>
      </w:pPr>
      <w:r w:rsidRPr="00C232B8">
        <w:rPr>
          <w:rFonts w:ascii="Arial" w:hAnsi="Arial" w:cs="Arial"/>
          <w:sz w:val="22"/>
          <w:szCs w:val="22"/>
        </w:rPr>
        <w:t>Enhanced relationship traversal capabilities for multi-level ESG analysis</w:t>
      </w:r>
    </w:p>
    <w:p w14:paraId="57CD4A86" w14:textId="44C0FB73" w:rsidR="008029D7" w:rsidRPr="00C232B8" w:rsidRDefault="008029D7" w:rsidP="00C232B8">
      <w:pPr>
        <w:pStyle w:val="ListParagraph"/>
        <w:numPr>
          <w:ilvl w:val="0"/>
          <w:numId w:val="3"/>
        </w:numPr>
        <w:spacing w:after="0" w:line="360" w:lineRule="auto"/>
        <w:rPr>
          <w:rFonts w:ascii="Arial" w:hAnsi="Arial" w:cs="Arial"/>
          <w:sz w:val="22"/>
          <w:szCs w:val="22"/>
        </w:rPr>
      </w:pPr>
      <w:r w:rsidRPr="00C232B8">
        <w:rPr>
          <w:rFonts w:ascii="Arial" w:hAnsi="Arial" w:cs="Arial"/>
          <w:sz w:val="22"/>
          <w:szCs w:val="22"/>
        </w:rPr>
        <w:t>Improved query performance for complex investment network patterns</w:t>
      </w:r>
    </w:p>
    <w:p w14:paraId="79B0CC3F" w14:textId="5EB5918C" w:rsidR="008029D7" w:rsidRPr="00C232B8" w:rsidRDefault="008029D7" w:rsidP="00C232B8">
      <w:pPr>
        <w:pStyle w:val="ListParagraph"/>
        <w:numPr>
          <w:ilvl w:val="0"/>
          <w:numId w:val="3"/>
        </w:numPr>
        <w:spacing w:after="0" w:line="360" w:lineRule="auto"/>
        <w:rPr>
          <w:rFonts w:ascii="Arial" w:hAnsi="Arial" w:cs="Arial"/>
          <w:sz w:val="22"/>
          <w:szCs w:val="22"/>
        </w:rPr>
      </w:pPr>
      <w:r w:rsidRPr="00C232B8">
        <w:rPr>
          <w:rFonts w:ascii="Arial" w:hAnsi="Arial" w:cs="Arial"/>
          <w:sz w:val="22"/>
          <w:szCs w:val="22"/>
        </w:rPr>
        <w:t>Advanced analytics through Graph Data Science (GDS) algorithms</w:t>
      </w:r>
    </w:p>
    <w:p w14:paraId="0E98775D" w14:textId="570A90F8" w:rsidR="008029D7" w:rsidRPr="00C232B8" w:rsidRDefault="008029D7" w:rsidP="00C232B8">
      <w:pPr>
        <w:pStyle w:val="ListParagraph"/>
        <w:numPr>
          <w:ilvl w:val="0"/>
          <w:numId w:val="3"/>
        </w:numPr>
        <w:spacing w:after="0" w:line="360" w:lineRule="auto"/>
        <w:rPr>
          <w:rFonts w:ascii="Arial" w:hAnsi="Arial" w:cs="Arial"/>
          <w:sz w:val="22"/>
          <w:szCs w:val="22"/>
        </w:rPr>
      </w:pPr>
      <w:r w:rsidRPr="00C232B8">
        <w:rPr>
          <w:rFonts w:ascii="Arial" w:hAnsi="Arial" w:cs="Arial"/>
          <w:sz w:val="22"/>
          <w:szCs w:val="22"/>
        </w:rPr>
        <w:t>Better scalability for Big Data environments</w:t>
      </w:r>
    </w:p>
    <w:p w14:paraId="0A27E29C" w14:textId="7635A430" w:rsidR="008029D7" w:rsidRPr="00C232B8" w:rsidRDefault="008029D7" w:rsidP="00C232B8">
      <w:pPr>
        <w:pStyle w:val="ListParagraph"/>
        <w:numPr>
          <w:ilvl w:val="0"/>
          <w:numId w:val="3"/>
        </w:numPr>
        <w:spacing w:after="0" w:line="360" w:lineRule="auto"/>
        <w:rPr>
          <w:rFonts w:ascii="Arial" w:hAnsi="Arial" w:cs="Arial"/>
          <w:sz w:val="22"/>
          <w:szCs w:val="22"/>
        </w:rPr>
      </w:pPr>
      <w:r w:rsidRPr="00C232B8">
        <w:rPr>
          <w:rFonts w:ascii="Arial" w:hAnsi="Arial" w:cs="Arial"/>
          <w:sz w:val="22"/>
          <w:szCs w:val="22"/>
        </w:rPr>
        <w:t>Intuitive visualization of investment relationships and ESG dependencies</w:t>
      </w:r>
    </w:p>
    <w:p w14:paraId="372D3A83" w14:textId="77777777" w:rsidR="008029D7" w:rsidRPr="008029D7" w:rsidRDefault="008029D7" w:rsidP="008F4FE5">
      <w:pPr>
        <w:spacing w:after="0" w:line="360" w:lineRule="auto"/>
        <w:rPr>
          <w:rFonts w:ascii="Arial" w:hAnsi="Arial" w:cs="Arial"/>
          <w:sz w:val="22"/>
          <w:szCs w:val="22"/>
        </w:rPr>
      </w:pPr>
    </w:p>
    <w:p w14:paraId="5D2A842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Our implementation manages a substantial portfolio comprising three major investment funds with $4.55 billion in total assets under management, covering five key ASX-listed companies (CBA, CSL, BHP, WOW, TLS) with comprehensive ESG performance tracking across environmental, social, and governance dimensions.</w:t>
      </w:r>
    </w:p>
    <w:p w14:paraId="431C16AB" w14:textId="77777777" w:rsidR="008029D7" w:rsidRPr="008029D7" w:rsidRDefault="008029D7" w:rsidP="008F4FE5">
      <w:pPr>
        <w:spacing w:after="0" w:line="360" w:lineRule="auto"/>
        <w:rPr>
          <w:rFonts w:ascii="Arial" w:hAnsi="Arial" w:cs="Arial"/>
          <w:sz w:val="22"/>
          <w:szCs w:val="22"/>
        </w:rPr>
      </w:pPr>
    </w:p>
    <w:p w14:paraId="279E83C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graph database approach transforms disconnected CSV files into a semantically connected dataset, enabling sophisticated analytics including centrality analysis, similarity detection, and business intelligence integration. This report demonstrates the complete end-to-end implementation, from conceptual graph </w:t>
      </w:r>
      <w:proofErr w:type="spellStart"/>
      <w:r w:rsidRPr="008029D7">
        <w:rPr>
          <w:rFonts w:ascii="Arial" w:hAnsi="Arial" w:cs="Arial"/>
          <w:sz w:val="22"/>
          <w:szCs w:val="22"/>
        </w:rPr>
        <w:t>modeling</w:t>
      </w:r>
      <w:proofErr w:type="spellEnd"/>
      <w:r w:rsidRPr="008029D7">
        <w:rPr>
          <w:rFonts w:ascii="Arial" w:hAnsi="Arial" w:cs="Arial"/>
          <w:sz w:val="22"/>
          <w:szCs w:val="22"/>
        </w:rPr>
        <w:t xml:space="preserve"> through to advanced analytical queries and compliance-ready data warehousing structures.</w:t>
      </w:r>
    </w:p>
    <w:p w14:paraId="0733159C" w14:textId="77777777" w:rsidR="008029D7" w:rsidRPr="008029D7" w:rsidRDefault="008029D7" w:rsidP="008F4FE5">
      <w:pPr>
        <w:spacing w:after="0" w:line="360" w:lineRule="auto"/>
        <w:rPr>
          <w:rFonts w:ascii="Arial" w:hAnsi="Arial" w:cs="Arial"/>
          <w:sz w:val="22"/>
          <w:szCs w:val="22"/>
        </w:rPr>
      </w:pPr>
    </w:p>
    <w:p w14:paraId="4DD0B5BF" w14:textId="77777777" w:rsidR="008029D7" w:rsidRDefault="008029D7" w:rsidP="008F4FE5">
      <w:pPr>
        <w:spacing w:after="0" w:line="360" w:lineRule="auto"/>
        <w:rPr>
          <w:rFonts w:ascii="Arial" w:hAnsi="Arial" w:cs="Arial"/>
          <w:sz w:val="22"/>
          <w:szCs w:val="22"/>
        </w:rPr>
      </w:pPr>
    </w:p>
    <w:p w14:paraId="294B6A58" w14:textId="77777777" w:rsidR="000F5944" w:rsidRDefault="000F5944" w:rsidP="008F4FE5">
      <w:pPr>
        <w:spacing w:after="0" w:line="360" w:lineRule="auto"/>
        <w:rPr>
          <w:rFonts w:ascii="Arial" w:hAnsi="Arial" w:cs="Arial"/>
          <w:sz w:val="22"/>
          <w:szCs w:val="22"/>
        </w:rPr>
      </w:pPr>
    </w:p>
    <w:p w14:paraId="7FCB7D3D" w14:textId="77777777" w:rsidR="000F5944" w:rsidRDefault="000F5944" w:rsidP="008F4FE5">
      <w:pPr>
        <w:spacing w:after="0" w:line="360" w:lineRule="auto"/>
        <w:rPr>
          <w:rFonts w:ascii="Arial" w:hAnsi="Arial" w:cs="Arial"/>
          <w:sz w:val="22"/>
          <w:szCs w:val="22"/>
        </w:rPr>
      </w:pPr>
    </w:p>
    <w:p w14:paraId="112FD317" w14:textId="77777777" w:rsidR="000F5944" w:rsidRDefault="000F5944" w:rsidP="008F4FE5">
      <w:pPr>
        <w:spacing w:after="0" w:line="360" w:lineRule="auto"/>
        <w:rPr>
          <w:rFonts w:ascii="Arial" w:hAnsi="Arial" w:cs="Arial"/>
          <w:sz w:val="22"/>
          <w:szCs w:val="22"/>
        </w:rPr>
      </w:pPr>
    </w:p>
    <w:p w14:paraId="0F1581FA" w14:textId="77777777" w:rsidR="000F5944" w:rsidRDefault="000F5944" w:rsidP="008F4FE5">
      <w:pPr>
        <w:spacing w:after="0" w:line="360" w:lineRule="auto"/>
        <w:rPr>
          <w:rFonts w:ascii="Arial" w:hAnsi="Arial" w:cs="Arial"/>
          <w:sz w:val="22"/>
          <w:szCs w:val="22"/>
        </w:rPr>
      </w:pPr>
    </w:p>
    <w:p w14:paraId="67FCE5A3" w14:textId="77777777" w:rsidR="000F5944" w:rsidRPr="008029D7" w:rsidRDefault="000F5944" w:rsidP="008F4FE5">
      <w:pPr>
        <w:spacing w:after="0" w:line="360" w:lineRule="auto"/>
        <w:rPr>
          <w:rFonts w:ascii="Arial" w:hAnsi="Arial" w:cs="Arial"/>
          <w:sz w:val="22"/>
          <w:szCs w:val="22"/>
        </w:rPr>
      </w:pPr>
    </w:p>
    <w:p w14:paraId="5AD94371" w14:textId="77777777" w:rsidR="008029D7" w:rsidRPr="008F4FE5" w:rsidRDefault="008029D7" w:rsidP="008F4FE5">
      <w:pPr>
        <w:spacing w:after="0" w:line="360" w:lineRule="auto"/>
        <w:rPr>
          <w:rFonts w:ascii="Arial" w:hAnsi="Arial" w:cs="Arial"/>
          <w:b/>
          <w:bCs/>
          <w:sz w:val="28"/>
          <w:szCs w:val="28"/>
        </w:rPr>
      </w:pPr>
      <w:r w:rsidRPr="008F4FE5">
        <w:rPr>
          <w:rFonts w:ascii="Arial" w:hAnsi="Arial" w:cs="Arial"/>
          <w:b/>
          <w:bCs/>
          <w:sz w:val="28"/>
          <w:szCs w:val="28"/>
        </w:rPr>
        <w:lastRenderedPageBreak/>
        <w:t>2. GRAPH DATABASE MODELLING</w:t>
      </w:r>
    </w:p>
    <w:p w14:paraId="5BFD24D5" w14:textId="77777777" w:rsidR="008029D7" w:rsidRPr="008029D7" w:rsidRDefault="008029D7" w:rsidP="008F4FE5">
      <w:pPr>
        <w:spacing w:after="0" w:line="360" w:lineRule="auto"/>
        <w:rPr>
          <w:rFonts w:ascii="Arial" w:hAnsi="Arial" w:cs="Arial"/>
          <w:sz w:val="22"/>
          <w:szCs w:val="22"/>
        </w:rPr>
      </w:pPr>
    </w:p>
    <w:p w14:paraId="197AF6F8"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2.1 Original Relational Model</w:t>
      </w:r>
    </w:p>
    <w:p w14:paraId="1D6137AD" w14:textId="77777777" w:rsidR="008029D7" w:rsidRPr="008029D7" w:rsidRDefault="008029D7" w:rsidP="008F4FE5">
      <w:pPr>
        <w:spacing w:after="0" w:line="360" w:lineRule="auto"/>
        <w:rPr>
          <w:rFonts w:ascii="Arial" w:hAnsi="Arial" w:cs="Arial"/>
          <w:sz w:val="22"/>
          <w:szCs w:val="22"/>
        </w:rPr>
      </w:pPr>
    </w:p>
    <w:p w14:paraId="15C79A32" w14:textId="7B277047" w:rsidR="008029D7" w:rsidRPr="008029D7" w:rsidRDefault="00F876F3" w:rsidP="008F4FE5">
      <w:pPr>
        <w:spacing w:after="0" w:line="360" w:lineRule="auto"/>
        <w:rPr>
          <w:rFonts w:ascii="Arial" w:hAnsi="Arial" w:cs="Arial"/>
          <w:sz w:val="22"/>
          <w:szCs w:val="22"/>
        </w:rPr>
      </w:pPr>
      <w:r>
        <w:rPr>
          <w:noProof/>
        </w:rPr>
        <w:drawing>
          <wp:inline distT="0" distB="0" distL="0" distR="0" wp14:anchorId="330B6096" wp14:editId="568519A8">
            <wp:extent cx="4859020" cy="4632960"/>
            <wp:effectExtent l="0" t="0" r="0" b="0"/>
            <wp:docPr id="179884040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0408" name="Picture 1" descr="A diagram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9020" cy="4632960"/>
                    </a:xfrm>
                    <a:prstGeom prst="rect">
                      <a:avLst/>
                    </a:prstGeom>
                    <a:noFill/>
                    <a:ln>
                      <a:noFill/>
                    </a:ln>
                  </pic:spPr>
                </pic:pic>
              </a:graphicData>
            </a:graphic>
          </wp:inline>
        </w:drawing>
      </w:r>
    </w:p>
    <w:p w14:paraId="25732AE9" w14:textId="77777777" w:rsidR="008029D7" w:rsidRPr="00AB4451" w:rsidRDefault="008029D7" w:rsidP="00AB4451">
      <w:pPr>
        <w:pStyle w:val="Caption"/>
      </w:pPr>
      <w:r w:rsidRPr="00AB4451">
        <w:t>Figure 1: Entity-Relationship Diagram (ERD) of the original relational model representing fund management, ESG metrics, and portfolio structure before graph transformation.</w:t>
      </w:r>
    </w:p>
    <w:p w14:paraId="4E41EFB4" w14:textId="77777777" w:rsidR="008029D7" w:rsidRPr="008029D7" w:rsidRDefault="008029D7" w:rsidP="008F4FE5">
      <w:pPr>
        <w:spacing w:after="0" w:line="360" w:lineRule="auto"/>
        <w:rPr>
          <w:rFonts w:ascii="Arial" w:hAnsi="Arial" w:cs="Arial"/>
          <w:sz w:val="22"/>
          <w:szCs w:val="22"/>
        </w:rPr>
      </w:pPr>
    </w:p>
    <w:p w14:paraId="5295BC08"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2.2 Description and Explanation</w:t>
      </w:r>
    </w:p>
    <w:p w14:paraId="555B7178" w14:textId="77777777" w:rsidR="008029D7" w:rsidRPr="008029D7" w:rsidRDefault="008029D7" w:rsidP="008F4FE5">
      <w:pPr>
        <w:spacing w:after="0" w:line="360" w:lineRule="auto"/>
        <w:rPr>
          <w:rFonts w:ascii="Arial" w:hAnsi="Arial" w:cs="Arial"/>
          <w:sz w:val="22"/>
          <w:szCs w:val="22"/>
        </w:rPr>
      </w:pPr>
    </w:p>
    <w:p w14:paraId="301CFE6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relational model above represents the core data structure of the ESG fund management system. Each table (entity) contains a primary key (PK) for unique identification, and foreign keys (FK) that define the relationships between entities.</w:t>
      </w:r>
    </w:p>
    <w:p w14:paraId="6357BDC1" w14:textId="77777777" w:rsidR="008029D7" w:rsidRPr="008029D7" w:rsidRDefault="008029D7" w:rsidP="008F4FE5">
      <w:pPr>
        <w:spacing w:after="0" w:line="360" w:lineRule="auto"/>
        <w:rPr>
          <w:rFonts w:ascii="Arial" w:hAnsi="Arial" w:cs="Arial"/>
          <w:sz w:val="22"/>
          <w:szCs w:val="22"/>
        </w:rPr>
      </w:pPr>
    </w:p>
    <w:p w14:paraId="3817923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However, when migrating to a graph database (Neo4j), these relationships are </w:t>
      </w:r>
      <w:proofErr w:type="spellStart"/>
      <w:r w:rsidRPr="008029D7">
        <w:rPr>
          <w:rFonts w:ascii="Arial" w:hAnsi="Arial" w:cs="Arial"/>
          <w:sz w:val="22"/>
          <w:szCs w:val="22"/>
        </w:rPr>
        <w:t>modeled</w:t>
      </w:r>
      <w:proofErr w:type="spellEnd"/>
      <w:r w:rsidRPr="008029D7">
        <w:rPr>
          <w:rFonts w:ascii="Arial" w:hAnsi="Arial" w:cs="Arial"/>
          <w:sz w:val="22"/>
          <w:szCs w:val="22"/>
        </w:rPr>
        <w:t xml:space="preserve"> as explicit graph edges, which simplifies queries and improves traversal performance.</w:t>
      </w:r>
    </w:p>
    <w:p w14:paraId="7B523B66" w14:textId="77777777" w:rsidR="008029D7" w:rsidRDefault="008029D7" w:rsidP="008F4FE5">
      <w:pPr>
        <w:spacing w:after="0" w:line="360" w:lineRule="auto"/>
        <w:rPr>
          <w:rFonts w:ascii="Arial" w:hAnsi="Arial" w:cs="Arial"/>
          <w:sz w:val="22"/>
          <w:szCs w:val="22"/>
        </w:rPr>
      </w:pPr>
    </w:p>
    <w:p w14:paraId="3AB549DB" w14:textId="77777777" w:rsidR="000F5944" w:rsidRPr="008029D7" w:rsidRDefault="000F5944" w:rsidP="008F4FE5">
      <w:pPr>
        <w:spacing w:after="0" w:line="360" w:lineRule="auto"/>
        <w:rPr>
          <w:rFonts w:ascii="Arial" w:hAnsi="Arial" w:cs="Arial"/>
          <w:sz w:val="22"/>
          <w:szCs w:val="22"/>
        </w:rPr>
      </w:pPr>
    </w:p>
    <w:p w14:paraId="1CBDA0F5"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lastRenderedPageBreak/>
        <w:t>2.3 Relational to Graph Translation Mapping</w:t>
      </w:r>
    </w:p>
    <w:p w14:paraId="31D495DF" w14:textId="77777777" w:rsidR="008029D7" w:rsidRPr="008029D7" w:rsidRDefault="008029D7" w:rsidP="008F4FE5">
      <w:pPr>
        <w:spacing w:after="0" w:line="360" w:lineRule="auto"/>
        <w:rPr>
          <w:rFonts w:ascii="Arial" w:hAnsi="Arial" w:cs="Arial"/>
          <w:sz w:val="22"/>
          <w:szCs w:val="22"/>
        </w:rPr>
      </w:pPr>
    </w:p>
    <w:p w14:paraId="43864EB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following table illustrates the systematic translation from relational tables to graph nodes and relationships:</w:t>
      </w:r>
    </w:p>
    <w:p w14:paraId="1285F5D5" w14:textId="77777777" w:rsidR="008029D7" w:rsidRPr="008029D7" w:rsidRDefault="008029D7" w:rsidP="008F4FE5">
      <w:pPr>
        <w:spacing w:after="0" w:line="360" w:lineRule="auto"/>
        <w:rPr>
          <w:rFonts w:ascii="Arial" w:hAnsi="Arial" w:cs="Arial"/>
          <w:sz w:val="22"/>
          <w:szCs w:val="22"/>
        </w:rPr>
      </w:pPr>
    </w:p>
    <w:tbl>
      <w:tblPr>
        <w:tblStyle w:val="TableGridLight"/>
        <w:tblW w:w="0" w:type="auto"/>
        <w:tblLook w:val="04A0" w:firstRow="1" w:lastRow="0" w:firstColumn="1" w:lastColumn="0" w:noHBand="0" w:noVBand="1"/>
      </w:tblPr>
      <w:tblGrid>
        <w:gridCol w:w="2395"/>
        <w:gridCol w:w="2419"/>
        <w:gridCol w:w="4202"/>
      </w:tblGrid>
      <w:tr w:rsidR="002C75FE" w:rsidRPr="00020046" w14:paraId="4A270134" w14:textId="77777777" w:rsidTr="00884232">
        <w:tc>
          <w:tcPr>
            <w:tcW w:w="0" w:type="auto"/>
            <w:hideMark/>
          </w:tcPr>
          <w:p w14:paraId="17DD7DCF" w14:textId="77777777" w:rsidR="002C75FE" w:rsidRPr="00020046" w:rsidRDefault="002C75FE" w:rsidP="00884232">
            <w:pPr>
              <w:spacing w:after="160" w:line="259" w:lineRule="auto"/>
              <w:rPr>
                <w:b/>
                <w:bCs/>
              </w:rPr>
            </w:pPr>
            <w:r w:rsidRPr="00020046">
              <w:rPr>
                <w:b/>
                <w:bCs/>
              </w:rPr>
              <w:t>Relational Table</w:t>
            </w:r>
          </w:p>
        </w:tc>
        <w:tc>
          <w:tcPr>
            <w:tcW w:w="0" w:type="auto"/>
            <w:hideMark/>
          </w:tcPr>
          <w:p w14:paraId="27301A7C" w14:textId="77777777" w:rsidR="002C75FE" w:rsidRPr="00020046" w:rsidRDefault="002C75FE" w:rsidP="00884232">
            <w:pPr>
              <w:spacing w:after="160" w:line="259" w:lineRule="auto"/>
              <w:rPr>
                <w:b/>
                <w:bCs/>
              </w:rPr>
            </w:pPr>
            <w:r w:rsidRPr="00020046">
              <w:rPr>
                <w:b/>
                <w:bCs/>
              </w:rPr>
              <w:t>Graph Node</w:t>
            </w:r>
          </w:p>
        </w:tc>
        <w:tc>
          <w:tcPr>
            <w:tcW w:w="0" w:type="auto"/>
            <w:hideMark/>
          </w:tcPr>
          <w:p w14:paraId="7B74C7EE" w14:textId="77777777" w:rsidR="002C75FE" w:rsidRPr="00020046" w:rsidRDefault="002C75FE" w:rsidP="00884232">
            <w:pPr>
              <w:spacing w:after="160" w:line="259" w:lineRule="auto"/>
              <w:rPr>
                <w:b/>
                <w:bCs/>
              </w:rPr>
            </w:pPr>
            <w:r w:rsidRPr="00020046">
              <w:rPr>
                <w:b/>
                <w:bCs/>
              </w:rPr>
              <w:t>Key Relationships (Graph Edges)</w:t>
            </w:r>
          </w:p>
        </w:tc>
      </w:tr>
      <w:tr w:rsidR="002C75FE" w:rsidRPr="00020046" w14:paraId="51482384" w14:textId="77777777" w:rsidTr="00884232">
        <w:tc>
          <w:tcPr>
            <w:tcW w:w="0" w:type="auto"/>
            <w:hideMark/>
          </w:tcPr>
          <w:p w14:paraId="5565F896" w14:textId="77777777" w:rsidR="002C75FE" w:rsidRPr="00020046" w:rsidRDefault="002C75FE" w:rsidP="00884232">
            <w:pPr>
              <w:spacing w:after="160" w:line="259" w:lineRule="auto"/>
            </w:pPr>
            <w:proofErr w:type="spellStart"/>
            <w:r w:rsidRPr="00020046">
              <w:t>Fund_Manager</w:t>
            </w:r>
            <w:proofErr w:type="spellEnd"/>
          </w:p>
        </w:tc>
        <w:tc>
          <w:tcPr>
            <w:tcW w:w="0" w:type="auto"/>
            <w:hideMark/>
          </w:tcPr>
          <w:p w14:paraId="43FE8462" w14:textId="77777777" w:rsidR="002C75FE" w:rsidRPr="00020046" w:rsidRDefault="002C75FE" w:rsidP="00884232">
            <w:pPr>
              <w:spacing w:after="160" w:line="259" w:lineRule="auto"/>
            </w:pPr>
            <w:proofErr w:type="gramStart"/>
            <w:r w:rsidRPr="00020046">
              <w:t>(:</w:t>
            </w:r>
            <w:proofErr w:type="spellStart"/>
            <w:r w:rsidRPr="00020046">
              <w:t>FundManager</w:t>
            </w:r>
            <w:proofErr w:type="spellEnd"/>
            <w:proofErr w:type="gramEnd"/>
            <w:r w:rsidRPr="00020046">
              <w:t>)</w:t>
            </w:r>
          </w:p>
        </w:tc>
        <w:tc>
          <w:tcPr>
            <w:tcW w:w="0" w:type="auto"/>
            <w:hideMark/>
          </w:tcPr>
          <w:p w14:paraId="1629810A" w14:textId="77777777" w:rsidR="002C75FE" w:rsidRPr="00020046" w:rsidRDefault="002C75FE" w:rsidP="00884232">
            <w:pPr>
              <w:spacing w:after="160" w:line="259" w:lineRule="auto"/>
            </w:pPr>
            <w:proofErr w:type="gramStart"/>
            <w:r w:rsidRPr="00020046">
              <w:t>(:</w:t>
            </w:r>
            <w:proofErr w:type="spellStart"/>
            <w:r w:rsidRPr="00020046">
              <w:t>FundManager</w:t>
            </w:r>
            <w:proofErr w:type="spellEnd"/>
            <w:proofErr w:type="gramEnd"/>
            <w:r w:rsidRPr="00020046">
              <w:t>)-</w:t>
            </w:r>
            <w:proofErr w:type="gramStart"/>
            <w:r w:rsidRPr="00020046">
              <w:t>[:MANAGES</w:t>
            </w:r>
            <w:proofErr w:type="gramEnd"/>
            <w:r w:rsidRPr="00020046">
              <w:t>]-&gt;</w:t>
            </w:r>
            <w:proofErr w:type="gramStart"/>
            <w:r w:rsidRPr="00020046">
              <w:t>(:</w:t>
            </w:r>
            <w:proofErr w:type="spellStart"/>
            <w:r w:rsidRPr="00020046">
              <w:t>InvestmentFund</w:t>
            </w:r>
            <w:proofErr w:type="spellEnd"/>
            <w:proofErr w:type="gramEnd"/>
            <w:r w:rsidRPr="00020046">
              <w:t>)</w:t>
            </w:r>
          </w:p>
        </w:tc>
      </w:tr>
      <w:tr w:rsidR="002C75FE" w:rsidRPr="00020046" w14:paraId="60DE9E33" w14:textId="77777777" w:rsidTr="00884232">
        <w:tc>
          <w:tcPr>
            <w:tcW w:w="0" w:type="auto"/>
            <w:hideMark/>
          </w:tcPr>
          <w:p w14:paraId="57875259" w14:textId="77777777" w:rsidR="002C75FE" w:rsidRPr="00020046" w:rsidRDefault="002C75FE" w:rsidP="00884232">
            <w:pPr>
              <w:spacing w:after="160" w:line="259" w:lineRule="auto"/>
            </w:pPr>
            <w:proofErr w:type="spellStart"/>
            <w:r w:rsidRPr="00020046">
              <w:t>Investment_Fund</w:t>
            </w:r>
            <w:proofErr w:type="spellEnd"/>
          </w:p>
        </w:tc>
        <w:tc>
          <w:tcPr>
            <w:tcW w:w="0" w:type="auto"/>
            <w:hideMark/>
          </w:tcPr>
          <w:p w14:paraId="7D6F0089" w14:textId="77777777" w:rsidR="002C75FE" w:rsidRPr="00020046" w:rsidRDefault="002C75FE" w:rsidP="00884232">
            <w:pPr>
              <w:spacing w:after="160" w:line="259" w:lineRule="auto"/>
            </w:pPr>
            <w:proofErr w:type="gramStart"/>
            <w:r w:rsidRPr="00020046">
              <w:t>(:</w:t>
            </w:r>
            <w:proofErr w:type="spellStart"/>
            <w:r w:rsidRPr="00020046">
              <w:t>InvestmentFund</w:t>
            </w:r>
            <w:proofErr w:type="spellEnd"/>
            <w:proofErr w:type="gramEnd"/>
            <w:r w:rsidRPr="00020046">
              <w:t>)</w:t>
            </w:r>
          </w:p>
        </w:tc>
        <w:tc>
          <w:tcPr>
            <w:tcW w:w="0" w:type="auto"/>
            <w:hideMark/>
          </w:tcPr>
          <w:p w14:paraId="267490AA" w14:textId="77777777" w:rsidR="002C75FE" w:rsidRPr="00020046" w:rsidRDefault="002C75FE" w:rsidP="00884232">
            <w:pPr>
              <w:spacing w:after="160" w:line="259" w:lineRule="auto"/>
            </w:pPr>
            <w:proofErr w:type="gramStart"/>
            <w:r w:rsidRPr="00020046">
              <w:t>(:</w:t>
            </w:r>
            <w:proofErr w:type="spellStart"/>
            <w:r w:rsidRPr="00020046">
              <w:t>InvestmentFund</w:t>
            </w:r>
            <w:proofErr w:type="spellEnd"/>
            <w:proofErr w:type="gramEnd"/>
            <w:r w:rsidRPr="00020046">
              <w:t>)-</w:t>
            </w:r>
            <w:proofErr w:type="gramStart"/>
            <w:r w:rsidRPr="00020046">
              <w:t>[:HOLDS</w:t>
            </w:r>
            <w:proofErr w:type="gramEnd"/>
            <w:r w:rsidRPr="00020046">
              <w:t>]-&gt;</w:t>
            </w:r>
            <w:proofErr w:type="gramStart"/>
            <w:r w:rsidRPr="00020046">
              <w:t>(:Company</w:t>
            </w:r>
            <w:proofErr w:type="gramEnd"/>
            <w:r w:rsidRPr="00020046">
              <w:t>)</w:t>
            </w:r>
          </w:p>
        </w:tc>
      </w:tr>
      <w:tr w:rsidR="002C75FE" w:rsidRPr="00020046" w14:paraId="044DDB0B" w14:textId="77777777" w:rsidTr="00884232">
        <w:tc>
          <w:tcPr>
            <w:tcW w:w="0" w:type="auto"/>
            <w:hideMark/>
          </w:tcPr>
          <w:p w14:paraId="5767FF90" w14:textId="77777777" w:rsidR="002C75FE" w:rsidRPr="00020046" w:rsidRDefault="002C75FE" w:rsidP="00884232">
            <w:pPr>
              <w:spacing w:after="160" w:line="259" w:lineRule="auto"/>
            </w:pPr>
            <w:proofErr w:type="spellStart"/>
            <w:r w:rsidRPr="00020046">
              <w:t>Portfolio_Company</w:t>
            </w:r>
            <w:proofErr w:type="spellEnd"/>
          </w:p>
        </w:tc>
        <w:tc>
          <w:tcPr>
            <w:tcW w:w="0" w:type="auto"/>
            <w:hideMark/>
          </w:tcPr>
          <w:p w14:paraId="4BC42CE0" w14:textId="77777777" w:rsidR="002C75FE" w:rsidRPr="00020046" w:rsidRDefault="002C75FE" w:rsidP="00884232">
            <w:pPr>
              <w:spacing w:after="160" w:line="259" w:lineRule="auto"/>
            </w:pPr>
            <w:proofErr w:type="gramStart"/>
            <w:r w:rsidRPr="00020046">
              <w:t>(:Company</w:t>
            </w:r>
            <w:proofErr w:type="gramEnd"/>
            <w:r w:rsidRPr="00020046">
              <w:t>)</w:t>
            </w:r>
          </w:p>
        </w:tc>
        <w:tc>
          <w:tcPr>
            <w:tcW w:w="0" w:type="auto"/>
            <w:hideMark/>
          </w:tcPr>
          <w:p w14:paraId="3FFA66FD" w14:textId="77777777" w:rsidR="002C75FE" w:rsidRPr="00020046" w:rsidRDefault="002C75FE" w:rsidP="00884232">
            <w:pPr>
              <w:spacing w:after="160" w:line="259" w:lineRule="auto"/>
            </w:pPr>
            <w:proofErr w:type="gramStart"/>
            <w:r w:rsidRPr="00020046">
              <w:t>(:Company</w:t>
            </w:r>
            <w:proofErr w:type="gramEnd"/>
            <w:r w:rsidRPr="00020046">
              <w:t>)-</w:t>
            </w:r>
            <w:proofErr w:type="gramStart"/>
            <w:r w:rsidRPr="00020046">
              <w:t>[:ASSESSED</w:t>
            </w:r>
            <w:proofErr w:type="gramEnd"/>
            <w:r w:rsidRPr="00020046">
              <w:t>_FOR]-&gt;</w:t>
            </w:r>
            <w:proofErr w:type="gramStart"/>
            <w:r w:rsidRPr="00020046">
              <w:t>(:</w:t>
            </w:r>
            <w:proofErr w:type="spellStart"/>
            <w:r w:rsidRPr="00020046">
              <w:t>ESGMetric</w:t>
            </w:r>
            <w:proofErr w:type="spellEnd"/>
            <w:proofErr w:type="gramEnd"/>
            <w:r w:rsidRPr="00020046">
              <w:t>)</w:t>
            </w:r>
          </w:p>
        </w:tc>
      </w:tr>
      <w:tr w:rsidR="002C75FE" w:rsidRPr="00020046" w14:paraId="41291E34" w14:textId="77777777" w:rsidTr="00884232">
        <w:tc>
          <w:tcPr>
            <w:tcW w:w="0" w:type="auto"/>
            <w:hideMark/>
          </w:tcPr>
          <w:p w14:paraId="39D8F463" w14:textId="77777777" w:rsidR="002C75FE" w:rsidRPr="00020046" w:rsidRDefault="002C75FE" w:rsidP="00884232">
            <w:pPr>
              <w:spacing w:after="160" w:line="259" w:lineRule="auto"/>
            </w:pPr>
            <w:proofErr w:type="spellStart"/>
            <w:r w:rsidRPr="00020046">
              <w:t>ESG_Metric</w:t>
            </w:r>
            <w:proofErr w:type="spellEnd"/>
          </w:p>
        </w:tc>
        <w:tc>
          <w:tcPr>
            <w:tcW w:w="0" w:type="auto"/>
            <w:hideMark/>
          </w:tcPr>
          <w:p w14:paraId="53244711" w14:textId="77777777" w:rsidR="002C75FE" w:rsidRPr="00020046" w:rsidRDefault="002C75FE" w:rsidP="00884232">
            <w:pPr>
              <w:spacing w:after="160" w:line="259" w:lineRule="auto"/>
            </w:pPr>
            <w:proofErr w:type="gramStart"/>
            <w:r w:rsidRPr="00020046">
              <w:t>(:</w:t>
            </w:r>
            <w:proofErr w:type="spellStart"/>
            <w:r w:rsidRPr="00020046">
              <w:t>ESGMetric</w:t>
            </w:r>
            <w:proofErr w:type="spellEnd"/>
            <w:proofErr w:type="gramEnd"/>
            <w:r w:rsidRPr="00020046">
              <w:t>)</w:t>
            </w:r>
          </w:p>
        </w:tc>
        <w:tc>
          <w:tcPr>
            <w:tcW w:w="0" w:type="auto"/>
            <w:hideMark/>
          </w:tcPr>
          <w:p w14:paraId="31C72D7F" w14:textId="77777777" w:rsidR="002C75FE" w:rsidRPr="00020046" w:rsidRDefault="002C75FE" w:rsidP="00884232">
            <w:pPr>
              <w:spacing w:after="160" w:line="259" w:lineRule="auto"/>
            </w:pPr>
            <w:proofErr w:type="gramStart"/>
            <w:r w:rsidRPr="00020046">
              <w:t>(:</w:t>
            </w:r>
            <w:proofErr w:type="spellStart"/>
            <w:r w:rsidRPr="00020046">
              <w:t>ESGMetric</w:t>
            </w:r>
            <w:proofErr w:type="spellEnd"/>
            <w:proofErr w:type="gramEnd"/>
            <w:r w:rsidRPr="00020046">
              <w:t>)&lt;-</w:t>
            </w:r>
            <w:proofErr w:type="gramStart"/>
            <w:r w:rsidRPr="00020046">
              <w:t>[:PROVIDES</w:t>
            </w:r>
            <w:proofErr w:type="gramEnd"/>
            <w:r w:rsidRPr="00020046">
              <w:t>]-</w:t>
            </w:r>
            <w:proofErr w:type="gramStart"/>
            <w:r w:rsidRPr="00020046">
              <w:t>(:</w:t>
            </w:r>
            <w:proofErr w:type="spellStart"/>
            <w:r w:rsidRPr="00020046">
              <w:t>DataSource</w:t>
            </w:r>
            <w:proofErr w:type="spellEnd"/>
            <w:proofErr w:type="gramEnd"/>
            <w:r w:rsidRPr="00020046">
              <w:t>)</w:t>
            </w:r>
          </w:p>
        </w:tc>
      </w:tr>
      <w:tr w:rsidR="002C75FE" w:rsidRPr="00020046" w14:paraId="44B4FD1B" w14:textId="77777777" w:rsidTr="00884232">
        <w:tc>
          <w:tcPr>
            <w:tcW w:w="0" w:type="auto"/>
            <w:hideMark/>
          </w:tcPr>
          <w:p w14:paraId="61788C27" w14:textId="77777777" w:rsidR="002C75FE" w:rsidRPr="00020046" w:rsidRDefault="002C75FE" w:rsidP="00884232">
            <w:pPr>
              <w:spacing w:after="160" w:line="259" w:lineRule="auto"/>
            </w:pPr>
            <w:proofErr w:type="spellStart"/>
            <w:r w:rsidRPr="00020046">
              <w:t>ESG_Data_Source</w:t>
            </w:r>
            <w:proofErr w:type="spellEnd"/>
          </w:p>
        </w:tc>
        <w:tc>
          <w:tcPr>
            <w:tcW w:w="0" w:type="auto"/>
            <w:hideMark/>
          </w:tcPr>
          <w:p w14:paraId="68A59725" w14:textId="77777777" w:rsidR="002C75FE" w:rsidRPr="00020046" w:rsidRDefault="002C75FE" w:rsidP="00884232">
            <w:pPr>
              <w:spacing w:after="160" w:line="259" w:lineRule="auto"/>
            </w:pPr>
            <w:proofErr w:type="gramStart"/>
            <w:r w:rsidRPr="00020046">
              <w:t>(:</w:t>
            </w:r>
            <w:proofErr w:type="spellStart"/>
            <w:r w:rsidRPr="00020046">
              <w:t>DataSource</w:t>
            </w:r>
            <w:proofErr w:type="spellEnd"/>
            <w:proofErr w:type="gramEnd"/>
            <w:r w:rsidRPr="00020046">
              <w:t>)</w:t>
            </w:r>
          </w:p>
        </w:tc>
        <w:tc>
          <w:tcPr>
            <w:tcW w:w="0" w:type="auto"/>
            <w:hideMark/>
          </w:tcPr>
          <w:p w14:paraId="33A4649F" w14:textId="77777777" w:rsidR="002C75FE" w:rsidRPr="00020046" w:rsidRDefault="002C75FE" w:rsidP="00884232">
            <w:pPr>
              <w:spacing w:after="160" w:line="259" w:lineRule="auto"/>
            </w:pPr>
            <w:proofErr w:type="gramStart"/>
            <w:r w:rsidRPr="00020046">
              <w:t>(:</w:t>
            </w:r>
            <w:proofErr w:type="spellStart"/>
            <w:r w:rsidRPr="00020046">
              <w:t>DataSource</w:t>
            </w:r>
            <w:proofErr w:type="spellEnd"/>
            <w:proofErr w:type="gramEnd"/>
            <w:r w:rsidRPr="00020046">
              <w:t>)-</w:t>
            </w:r>
            <w:proofErr w:type="gramStart"/>
            <w:r w:rsidRPr="00020046">
              <w:t>[:PROVIDES</w:t>
            </w:r>
            <w:proofErr w:type="gramEnd"/>
            <w:r w:rsidRPr="00020046">
              <w:t>]-&gt;</w:t>
            </w:r>
            <w:proofErr w:type="gramStart"/>
            <w:r w:rsidRPr="00020046">
              <w:t>(:</w:t>
            </w:r>
            <w:proofErr w:type="spellStart"/>
            <w:r w:rsidRPr="00020046">
              <w:t>ESGMetric</w:t>
            </w:r>
            <w:proofErr w:type="spellEnd"/>
            <w:proofErr w:type="gramEnd"/>
            <w:r w:rsidRPr="00020046">
              <w:t>)</w:t>
            </w:r>
          </w:p>
        </w:tc>
      </w:tr>
      <w:tr w:rsidR="002C75FE" w:rsidRPr="00020046" w14:paraId="6E4FF927" w14:textId="77777777" w:rsidTr="00884232">
        <w:tc>
          <w:tcPr>
            <w:tcW w:w="0" w:type="auto"/>
            <w:hideMark/>
          </w:tcPr>
          <w:p w14:paraId="6E5ECA60" w14:textId="77777777" w:rsidR="002C75FE" w:rsidRPr="00020046" w:rsidRDefault="002C75FE" w:rsidP="00884232">
            <w:pPr>
              <w:spacing w:after="160" w:line="259" w:lineRule="auto"/>
            </w:pPr>
            <w:proofErr w:type="spellStart"/>
            <w:r w:rsidRPr="00020046">
              <w:t>ESG_Performance</w:t>
            </w:r>
            <w:proofErr w:type="spellEnd"/>
          </w:p>
        </w:tc>
        <w:tc>
          <w:tcPr>
            <w:tcW w:w="0" w:type="auto"/>
            <w:hideMark/>
          </w:tcPr>
          <w:p w14:paraId="4586AF59" w14:textId="77777777" w:rsidR="002C75FE" w:rsidRPr="00020046" w:rsidRDefault="002C75FE" w:rsidP="00884232">
            <w:pPr>
              <w:spacing w:after="160" w:line="259" w:lineRule="auto"/>
            </w:pPr>
            <w:r w:rsidRPr="00020046">
              <w:t>Relationship properties node</w:t>
            </w:r>
          </w:p>
        </w:tc>
        <w:tc>
          <w:tcPr>
            <w:tcW w:w="0" w:type="auto"/>
            <w:hideMark/>
          </w:tcPr>
          <w:p w14:paraId="5B01C784" w14:textId="77777777" w:rsidR="002C75FE" w:rsidRPr="00020046" w:rsidRDefault="002C75FE" w:rsidP="00884232">
            <w:pPr>
              <w:spacing w:after="160" w:line="259" w:lineRule="auto"/>
            </w:pPr>
            <w:proofErr w:type="gramStart"/>
            <w:r w:rsidRPr="00020046">
              <w:t>(:Company</w:t>
            </w:r>
            <w:proofErr w:type="gramEnd"/>
            <w:r w:rsidRPr="00020046">
              <w:t>)</w:t>
            </w:r>
            <w:proofErr w:type="gramStart"/>
            <w:r w:rsidRPr="00020046">
              <w:t>-[</w:t>
            </w:r>
            <w:proofErr w:type="gramEnd"/>
            <w:r w:rsidRPr="00020046">
              <w:t>:ASSESSED_FOR {</w:t>
            </w:r>
            <w:proofErr w:type="spellStart"/>
            <w:r w:rsidRPr="00020046">
              <w:t>performance_</w:t>
            </w:r>
            <w:proofErr w:type="gramStart"/>
            <w:r w:rsidRPr="00020046">
              <w:t>id</w:t>
            </w:r>
            <w:proofErr w:type="spellEnd"/>
            <w:r w:rsidRPr="00020046">
              <w:t>,...</w:t>
            </w:r>
            <w:proofErr w:type="gramEnd"/>
            <w:r w:rsidRPr="00020046">
              <w:t>}]-&gt;</w:t>
            </w:r>
            <w:proofErr w:type="gramStart"/>
            <w:r w:rsidRPr="00020046">
              <w:t>(:</w:t>
            </w:r>
            <w:proofErr w:type="spellStart"/>
            <w:r w:rsidRPr="00020046">
              <w:t>ESGMetric</w:t>
            </w:r>
            <w:proofErr w:type="spellEnd"/>
            <w:proofErr w:type="gramEnd"/>
            <w:r w:rsidRPr="00020046">
              <w:t>)</w:t>
            </w:r>
          </w:p>
        </w:tc>
      </w:tr>
      <w:tr w:rsidR="002C75FE" w:rsidRPr="00020046" w14:paraId="12AB8735" w14:textId="77777777" w:rsidTr="00884232">
        <w:tc>
          <w:tcPr>
            <w:tcW w:w="0" w:type="auto"/>
            <w:hideMark/>
          </w:tcPr>
          <w:p w14:paraId="0D164415" w14:textId="77777777" w:rsidR="002C75FE" w:rsidRPr="00020046" w:rsidRDefault="002C75FE" w:rsidP="00884232">
            <w:pPr>
              <w:spacing w:after="160" w:line="259" w:lineRule="auto"/>
            </w:pPr>
            <w:proofErr w:type="spellStart"/>
            <w:r w:rsidRPr="00020046">
              <w:t>Regulatory_Framework</w:t>
            </w:r>
            <w:proofErr w:type="spellEnd"/>
          </w:p>
        </w:tc>
        <w:tc>
          <w:tcPr>
            <w:tcW w:w="0" w:type="auto"/>
            <w:hideMark/>
          </w:tcPr>
          <w:p w14:paraId="2A3E974C" w14:textId="77777777" w:rsidR="002C75FE" w:rsidRPr="00020046" w:rsidRDefault="002C75FE" w:rsidP="00884232">
            <w:pPr>
              <w:spacing w:after="160" w:line="259" w:lineRule="auto"/>
            </w:pPr>
            <w:proofErr w:type="gramStart"/>
            <w:r w:rsidRPr="00020046">
              <w:t>(:</w:t>
            </w:r>
            <w:proofErr w:type="spellStart"/>
            <w:r w:rsidRPr="00020046">
              <w:t>RegFramework</w:t>
            </w:r>
            <w:proofErr w:type="spellEnd"/>
            <w:proofErr w:type="gramEnd"/>
            <w:r w:rsidRPr="00020046">
              <w:t>)</w:t>
            </w:r>
          </w:p>
        </w:tc>
        <w:tc>
          <w:tcPr>
            <w:tcW w:w="0" w:type="auto"/>
            <w:hideMark/>
          </w:tcPr>
          <w:p w14:paraId="3E3F04E4" w14:textId="77777777" w:rsidR="002C75FE" w:rsidRPr="00020046" w:rsidRDefault="002C75FE" w:rsidP="00884232">
            <w:pPr>
              <w:spacing w:after="160" w:line="259" w:lineRule="auto"/>
            </w:pPr>
            <w:proofErr w:type="gramStart"/>
            <w:r w:rsidRPr="00020046">
              <w:t>(:</w:t>
            </w:r>
            <w:proofErr w:type="spellStart"/>
            <w:r w:rsidRPr="00020046">
              <w:t>ESGMetric</w:t>
            </w:r>
            <w:proofErr w:type="spellEnd"/>
            <w:proofErr w:type="gramEnd"/>
            <w:r w:rsidRPr="00020046">
              <w:t>)-</w:t>
            </w:r>
            <w:proofErr w:type="gramStart"/>
            <w:r w:rsidRPr="00020046">
              <w:t>[:DEFINED</w:t>
            </w:r>
            <w:proofErr w:type="gramEnd"/>
            <w:r w:rsidRPr="00020046">
              <w:t>_BY]-&gt;</w:t>
            </w:r>
            <w:proofErr w:type="gramStart"/>
            <w:r w:rsidRPr="00020046">
              <w:t>(:</w:t>
            </w:r>
            <w:proofErr w:type="spellStart"/>
            <w:r w:rsidRPr="00020046">
              <w:t>RegFramework</w:t>
            </w:r>
            <w:proofErr w:type="spellEnd"/>
            <w:proofErr w:type="gramEnd"/>
            <w:r w:rsidRPr="00020046">
              <w:t>)</w:t>
            </w:r>
          </w:p>
        </w:tc>
      </w:tr>
      <w:tr w:rsidR="002C75FE" w:rsidRPr="00020046" w14:paraId="54A1D4E3" w14:textId="77777777" w:rsidTr="00884232">
        <w:tc>
          <w:tcPr>
            <w:tcW w:w="0" w:type="auto"/>
            <w:hideMark/>
          </w:tcPr>
          <w:p w14:paraId="596EB0B4" w14:textId="77777777" w:rsidR="002C75FE" w:rsidRPr="00020046" w:rsidRDefault="002C75FE" w:rsidP="00884232">
            <w:pPr>
              <w:spacing w:after="160" w:line="259" w:lineRule="auto"/>
            </w:pPr>
            <w:proofErr w:type="spellStart"/>
            <w:r w:rsidRPr="00020046">
              <w:t>Audit_Trail</w:t>
            </w:r>
            <w:proofErr w:type="spellEnd"/>
          </w:p>
        </w:tc>
        <w:tc>
          <w:tcPr>
            <w:tcW w:w="0" w:type="auto"/>
            <w:hideMark/>
          </w:tcPr>
          <w:p w14:paraId="067DC8EE" w14:textId="77777777" w:rsidR="002C75FE" w:rsidRPr="00020046" w:rsidRDefault="002C75FE" w:rsidP="00884232">
            <w:pPr>
              <w:spacing w:after="160" w:line="259" w:lineRule="auto"/>
            </w:pPr>
            <w:proofErr w:type="gramStart"/>
            <w:r w:rsidRPr="00020046">
              <w:t>(:</w:t>
            </w:r>
            <w:proofErr w:type="spellStart"/>
            <w:r w:rsidRPr="00020046">
              <w:t>AuditEvent</w:t>
            </w:r>
            <w:proofErr w:type="spellEnd"/>
            <w:proofErr w:type="gramEnd"/>
            <w:r w:rsidRPr="00020046">
              <w:t>)</w:t>
            </w:r>
          </w:p>
        </w:tc>
        <w:tc>
          <w:tcPr>
            <w:tcW w:w="0" w:type="auto"/>
            <w:hideMark/>
          </w:tcPr>
          <w:p w14:paraId="2291F647" w14:textId="77777777" w:rsidR="002C75FE" w:rsidRPr="00020046" w:rsidRDefault="002C75FE" w:rsidP="00884232">
            <w:pPr>
              <w:spacing w:after="160" w:line="259" w:lineRule="auto"/>
            </w:pPr>
            <w:r w:rsidRPr="00020046">
              <w:t>Optional standalone entity for version tracking</w:t>
            </w:r>
          </w:p>
        </w:tc>
      </w:tr>
      <w:tr w:rsidR="002C75FE" w:rsidRPr="00020046" w14:paraId="788B14BE" w14:textId="77777777" w:rsidTr="00884232">
        <w:tc>
          <w:tcPr>
            <w:tcW w:w="0" w:type="auto"/>
            <w:hideMark/>
          </w:tcPr>
          <w:p w14:paraId="5F70F329" w14:textId="77777777" w:rsidR="002C75FE" w:rsidRPr="00020046" w:rsidRDefault="002C75FE" w:rsidP="00884232">
            <w:pPr>
              <w:spacing w:after="160" w:line="259" w:lineRule="auto"/>
            </w:pPr>
            <w:proofErr w:type="spellStart"/>
            <w:r w:rsidRPr="00020046">
              <w:t>Investment_Position</w:t>
            </w:r>
            <w:proofErr w:type="spellEnd"/>
          </w:p>
        </w:tc>
        <w:tc>
          <w:tcPr>
            <w:tcW w:w="0" w:type="auto"/>
            <w:hideMark/>
          </w:tcPr>
          <w:p w14:paraId="0B2D5EEA" w14:textId="77777777" w:rsidR="002C75FE" w:rsidRPr="00020046" w:rsidRDefault="002C75FE" w:rsidP="00884232">
            <w:pPr>
              <w:spacing w:after="160" w:line="259" w:lineRule="auto"/>
            </w:pPr>
            <w:r w:rsidRPr="00020046">
              <w:t>Relationship edge</w:t>
            </w:r>
          </w:p>
        </w:tc>
        <w:tc>
          <w:tcPr>
            <w:tcW w:w="0" w:type="auto"/>
            <w:hideMark/>
          </w:tcPr>
          <w:p w14:paraId="669EE383" w14:textId="77777777" w:rsidR="002C75FE" w:rsidRPr="00020046" w:rsidRDefault="002C75FE" w:rsidP="00884232">
            <w:pPr>
              <w:spacing w:after="160" w:line="259" w:lineRule="auto"/>
            </w:pPr>
            <w:proofErr w:type="gramStart"/>
            <w:r w:rsidRPr="00020046">
              <w:t>(:</w:t>
            </w:r>
            <w:proofErr w:type="spellStart"/>
            <w:r w:rsidRPr="00020046">
              <w:t>InvestmentFund</w:t>
            </w:r>
            <w:proofErr w:type="spellEnd"/>
            <w:proofErr w:type="gramEnd"/>
            <w:r w:rsidRPr="00020046">
              <w:t>)</w:t>
            </w:r>
            <w:proofErr w:type="gramStart"/>
            <w:r w:rsidRPr="00020046">
              <w:t>-[</w:t>
            </w:r>
            <w:proofErr w:type="gramEnd"/>
            <w:r w:rsidRPr="00020046">
              <w:t>:HOLDS {</w:t>
            </w:r>
            <w:proofErr w:type="spellStart"/>
            <w:r w:rsidRPr="00020046">
              <w:t>position_</w:t>
            </w:r>
            <w:proofErr w:type="gramStart"/>
            <w:r w:rsidRPr="00020046">
              <w:t>id</w:t>
            </w:r>
            <w:proofErr w:type="spellEnd"/>
            <w:r w:rsidRPr="00020046">
              <w:t>,...</w:t>
            </w:r>
            <w:proofErr w:type="gramEnd"/>
            <w:r w:rsidRPr="00020046">
              <w:t>}]-&gt;</w:t>
            </w:r>
            <w:proofErr w:type="gramStart"/>
            <w:r w:rsidRPr="00020046">
              <w:t>(:Company</w:t>
            </w:r>
            <w:proofErr w:type="gramEnd"/>
            <w:r w:rsidRPr="00020046">
              <w:t>)</w:t>
            </w:r>
          </w:p>
        </w:tc>
      </w:tr>
    </w:tbl>
    <w:p w14:paraId="57FEF349" w14:textId="77777777" w:rsidR="008029D7" w:rsidRPr="008029D7" w:rsidRDefault="008029D7" w:rsidP="008F4FE5">
      <w:pPr>
        <w:spacing w:after="0" w:line="360" w:lineRule="auto"/>
        <w:rPr>
          <w:rFonts w:ascii="Arial" w:hAnsi="Arial" w:cs="Arial"/>
          <w:sz w:val="22"/>
          <w:szCs w:val="22"/>
        </w:rPr>
      </w:pPr>
    </w:p>
    <w:p w14:paraId="6AC8158D"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2.4 Analytical Narrative</w:t>
      </w:r>
    </w:p>
    <w:p w14:paraId="18EFC0DB" w14:textId="77777777" w:rsidR="008029D7" w:rsidRPr="008029D7" w:rsidRDefault="008029D7" w:rsidP="008F4FE5">
      <w:pPr>
        <w:spacing w:after="0" w:line="360" w:lineRule="auto"/>
        <w:rPr>
          <w:rFonts w:ascii="Arial" w:hAnsi="Arial" w:cs="Arial"/>
          <w:sz w:val="22"/>
          <w:szCs w:val="22"/>
        </w:rPr>
      </w:pPr>
    </w:p>
    <w:p w14:paraId="40C643F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migration from relational tables to a graph structure ensures semantic clarity and efficient traversal for ESG analytics:</w:t>
      </w:r>
    </w:p>
    <w:p w14:paraId="112AFDC1" w14:textId="77777777" w:rsidR="008029D7" w:rsidRPr="008029D7" w:rsidRDefault="008029D7" w:rsidP="008F4FE5">
      <w:pPr>
        <w:spacing w:after="0" w:line="360" w:lineRule="auto"/>
        <w:rPr>
          <w:rFonts w:ascii="Arial" w:hAnsi="Arial" w:cs="Arial"/>
          <w:sz w:val="22"/>
          <w:szCs w:val="22"/>
        </w:rPr>
      </w:pPr>
    </w:p>
    <w:p w14:paraId="39559B79" w14:textId="6F31EAA5" w:rsidR="008029D7" w:rsidRPr="00AB4451" w:rsidRDefault="008029D7" w:rsidP="00AB4451">
      <w:pPr>
        <w:pStyle w:val="ListParagraph"/>
        <w:numPr>
          <w:ilvl w:val="0"/>
          <w:numId w:val="4"/>
        </w:numPr>
        <w:spacing w:after="0" w:line="360" w:lineRule="auto"/>
        <w:rPr>
          <w:rFonts w:ascii="Arial" w:hAnsi="Arial" w:cs="Arial"/>
          <w:sz w:val="22"/>
          <w:szCs w:val="22"/>
        </w:rPr>
      </w:pPr>
      <w:r w:rsidRPr="00AB4451">
        <w:rPr>
          <w:rFonts w:ascii="Arial" w:hAnsi="Arial" w:cs="Arial"/>
          <w:sz w:val="22"/>
          <w:szCs w:val="22"/>
        </w:rPr>
        <w:t>Each entity (table) becomes a node label in Neo4j</w:t>
      </w:r>
    </w:p>
    <w:p w14:paraId="243A39F0" w14:textId="0F56A4A9" w:rsidR="008029D7" w:rsidRPr="00AB4451" w:rsidRDefault="008029D7" w:rsidP="00AB4451">
      <w:pPr>
        <w:pStyle w:val="ListParagraph"/>
        <w:numPr>
          <w:ilvl w:val="0"/>
          <w:numId w:val="4"/>
        </w:numPr>
        <w:spacing w:after="0" w:line="360" w:lineRule="auto"/>
        <w:rPr>
          <w:rFonts w:ascii="Arial" w:hAnsi="Arial" w:cs="Arial"/>
          <w:sz w:val="22"/>
          <w:szCs w:val="22"/>
        </w:rPr>
      </w:pPr>
      <w:r w:rsidRPr="00AB4451">
        <w:rPr>
          <w:rFonts w:ascii="Arial" w:hAnsi="Arial" w:cs="Arial"/>
          <w:sz w:val="22"/>
          <w:szCs w:val="22"/>
        </w:rPr>
        <w:t>Each foreign key relationship becomes a graph edge (relationship) with meaningful names such as MANAGES, HOLDS, ASSESSED_FOR, and PROVIDES</w:t>
      </w:r>
    </w:p>
    <w:p w14:paraId="68CD82E1" w14:textId="11F14388" w:rsidR="008029D7" w:rsidRPr="00AB4451" w:rsidRDefault="008029D7" w:rsidP="00AB4451">
      <w:pPr>
        <w:pStyle w:val="ListParagraph"/>
        <w:numPr>
          <w:ilvl w:val="0"/>
          <w:numId w:val="4"/>
        </w:numPr>
        <w:spacing w:after="0" w:line="360" w:lineRule="auto"/>
        <w:rPr>
          <w:rFonts w:ascii="Arial" w:hAnsi="Arial" w:cs="Arial"/>
          <w:sz w:val="22"/>
          <w:szCs w:val="22"/>
        </w:rPr>
      </w:pPr>
      <w:r w:rsidRPr="00AB4451">
        <w:rPr>
          <w:rFonts w:ascii="Arial" w:hAnsi="Arial" w:cs="Arial"/>
          <w:sz w:val="22"/>
          <w:szCs w:val="22"/>
        </w:rPr>
        <w:t>Complex joins (e.g., linking funds → companies → ESG metrics → data sources) are replaced with single-hop traversals, drastically improving query performance</w:t>
      </w:r>
    </w:p>
    <w:p w14:paraId="2F22D1A6" w14:textId="1AAF2645" w:rsidR="008029D7" w:rsidRPr="00AB4451" w:rsidRDefault="008029D7" w:rsidP="00AB4451">
      <w:pPr>
        <w:pStyle w:val="ListParagraph"/>
        <w:numPr>
          <w:ilvl w:val="0"/>
          <w:numId w:val="4"/>
        </w:numPr>
        <w:spacing w:after="0" w:line="360" w:lineRule="auto"/>
        <w:rPr>
          <w:rFonts w:ascii="Arial" w:hAnsi="Arial" w:cs="Arial"/>
          <w:sz w:val="22"/>
          <w:szCs w:val="22"/>
        </w:rPr>
      </w:pPr>
      <w:r w:rsidRPr="00AB4451">
        <w:rPr>
          <w:rFonts w:ascii="Arial" w:hAnsi="Arial" w:cs="Arial"/>
          <w:sz w:val="22"/>
          <w:szCs w:val="22"/>
        </w:rPr>
        <w:t>The design supports multi-level analysis, enabling users to trace ESG performance across portfolios, identify data dependencies, and evaluate fund-level sustainability scores</w:t>
      </w:r>
    </w:p>
    <w:p w14:paraId="65D193F6" w14:textId="77777777" w:rsidR="008029D7" w:rsidRPr="008029D7" w:rsidRDefault="008029D7" w:rsidP="008F4FE5">
      <w:pPr>
        <w:spacing w:after="0" w:line="360" w:lineRule="auto"/>
        <w:rPr>
          <w:rFonts w:ascii="Arial" w:hAnsi="Arial" w:cs="Arial"/>
          <w:sz w:val="22"/>
          <w:szCs w:val="22"/>
        </w:rPr>
      </w:pPr>
    </w:p>
    <w:p w14:paraId="34262939"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2.5 Neo4j Schema Visualization</w:t>
      </w:r>
    </w:p>
    <w:p w14:paraId="370835EA" w14:textId="77777777" w:rsidR="008029D7" w:rsidRPr="008029D7" w:rsidRDefault="008029D7" w:rsidP="008F4FE5">
      <w:pPr>
        <w:spacing w:after="0" w:line="360" w:lineRule="auto"/>
        <w:rPr>
          <w:rFonts w:ascii="Arial" w:hAnsi="Arial" w:cs="Arial"/>
          <w:sz w:val="22"/>
          <w:szCs w:val="22"/>
        </w:rPr>
      </w:pPr>
    </w:p>
    <w:p w14:paraId="69064871" w14:textId="615F14CE"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17AE169A" wp14:editId="063BF845">
            <wp:extent cx="4859020" cy="2292350"/>
            <wp:effectExtent l="0" t="0" r="0" b="0"/>
            <wp:docPr id="16530719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1934"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9020" cy="2292350"/>
                    </a:xfrm>
                    <a:prstGeom prst="rect">
                      <a:avLst/>
                    </a:prstGeom>
                  </pic:spPr>
                </pic:pic>
              </a:graphicData>
            </a:graphic>
          </wp:inline>
        </w:drawing>
      </w:r>
    </w:p>
    <w:p w14:paraId="3115F636" w14:textId="77777777" w:rsidR="008029D7" w:rsidRPr="00AB4451" w:rsidRDefault="008029D7" w:rsidP="00AB4451">
      <w:pPr>
        <w:pStyle w:val="Caption"/>
      </w:pPr>
      <w:r w:rsidRPr="00AB4451">
        <w:t>Figure 2: Neo4j Schema Visualization</w:t>
      </w:r>
    </w:p>
    <w:p w14:paraId="32934352" w14:textId="77777777" w:rsidR="008029D7" w:rsidRPr="008029D7" w:rsidRDefault="008029D7" w:rsidP="008F4FE5">
      <w:pPr>
        <w:spacing w:after="0" w:line="360" w:lineRule="auto"/>
        <w:rPr>
          <w:rFonts w:ascii="Arial" w:hAnsi="Arial" w:cs="Arial"/>
          <w:sz w:val="22"/>
          <w:szCs w:val="22"/>
        </w:rPr>
      </w:pPr>
    </w:p>
    <w:p w14:paraId="568A622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figure shows Neo4j's automatically generated schema view, representing the structure of the graph model derived from the relational design. Each node label (e.g.,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Company,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w:t>
      </w:r>
      <w:proofErr w:type="spellStart"/>
      <w:r w:rsidRPr="008029D7">
        <w:rPr>
          <w:rFonts w:ascii="Arial" w:hAnsi="Arial" w:cs="Arial"/>
          <w:sz w:val="22"/>
          <w:szCs w:val="22"/>
        </w:rPr>
        <w:t>DataSource</w:t>
      </w:r>
      <w:proofErr w:type="spellEnd"/>
      <w:r w:rsidRPr="008029D7">
        <w:rPr>
          <w:rFonts w:ascii="Arial" w:hAnsi="Arial" w:cs="Arial"/>
          <w:sz w:val="22"/>
          <w:szCs w:val="22"/>
        </w:rPr>
        <w:t xml:space="preserve">, </w:t>
      </w:r>
      <w:proofErr w:type="spellStart"/>
      <w:r w:rsidRPr="008029D7">
        <w:rPr>
          <w:rFonts w:ascii="Arial" w:hAnsi="Arial" w:cs="Arial"/>
          <w:sz w:val="22"/>
          <w:szCs w:val="22"/>
        </w:rPr>
        <w:t>RegFramework</w:t>
      </w:r>
      <w:proofErr w:type="spellEnd"/>
      <w:r w:rsidRPr="008029D7">
        <w:rPr>
          <w:rFonts w:ascii="Arial" w:hAnsi="Arial" w:cs="Arial"/>
          <w:sz w:val="22"/>
          <w:szCs w:val="22"/>
        </w:rPr>
        <w:t xml:space="preserve">, </w:t>
      </w:r>
      <w:proofErr w:type="spellStart"/>
      <w:r w:rsidRPr="008029D7">
        <w:rPr>
          <w:rFonts w:ascii="Arial" w:hAnsi="Arial" w:cs="Arial"/>
          <w:sz w:val="22"/>
          <w:szCs w:val="22"/>
        </w:rPr>
        <w:t>AuditEvent</w:t>
      </w:r>
      <w:proofErr w:type="spellEnd"/>
      <w:r w:rsidRPr="008029D7">
        <w:rPr>
          <w:rFonts w:ascii="Arial" w:hAnsi="Arial" w:cs="Arial"/>
          <w:sz w:val="22"/>
          <w:szCs w:val="22"/>
        </w:rPr>
        <w:t>) is connected by relationships such as MANAGES, HOLDS, ASSESSED_FOR, and PROVIDES. This confirms that all entity relationships were correctly implemented in the graph structure.</w:t>
      </w:r>
    </w:p>
    <w:p w14:paraId="15E34E74" w14:textId="77777777" w:rsidR="008029D7" w:rsidRPr="008029D7" w:rsidRDefault="008029D7" w:rsidP="008F4FE5">
      <w:pPr>
        <w:spacing w:after="0" w:line="360" w:lineRule="auto"/>
        <w:rPr>
          <w:rFonts w:ascii="Arial" w:hAnsi="Arial" w:cs="Arial"/>
          <w:sz w:val="22"/>
          <w:szCs w:val="22"/>
        </w:rPr>
      </w:pPr>
    </w:p>
    <w:p w14:paraId="1EE7F671" w14:textId="2098C8CE" w:rsidR="008029D7" w:rsidRPr="008029D7" w:rsidRDefault="002C75FE" w:rsidP="008F4FE5">
      <w:pPr>
        <w:spacing w:after="0" w:line="360" w:lineRule="auto"/>
        <w:rPr>
          <w:rFonts w:ascii="Arial" w:hAnsi="Arial" w:cs="Arial"/>
          <w:sz w:val="22"/>
          <w:szCs w:val="22"/>
        </w:rPr>
      </w:pPr>
      <w:r>
        <w:rPr>
          <w:noProof/>
          <w:lang w:val="en-US"/>
        </w:rPr>
        <w:drawing>
          <wp:inline distT="0" distB="0" distL="0" distR="0" wp14:anchorId="205C3F56" wp14:editId="49817395">
            <wp:extent cx="4859020" cy="2788285"/>
            <wp:effectExtent l="0" t="0" r="0" b="0"/>
            <wp:docPr id="1827120829"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0829" name="Picture 4" descr="A computer screen shot of a dia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9020" cy="2788285"/>
                    </a:xfrm>
                    <a:prstGeom prst="rect">
                      <a:avLst/>
                    </a:prstGeom>
                  </pic:spPr>
                </pic:pic>
              </a:graphicData>
            </a:graphic>
          </wp:inline>
        </w:drawing>
      </w:r>
    </w:p>
    <w:p w14:paraId="43E6197A" w14:textId="77777777" w:rsidR="008029D7" w:rsidRPr="00AB4451" w:rsidRDefault="008029D7" w:rsidP="00AB4451">
      <w:pPr>
        <w:pStyle w:val="Caption"/>
      </w:pPr>
      <w:r w:rsidRPr="00AB4451">
        <w:t>Figure 3: Graph Model Sample Instance</w:t>
      </w:r>
    </w:p>
    <w:p w14:paraId="6D6C41A6" w14:textId="77777777" w:rsidR="008029D7" w:rsidRPr="008029D7" w:rsidRDefault="008029D7" w:rsidP="008F4FE5">
      <w:pPr>
        <w:spacing w:after="0" w:line="360" w:lineRule="auto"/>
        <w:rPr>
          <w:rFonts w:ascii="Arial" w:hAnsi="Arial" w:cs="Arial"/>
          <w:sz w:val="22"/>
          <w:szCs w:val="22"/>
        </w:rPr>
      </w:pPr>
    </w:p>
    <w:p w14:paraId="6D1F5F7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 xml:space="preserve">This figure presents a sample subset of data where a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manages an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that holds a Company, which is assessed for ESG metrics provided by a </w:t>
      </w:r>
      <w:proofErr w:type="spellStart"/>
      <w:r w:rsidRPr="008029D7">
        <w:rPr>
          <w:rFonts w:ascii="Arial" w:hAnsi="Arial" w:cs="Arial"/>
          <w:sz w:val="22"/>
          <w:szCs w:val="22"/>
        </w:rPr>
        <w:t>DataSource</w:t>
      </w:r>
      <w:proofErr w:type="spellEnd"/>
      <w:r w:rsidRPr="008029D7">
        <w:rPr>
          <w:rFonts w:ascii="Arial" w:hAnsi="Arial" w:cs="Arial"/>
          <w:sz w:val="22"/>
          <w:szCs w:val="22"/>
        </w:rPr>
        <w:t>. It demonstrates how relational tables were successfully converted into nodes and relationships in Neo4j, creating a network-style representation of ESG and financial entities.</w:t>
      </w:r>
    </w:p>
    <w:p w14:paraId="679E09C2" w14:textId="77777777" w:rsidR="008029D7" w:rsidRPr="008029D7" w:rsidRDefault="008029D7" w:rsidP="008F4FE5">
      <w:pPr>
        <w:spacing w:after="0" w:line="360" w:lineRule="auto"/>
        <w:rPr>
          <w:rFonts w:ascii="Arial" w:hAnsi="Arial" w:cs="Arial"/>
          <w:sz w:val="22"/>
          <w:szCs w:val="22"/>
        </w:rPr>
      </w:pPr>
    </w:p>
    <w:p w14:paraId="71777DB3" w14:textId="66583615" w:rsidR="008029D7" w:rsidRPr="008029D7" w:rsidRDefault="002C75FE" w:rsidP="008F4FE5">
      <w:pPr>
        <w:spacing w:after="0" w:line="360" w:lineRule="auto"/>
        <w:rPr>
          <w:rFonts w:ascii="Arial" w:hAnsi="Arial" w:cs="Arial"/>
          <w:sz w:val="22"/>
          <w:szCs w:val="22"/>
        </w:rPr>
      </w:pPr>
      <w:r>
        <w:rPr>
          <w:noProof/>
          <w:lang w:val="en-US"/>
        </w:rPr>
        <w:drawing>
          <wp:inline distT="0" distB="0" distL="0" distR="0" wp14:anchorId="611FADA7" wp14:editId="1755BA56">
            <wp:extent cx="4859020" cy="1802765"/>
            <wp:effectExtent l="0" t="0" r="0" b="6985"/>
            <wp:docPr id="632379453" name="Picture 5" descr="A computer screen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79453" name="Picture 5" descr="A computer screen with green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59020" cy="1802765"/>
                    </a:xfrm>
                    <a:prstGeom prst="rect">
                      <a:avLst/>
                    </a:prstGeom>
                  </pic:spPr>
                </pic:pic>
              </a:graphicData>
            </a:graphic>
          </wp:inline>
        </w:drawing>
      </w:r>
    </w:p>
    <w:p w14:paraId="101E22C2" w14:textId="77777777" w:rsidR="008029D7" w:rsidRPr="00AB4451" w:rsidRDefault="008029D7" w:rsidP="00AB4451">
      <w:pPr>
        <w:pStyle w:val="Caption"/>
      </w:pPr>
      <w:r w:rsidRPr="00AB4451">
        <w:t>Figure 4: Meta-Schema (Entity-Level Graph Representation)</w:t>
      </w:r>
    </w:p>
    <w:p w14:paraId="6F282126" w14:textId="77777777" w:rsidR="008029D7" w:rsidRPr="008029D7" w:rsidRDefault="008029D7" w:rsidP="008F4FE5">
      <w:pPr>
        <w:spacing w:after="0" w:line="360" w:lineRule="auto"/>
        <w:rPr>
          <w:rFonts w:ascii="Arial" w:hAnsi="Arial" w:cs="Arial"/>
          <w:sz w:val="22"/>
          <w:szCs w:val="22"/>
        </w:rPr>
      </w:pPr>
    </w:p>
    <w:p w14:paraId="718CA33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visualization represents the "meta-schema" built inside Neo4j, where each entity type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Company,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w:t>
      </w:r>
      <w:proofErr w:type="spellStart"/>
      <w:r w:rsidRPr="008029D7">
        <w:rPr>
          <w:rFonts w:ascii="Arial" w:hAnsi="Arial" w:cs="Arial"/>
          <w:sz w:val="22"/>
          <w:szCs w:val="22"/>
        </w:rPr>
        <w:t>DataSource</w:t>
      </w:r>
      <w:proofErr w:type="spellEnd"/>
      <w:r w:rsidRPr="008029D7">
        <w:rPr>
          <w:rFonts w:ascii="Arial" w:hAnsi="Arial" w:cs="Arial"/>
          <w:sz w:val="22"/>
          <w:szCs w:val="22"/>
        </w:rPr>
        <w:t xml:space="preserve">, </w:t>
      </w:r>
      <w:proofErr w:type="spellStart"/>
      <w:r w:rsidRPr="008029D7">
        <w:rPr>
          <w:rFonts w:ascii="Arial" w:hAnsi="Arial" w:cs="Arial"/>
          <w:sz w:val="22"/>
          <w:szCs w:val="22"/>
        </w:rPr>
        <w:t>RegulatoryFramework</w:t>
      </w:r>
      <w:proofErr w:type="spellEnd"/>
      <w:r w:rsidRPr="008029D7">
        <w:rPr>
          <w:rFonts w:ascii="Arial" w:hAnsi="Arial" w:cs="Arial"/>
          <w:sz w:val="22"/>
          <w:szCs w:val="22"/>
        </w:rPr>
        <w:t xml:space="preserve">, </w:t>
      </w:r>
      <w:proofErr w:type="spellStart"/>
      <w:r w:rsidRPr="008029D7">
        <w:rPr>
          <w:rFonts w:ascii="Arial" w:hAnsi="Arial" w:cs="Arial"/>
          <w:sz w:val="22"/>
          <w:szCs w:val="22"/>
        </w:rPr>
        <w:t>ESGPerformance</w:t>
      </w:r>
      <w:proofErr w:type="spellEnd"/>
      <w:r w:rsidRPr="008029D7">
        <w:rPr>
          <w:rFonts w:ascii="Arial" w:hAnsi="Arial" w:cs="Arial"/>
          <w:sz w:val="22"/>
          <w:szCs w:val="22"/>
        </w:rPr>
        <w:t xml:space="preserve">) is </w:t>
      </w:r>
      <w:proofErr w:type="spellStart"/>
      <w:r w:rsidRPr="008029D7">
        <w:rPr>
          <w:rFonts w:ascii="Arial" w:hAnsi="Arial" w:cs="Arial"/>
          <w:sz w:val="22"/>
          <w:szCs w:val="22"/>
        </w:rPr>
        <w:t>modeled</w:t>
      </w:r>
      <w:proofErr w:type="spellEnd"/>
      <w:r w:rsidRPr="008029D7">
        <w:rPr>
          <w:rFonts w:ascii="Arial" w:hAnsi="Arial" w:cs="Arial"/>
          <w:sz w:val="22"/>
          <w:szCs w:val="22"/>
        </w:rPr>
        <w:t xml:space="preserve"> as </w:t>
      </w:r>
      <w:proofErr w:type="gramStart"/>
      <w:r w:rsidRPr="008029D7">
        <w:rPr>
          <w:rFonts w:ascii="Arial" w:hAnsi="Arial" w:cs="Arial"/>
          <w:sz w:val="22"/>
          <w:szCs w:val="22"/>
        </w:rPr>
        <w:t>an :Entity</w:t>
      </w:r>
      <w:proofErr w:type="gramEnd"/>
      <w:r w:rsidRPr="008029D7">
        <w:rPr>
          <w:rFonts w:ascii="Arial" w:hAnsi="Arial" w:cs="Arial"/>
          <w:sz w:val="22"/>
          <w:szCs w:val="22"/>
        </w:rPr>
        <w:t xml:space="preserve"> node. The relationships between them (RELTYPE edges) illustrate the logical mapping between entity classes, </w:t>
      </w:r>
      <w:proofErr w:type="gramStart"/>
      <w:r w:rsidRPr="008029D7">
        <w:rPr>
          <w:rFonts w:ascii="Arial" w:hAnsi="Arial" w:cs="Arial"/>
          <w:sz w:val="22"/>
          <w:szCs w:val="22"/>
        </w:rPr>
        <w:t>similar to</w:t>
      </w:r>
      <w:proofErr w:type="gramEnd"/>
      <w:r w:rsidRPr="008029D7">
        <w:rPr>
          <w:rFonts w:ascii="Arial" w:hAnsi="Arial" w:cs="Arial"/>
          <w:sz w:val="22"/>
          <w:szCs w:val="22"/>
        </w:rPr>
        <w:t xml:space="preserve"> a UML diagram.</w:t>
      </w:r>
    </w:p>
    <w:p w14:paraId="3B5F65B4" w14:textId="77777777" w:rsidR="008029D7" w:rsidRPr="008029D7" w:rsidRDefault="008029D7" w:rsidP="008F4FE5">
      <w:pPr>
        <w:spacing w:after="0" w:line="360" w:lineRule="auto"/>
        <w:rPr>
          <w:rFonts w:ascii="Arial" w:hAnsi="Arial" w:cs="Arial"/>
          <w:sz w:val="22"/>
          <w:szCs w:val="22"/>
        </w:rPr>
      </w:pPr>
    </w:p>
    <w:p w14:paraId="4781E6AD" w14:textId="11E5D4C9" w:rsidR="008029D7" w:rsidRPr="008029D7" w:rsidRDefault="002C75FE" w:rsidP="008F4FE5">
      <w:pPr>
        <w:spacing w:after="0" w:line="360" w:lineRule="auto"/>
        <w:rPr>
          <w:rFonts w:ascii="Arial" w:hAnsi="Arial" w:cs="Arial"/>
          <w:sz w:val="22"/>
          <w:szCs w:val="22"/>
        </w:rPr>
      </w:pPr>
      <w:r>
        <w:rPr>
          <w:noProof/>
          <w:lang w:val="en-US"/>
        </w:rPr>
        <w:drawing>
          <wp:inline distT="0" distB="0" distL="0" distR="0" wp14:anchorId="3920E688" wp14:editId="5C5F27A9">
            <wp:extent cx="4859020" cy="2406015"/>
            <wp:effectExtent l="0" t="0" r="0" b="0"/>
            <wp:docPr id="149127939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79391"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9020" cy="2406015"/>
                    </a:xfrm>
                    <a:prstGeom prst="rect">
                      <a:avLst/>
                    </a:prstGeom>
                  </pic:spPr>
                </pic:pic>
              </a:graphicData>
            </a:graphic>
          </wp:inline>
        </w:drawing>
      </w:r>
    </w:p>
    <w:p w14:paraId="5D7B524A" w14:textId="77777777" w:rsidR="008029D7" w:rsidRPr="00AB4451" w:rsidRDefault="008029D7" w:rsidP="00AB4451">
      <w:pPr>
        <w:pStyle w:val="Caption"/>
      </w:pPr>
      <w:r w:rsidRPr="00AB4451">
        <w:t>Figure 5: Complete Graph Topology (Entity Relationships)</w:t>
      </w:r>
    </w:p>
    <w:p w14:paraId="5F10B9BF" w14:textId="77777777" w:rsidR="008029D7" w:rsidRPr="008029D7" w:rsidRDefault="008029D7" w:rsidP="008F4FE5">
      <w:pPr>
        <w:spacing w:after="0" w:line="360" w:lineRule="auto"/>
        <w:rPr>
          <w:rFonts w:ascii="Arial" w:hAnsi="Arial" w:cs="Arial"/>
          <w:sz w:val="22"/>
          <w:szCs w:val="22"/>
        </w:rPr>
      </w:pPr>
    </w:p>
    <w:p w14:paraId="1FB2BE9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final figure visualizes the overall graph topology, showing how data flows across multiple entity types. It confirms that all relationship types—MANAGES, HOLDS, </w:t>
      </w:r>
      <w:r w:rsidRPr="008029D7">
        <w:rPr>
          <w:rFonts w:ascii="Arial" w:hAnsi="Arial" w:cs="Arial"/>
          <w:sz w:val="22"/>
          <w:szCs w:val="22"/>
        </w:rPr>
        <w:lastRenderedPageBreak/>
        <w:t>ASSESSED_FOR, PROVIDES, and DEFINED_BY—are correctly connected, forming a complete and functional graph model ready for query and analytics operations.</w:t>
      </w:r>
    </w:p>
    <w:p w14:paraId="27455C8D" w14:textId="77777777" w:rsidR="008029D7" w:rsidRPr="008029D7" w:rsidRDefault="008029D7" w:rsidP="008F4FE5">
      <w:pPr>
        <w:spacing w:after="0" w:line="360" w:lineRule="auto"/>
        <w:rPr>
          <w:rFonts w:ascii="Arial" w:hAnsi="Arial" w:cs="Arial"/>
          <w:sz w:val="22"/>
          <w:szCs w:val="22"/>
        </w:rPr>
      </w:pPr>
    </w:p>
    <w:p w14:paraId="2AFC5694"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2.6 Summary of Graph Translation</w:t>
      </w:r>
    </w:p>
    <w:p w14:paraId="2D923EF0" w14:textId="77777777" w:rsidR="008029D7" w:rsidRPr="008029D7" w:rsidRDefault="008029D7" w:rsidP="008F4FE5">
      <w:pPr>
        <w:spacing w:after="0" w:line="360" w:lineRule="auto"/>
        <w:rPr>
          <w:rFonts w:ascii="Arial" w:hAnsi="Arial" w:cs="Arial"/>
          <w:sz w:val="22"/>
          <w:szCs w:val="22"/>
        </w:rPr>
      </w:pPr>
    </w:p>
    <w:p w14:paraId="5E85487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visual outputs collectively confirm a successful graph translation from the original relational schema:</w:t>
      </w:r>
    </w:p>
    <w:p w14:paraId="3A3AD24E" w14:textId="77777777" w:rsidR="008029D7" w:rsidRPr="008029D7" w:rsidRDefault="008029D7" w:rsidP="008F4FE5">
      <w:pPr>
        <w:spacing w:after="0" w:line="360" w:lineRule="auto"/>
        <w:rPr>
          <w:rFonts w:ascii="Arial" w:hAnsi="Arial" w:cs="Arial"/>
          <w:sz w:val="22"/>
          <w:szCs w:val="22"/>
        </w:rPr>
      </w:pPr>
    </w:p>
    <w:p w14:paraId="7DA2CD94" w14:textId="5BE17248" w:rsidR="008029D7" w:rsidRPr="00AB4451" w:rsidRDefault="008029D7" w:rsidP="00AB4451">
      <w:pPr>
        <w:pStyle w:val="ListParagraph"/>
        <w:numPr>
          <w:ilvl w:val="0"/>
          <w:numId w:val="5"/>
        </w:numPr>
        <w:spacing w:after="0" w:line="360" w:lineRule="auto"/>
        <w:rPr>
          <w:rFonts w:ascii="Arial" w:hAnsi="Arial" w:cs="Arial"/>
          <w:sz w:val="22"/>
          <w:szCs w:val="22"/>
        </w:rPr>
      </w:pPr>
      <w:r w:rsidRPr="00AB4451">
        <w:rPr>
          <w:rFonts w:ascii="Arial" w:hAnsi="Arial" w:cs="Arial"/>
          <w:sz w:val="22"/>
          <w:szCs w:val="22"/>
        </w:rPr>
        <w:t>Each table from the ERD has been transformed into a node label in Neo4j</w:t>
      </w:r>
    </w:p>
    <w:p w14:paraId="69B59F66" w14:textId="10A66E48" w:rsidR="008029D7" w:rsidRPr="00AB4451" w:rsidRDefault="008029D7" w:rsidP="00AB4451">
      <w:pPr>
        <w:pStyle w:val="ListParagraph"/>
        <w:numPr>
          <w:ilvl w:val="0"/>
          <w:numId w:val="5"/>
        </w:numPr>
        <w:spacing w:after="0" w:line="360" w:lineRule="auto"/>
        <w:rPr>
          <w:rFonts w:ascii="Arial" w:hAnsi="Arial" w:cs="Arial"/>
          <w:sz w:val="22"/>
          <w:szCs w:val="22"/>
        </w:rPr>
      </w:pPr>
      <w:r w:rsidRPr="00AB4451">
        <w:rPr>
          <w:rFonts w:ascii="Arial" w:hAnsi="Arial" w:cs="Arial"/>
          <w:sz w:val="22"/>
          <w:szCs w:val="22"/>
        </w:rPr>
        <w:t>Each foreign key constraint was replaced by a graph relationship, making traversal queries faster and more intuitive</w:t>
      </w:r>
    </w:p>
    <w:p w14:paraId="77B0F6D3" w14:textId="67786423" w:rsidR="008029D7" w:rsidRPr="00AB4451" w:rsidRDefault="008029D7" w:rsidP="00AB4451">
      <w:pPr>
        <w:pStyle w:val="ListParagraph"/>
        <w:numPr>
          <w:ilvl w:val="0"/>
          <w:numId w:val="5"/>
        </w:numPr>
        <w:spacing w:after="0" w:line="360" w:lineRule="auto"/>
        <w:rPr>
          <w:rFonts w:ascii="Arial" w:hAnsi="Arial" w:cs="Arial"/>
          <w:sz w:val="22"/>
          <w:szCs w:val="22"/>
        </w:rPr>
      </w:pPr>
      <w:r w:rsidRPr="00AB4451">
        <w:rPr>
          <w:rFonts w:ascii="Arial" w:hAnsi="Arial" w:cs="Arial"/>
          <w:sz w:val="22"/>
          <w:szCs w:val="22"/>
        </w:rPr>
        <w:t>The use of Neo4j's property graph model enables enhanced data connectivity and insight discovery across ESG and investment dimensions</w:t>
      </w:r>
    </w:p>
    <w:p w14:paraId="015A6EE7" w14:textId="1853690B" w:rsidR="008029D7" w:rsidRDefault="008029D7" w:rsidP="008F4FE5">
      <w:pPr>
        <w:pStyle w:val="ListParagraph"/>
        <w:numPr>
          <w:ilvl w:val="0"/>
          <w:numId w:val="5"/>
        </w:numPr>
        <w:spacing w:after="0" w:line="360" w:lineRule="auto"/>
        <w:rPr>
          <w:rFonts w:ascii="Arial" w:hAnsi="Arial" w:cs="Arial"/>
          <w:sz w:val="22"/>
          <w:szCs w:val="22"/>
        </w:rPr>
      </w:pPr>
      <w:r w:rsidRPr="00AB4451">
        <w:rPr>
          <w:rFonts w:ascii="Arial" w:hAnsi="Arial" w:cs="Arial"/>
          <w:sz w:val="22"/>
          <w:szCs w:val="22"/>
        </w:rPr>
        <w:t xml:space="preserve">Relationships such as </w:t>
      </w:r>
      <w:proofErr w:type="gramStart"/>
      <w:r w:rsidRPr="00AB4451">
        <w:rPr>
          <w:rFonts w:ascii="Arial" w:hAnsi="Arial" w:cs="Arial"/>
          <w:sz w:val="22"/>
          <w:szCs w:val="22"/>
        </w:rPr>
        <w:t>(:</w:t>
      </w:r>
      <w:proofErr w:type="spellStart"/>
      <w:r w:rsidRPr="00AB4451">
        <w:rPr>
          <w:rFonts w:ascii="Arial" w:hAnsi="Arial" w:cs="Arial"/>
          <w:sz w:val="22"/>
          <w:szCs w:val="22"/>
        </w:rPr>
        <w:t>FundManager</w:t>
      </w:r>
      <w:proofErr w:type="spellEnd"/>
      <w:proofErr w:type="gramEnd"/>
      <w:r w:rsidRPr="00AB4451">
        <w:rPr>
          <w:rFonts w:ascii="Arial" w:hAnsi="Arial" w:cs="Arial"/>
          <w:sz w:val="22"/>
          <w:szCs w:val="22"/>
        </w:rPr>
        <w:t>)-</w:t>
      </w:r>
      <w:proofErr w:type="gramStart"/>
      <w:r w:rsidRPr="00AB4451">
        <w:rPr>
          <w:rFonts w:ascii="Arial" w:hAnsi="Arial" w:cs="Arial"/>
          <w:sz w:val="22"/>
          <w:szCs w:val="22"/>
        </w:rPr>
        <w:t>[:MANAGES</w:t>
      </w:r>
      <w:proofErr w:type="gramEnd"/>
      <w:r w:rsidRPr="00AB4451">
        <w:rPr>
          <w:rFonts w:ascii="Arial" w:hAnsi="Arial" w:cs="Arial"/>
          <w:sz w:val="22"/>
          <w:szCs w:val="22"/>
        </w:rPr>
        <w:t>]-&gt;</w:t>
      </w:r>
      <w:proofErr w:type="gramStart"/>
      <w:r w:rsidRPr="00AB4451">
        <w:rPr>
          <w:rFonts w:ascii="Arial" w:hAnsi="Arial" w:cs="Arial"/>
          <w:sz w:val="22"/>
          <w:szCs w:val="22"/>
        </w:rPr>
        <w:t>(:</w:t>
      </w:r>
      <w:proofErr w:type="spellStart"/>
      <w:r w:rsidRPr="00AB4451">
        <w:rPr>
          <w:rFonts w:ascii="Arial" w:hAnsi="Arial" w:cs="Arial"/>
          <w:sz w:val="22"/>
          <w:szCs w:val="22"/>
        </w:rPr>
        <w:t>InvestmentFund</w:t>
      </w:r>
      <w:proofErr w:type="spellEnd"/>
      <w:proofErr w:type="gramEnd"/>
      <w:r w:rsidRPr="00AB4451">
        <w:rPr>
          <w:rFonts w:ascii="Arial" w:hAnsi="Arial" w:cs="Arial"/>
          <w:sz w:val="22"/>
          <w:szCs w:val="22"/>
        </w:rPr>
        <w:t xml:space="preserve">) and </w:t>
      </w:r>
      <w:proofErr w:type="gramStart"/>
      <w:r w:rsidRPr="00AB4451">
        <w:rPr>
          <w:rFonts w:ascii="Arial" w:hAnsi="Arial" w:cs="Arial"/>
          <w:sz w:val="22"/>
          <w:szCs w:val="22"/>
        </w:rPr>
        <w:t>(:Company</w:t>
      </w:r>
      <w:proofErr w:type="gramEnd"/>
      <w:r w:rsidRPr="00AB4451">
        <w:rPr>
          <w:rFonts w:ascii="Arial" w:hAnsi="Arial" w:cs="Arial"/>
          <w:sz w:val="22"/>
          <w:szCs w:val="22"/>
        </w:rPr>
        <w:t>)-</w:t>
      </w:r>
      <w:proofErr w:type="gramStart"/>
      <w:r w:rsidRPr="00AB4451">
        <w:rPr>
          <w:rFonts w:ascii="Arial" w:hAnsi="Arial" w:cs="Arial"/>
          <w:sz w:val="22"/>
          <w:szCs w:val="22"/>
        </w:rPr>
        <w:t>[:ASSESSED</w:t>
      </w:r>
      <w:proofErr w:type="gramEnd"/>
      <w:r w:rsidRPr="00AB4451">
        <w:rPr>
          <w:rFonts w:ascii="Arial" w:hAnsi="Arial" w:cs="Arial"/>
          <w:sz w:val="22"/>
          <w:szCs w:val="22"/>
        </w:rPr>
        <w:t>_FOR]-&gt;</w:t>
      </w:r>
      <w:proofErr w:type="gramStart"/>
      <w:r w:rsidRPr="00AB4451">
        <w:rPr>
          <w:rFonts w:ascii="Arial" w:hAnsi="Arial" w:cs="Arial"/>
          <w:sz w:val="22"/>
          <w:szCs w:val="22"/>
        </w:rPr>
        <w:t>(:</w:t>
      </w:r>
      <w:proofErr w:type="spellStart"/>
      <w:r w:rsidRPr="00AB4451">
        <w:rPr>
          <w:rFonts w:ascii="Arial" w:hAnsi="Arial" w:cs="Arial"/>
          <w:sz w:val="22"/>
          <w:szCs w:val="22"/>
        </w:rPr>
        <w:t>ESGMetric</w:t>
      </w:r>
      <w:proofErr w:type="spellEnd"/>
      <w:proofErr w:type="gramEnd"/>
      <w:r w:rsidRPr="00AB4451">
        <w:rPr>
          <w:rFonts w:ascii="Arial" w:hAnsi="Arial" w:cs="Arial"/>
          <w:sz w:val="22"/>
          <w:szCs w:val="22"/>
        </w:rPr>
        <w:t>) illustrate multi-level contextual linkages between data entities</w:t>
      </w:r>
    </w:p>
    <w:p w14:paraId="180BDCEC" w14:textId="77777777" w:rsidR="000F5944" w:rsidRPr="000F5944" w:rsidRDefault="000F5944" w:rsidP="008F4FE5">
      <w:pPr>
        <w:pStyle w:val="ListParagraph"/>
        <w:numPr>
          <w:ilvl w:val="0"/>
          <w:numId w:val="5"/>
        </w:numPr>
        <w:spacing w:after="0" w:line="360" w:lineRule="auto"/>
        <w:rPr>
          <w:rFonts w:ascii="Arial" w:hAnsi="Arial" w:cs="Arial"/>
          <w:sz w:val="22"/>
          <w:szCs w:val="22"/>
        </w:rPr>
      </w:pPr>
    </w:p>
    <w:p w14:paraId="055D430D" w14:textId="77777777" w:rsidR="008029D7" w:rsidRPr="008F4FE5" w:rsidRDefault="008029D7" w:rsidP="008F4FE5">
      <w:pPr>
        <w:spacing w:after="0" w:line="360" w:lineRule="auto"/>
        <w:rPr>
          <w:rFonts w:ascii="Arial" w:hAnsi="Arial" w:cs="Arial"/>
          <w:b/>
          <w:bCs/>
          <w:sz w:val="28"/>
          <w:szCs w:val="28"/>
        </w:rPr>
      </w:pPr>
      <w:r w:rsidRPr="008F4FE5">
        <w:rPr>
          <w:rFonts w:ascii="Arial" w:hAnsi="Arial" w:cs="Arial"/>
          <w:b/>
          <w:bCs/>
          <w:sz w:val="28"/>
          <w:szCs w:val="28"/>
        </w:rPr>
        <w:t>3. GRAPH DATABASE IMPLEMENTATION</w:t>
      </w:r>
    </w:p>
    <w:p w14:paraId="65E206DD" w14:textId="77777777" w:rsidR="008029D7" w:rsidRPr="000F5944" w:rsidRDefault="008029D7" w:rsidP="008F4FE5">
      <w:pPr>
        <w:spacing w:after="0" w:line="360" w:lineRule="auto"/>
        <w:rPr>
          <w:rFonts w:ascii="Arial" w:hAnsi="Arial" w:cs="Arial"/>
          <w:sz w:val="18"/>
          <w:szCs w:val="18"/>
        </w:rPr>
      </w:pPr>
    </w:p>
    <w:p w14:paraId="2B2E3A0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section documents the complete implementation process, including data import, constraint creation, and relationship establishment within Neo4j.</w:t>
      </w:r>
    </w:p>
    <w:p w14:paraId="27749900" w14:textId="77777777" w:rsidR="008029D7" w:rsidRPr="008029D7" w:rsidRDefault="008029D7" w:rsidP="008F4FE5">
      <w:pPr>
        <w:spacing w:after="0" w:line="360" w:lineRule="auto"/>
        <w:rPr>
          <w:rFonts w:ascii="Arial" w:hAnsi="Arial" w:cs="Arial"/>
          <w:sz w:val="22"/>
          <w:szCs w:val="22"/>
        </w:rPr>
      </w:pPr>
    </w:p>
    <w:p w14:paraId="0B055D02" w14:textId="1A27029C" w:rsidR="008029D7" w:rsidRPr="000F5944" w:rsidRDefault="008029D7" w:rsidP="008F4FE5">
      <w:pPr>
        <w:spacing w:after="0" w:line="360" w:lineRule="auto"/>
        <w:rPr>
          <w:rFonts w:ascii="Arial" w:hAnsi="Arial" w:cs="Arial"/>
          <w:b/>
          <w:bCs/>
          <w:sz w:val="22"/>
          <w:szCs w:val="22"/>
        </w:rPr>
      </w:pPr>
      <w:r w:rsidRPr="00C232B8">
        <w:rPr>
          <w:rFonts w:ascii="Arial" w:hAnsi="Arial" w:cs="Arial"/>
          <w:b/>
          <w:bCs/>
          <w:sz w:val="22"/>
          <w:szCs w:val="22"/>
        </w:rPr>
        <w:t>3.1 Data Import and Graph Construction</w:t>
      </w:r>
    </w:p>
    <w:p w14:paraId="67CDD36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These Cypher statements load all CSV datasets into Neo4j, creating nodes, properties, and relationships. Each figure shows a different part of the ESG investment data model being instantiated.</w:t>
      </w:r>
    </w:p>
    <w:p w14:paraId="5E338FF9" w14:textId="77777777" w:rsidR="008029D7" w:rsidRPr="008029D7" w:rsidRDefault="008029D7" w:rsidP="008F4FE5">
      <w:pPr>
        <w:spacing w:after="0" w:line="360" w:lineRule="auto"/>
        <w:rPr>
          <w:rFonts w:ascii="Arial" w:hAnsi="Arial" w:cs="Arial"/>
          <w:sz w:val="22"/>
          <w:szCs w:val="22"/>
        </w:rPr>
      </w:pPr>
    </w:p>
    <w:p w14:paraId="28C96532" w14:textId="0BF3A292" w:rsidR="008029D7" w:rsidRPr="008029D7" w:rsidRDefault="002C75FE" w:rsidP="008F4FE5">
      <w:pPr>
        <w:spacing w:after="0" w:line="360" w:lineRule="auto"/>
        <w:rPr>
          <w:rFonts w:ascii="Arial" w:hAnsi="Arial" w:cs="Arial"/>
          <w:sz w:val="22"/>
          <w:szCs w:val="22"/>
        </w:rPr>
      </w:pPr>
      <w:r w:rsidRPr="000531B7">
        <w:rPr>
          <w:b/>
          <w:bCs/>
          <w:noProof/>
        </w:rPr>
        <w:drawing>
          <wp:inline distT="0" distB="0" distL="0" distR="0" wp14:anchorId="1CB060F5" wp14:editId="35844709">
            <wp:extent cx="4859020" cy="2013585"/>
            <wp:effectExtent l="0" t="0" r="0" b="5715"/>
            <wp:docPr id="3591653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5360" name="Picture 1" descr="A screenshot of a computer program&#10;&#10;AI-generated content may be incorrect."/>
                    <pic:cNvPicPr/>
                  </pic:nvPicPr>
                  <pic:blipFill>
                    <a:blip r:embed="rId11"/>
                    <a:stretch>
                      <a:fillRect/>
                    </a:stretch>
                  </pic:blipFill>
                  <pic:spPr>
                    <a:xfrm>
                      <a:off x="0" y="0"/>
                      <a:ext cx="4859020" cy="2013585"/>
                    </a:xfrm>
                    <a:prstGeom prst="rect">
                      <a:avLst/>
                    </a:prstGeom>
                  </pic:spPr>
                </pic:pic>
              </a:graphicData>
            </a:graphic>
          </wp:inline>
        </w:drawing>
      </w:r>
    </w:p>
    <w:p w14:paraId="513BE855" w14:textId="77777777" w:rsidR="008029D7" w:rsidRPr="00AB4451" w:rsidRDefault="008029D7" w:rsidP="00AB4451">
      <w:pPr>
        <w:pStyle w:val="Caption"/>
      </w:pPr>
      <w:r w:rsidRPr="00AB4451">
        <w:t>Figure 6: CSV Dataset Folder Structure</w:t>
      </w:r>
    </w:p>
    <w:p w14:paraId="024CF56D" w14:textId="77777777" w:rsidR="008029D7" w:rsidRPr="008029D7" w:rsidRDefault="008029D7" w:rsidP="008F4FE5">
      <w:pPr>
        <w:spacing w:after="0" w:line="360" w:lineRule="auto"/>
        <w:rPr>
          <w:rFonts w:ascii="Arial" w:hAnsi="Arial" w:cs="Arial"/>
          <w:sz w:val="22"/>
          <w:szCs w:val="22"/>
        </w:rPr>
      </w:pPr>
    </w:p>
    <w:p w14:paraId="5D70035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Explanation:</w:t>
      </w:r>
    </w:p>
    <w:p w14:paraId="2D3C983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image shows the organized collection of eight dataset files used to populate the graph. Each file corresponds to an entity (e.g., fund_manager.csv, portfolio_company.csv) or relationship (e.g., investment_position.csv, esg_performance.csv). These CSVs serve as the raw data source for the Neo4j import process, ensuring referential consistency across all tables.</w:t>
      </w:r>
    </w:p>
    <w:p w14:paraId="08A859A4" w14:textId="77777777" w:rsidR="008029D7" w:rsidRPr="008029D7" w:rsidRDefault="008029D7" w:rsidP="008F4FE5">
      <w:pPr>
        <w:spacing w:after="0" w:line="360" w:lineRule="auto"/>
        <w:rPr>
          <w:rFonts w:ascii="Arial" w:hAnsi="Arial" w:cs="Arial"/>
          <w:sz w:val="22"/>
          <w:szCs w:val="22"/>
        </w:rPr>
      </w:pPr>
    </w:p>
    <w:p w14:paraId="3D838C0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Context:</w:t>
      </w:r>
    </w:p>
    <w:p w14:paraId="7A9F726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structure mirrors a relational schema but transitions into a graph model where nodes represent entities (Fund, Company, Manager, etc.) and relationships represent connections such as MANAGES, HOLDS, or ASSESSED_FOR.</w:t>
      </w:r>
    </w:p>
    <w:p w14:paraId="51F5E543" w14:textId="77777777" w:rsidR="008029D7" w:rsidRPr="008029D7" w:rsidRDefault="008029D7" w:rsidP="008F4FE5">
      <w:pPr>
        <w:spacing w:after="0" w:line="360" w:lineRule="auto"/>
        <w:rPr>
          <w:rFonts w:ascii="Arial" w:hAnsi="Arial" w:cs="Arial"/>
          <w:sz w:val="22"/>
          <w:szCs w:val="22"/>
        </w:rPr>
      </w:pPr>
    </w:p>
    <w:p w14:paraId="61692C8E"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3.2 Constraints and Indexes</w:t>
      </w:r>
    </w:p>
    <w:p w14:paraId="1ADF2F09" w14:textId="77777777" w:rsidR="008029D7" w:rsidRPr="008029D7" w:rsidRDefault="008029D7" w:rsidP="008F4FE5">
      <w:pPr>
        <w:spacing w:after="0" w:line="360" w:lineRule="auto"/>
        <w:rPr>
          <w:rFonts w:ascii="Arial" w:hAnsi="Arial" w:cs="Arial"/>
          <w:sz w:val="22"/>
          <w:szCs w:val="22"/>
        </w:rPr>
      </w:pPr>
    </w:p>
    <w:p w14:paraId="77B254C2" w14:textId="4D609DF7"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0E98FB1A" wp14:editId="1DE5DD47">
            <wp:extent cx="4859020" cy="1640840"/>
            <wp:effectExtent l="0" t="0" r="0" b="0"/>
            <wp:docPr id="405300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00618"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020" cy="1640840"/>
                    </a:xfrm>
                    <a:prstGeom prst="rect">
                      <a:avLst/>
                    </a:prstGeom>
                  </pic:spPr>
                </pic:pic>
              </a:graphicData>
            </a:graphic>
          </wp:inline>
        </w:drawing>
      </w:r>
    </w:p>
    <w:p w14:paraId="0F6A9662" w14:textId="77777777" w:rsidR="008029D7" w:rsidRPr="00AB4451" w:rsidRDefault="008029D7" w:rsidP="00AB4451">
      <w:pPr>
        <w:pStyle w:val="Caption"/>
      </w:pPr>
      <w:r w:rsidRPr="00AB4451">
        <w:t>Figure 7: Constraints and Indexes</w:t>
      </w:r>
    </w:p>
    <w:p w14:paraId="0717E37B" w14:textId="77777777" w:rsidR="008029D7" w:rsidRPr="008029D7" w:rsidRDefault="008029D7" w:rsidP="008F4FE5">
      <w:pPr>
        <w:spacing w:after="0" w:line="360" w:lineRule="auto"/>
        <w:rPr>
          <w:rFonts w:ascii="Arial" w:hAnsi="Arial" w:cs="Arial"/>
          <w:sz w:val="22"/>
          <w:szCs w:val="22"/>
        </w:rPr>
      </w:pPr>
    </w:p>
    <w:p w14:paraId="3A7E89C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Constraints and unique indexes were created for all major node labels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Company,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w:t>
      </w:r>
      <w:proofErr w:type="spellStart"/>
      <w:r w:rsidRPr="008029D7">
        <w:rPr>
          <w:rFonts w:ascii="Arial" w:hAnsi="Arial" w:cs="Arial"/>
          <w:sz w:val="22"/>
          <w:szCs w:val="22"/>
        </w:rPr>
        <w:t>DataSource</w:t>
      </w:r>
      <w:proofErr w:type="spellEnd"/>
      <w:r w:rsidRPr="008029D7">
        <w:rPr>
          <w:rFonts w:ascii="Arial" w:hAnsi="Arial" w:cs="Arial"/>
          <w:sz w:val="22"/>
          <w:szCs w:val="22"/>
        </w:rPr>
        <w:t xml:space="preserve">, and </w:t>
      </w:r>
      <w:proofErr w:type="spellStart"/>
      <w:r w:rsidRPr="008029D7">
        <w:rPr>
          <w:rFonts w:ascii="Arial" w:hAnsi="Arial" w:cs="Arial"/>
          <w:sz w:val="22"/>
          <w:szCs w:val="22"/>
        </w:rPr>
        <w:t>RegFramework</w:t>
      </w:r>
      <w:proofErr w:type="spellEnd"/>
      <w:r w:rsidRPr="008029D7">
        <w:rPr>
          <w:rFonts w:ascii="Arial" w:hAnsi="Arial" w:cs="Arial"/>
          <w:sz w:val="22"/>
          <w:szCs w:val="22"/>
        </w:rPr>
        <w:t xml:space="preserve">) to maintain data integrity and improve query performance. Each entity's primary key (e.g., </w:t>
      </w:r>
      <w:proofErr w:type="spellStart"/>
      <w:r w:rsidRPr="008029D7">
        <w:rPr>
          <w:rFonts w:ascii="Arial" w:hAnsi="Arial" w:cs="Arial"/>
          <w:sz w:val="22"/>
          <w:szCs w:val="22"/>
        </w:rPr>
        <w:t>manager_id</w:t>
      </w:r>
      <w:proofErr w:type="spellEnd"/>
      <w:r w:rsidRPr="008029D7">
        <w:rPr>
          <w:rFonts w:ascii="Arial" w:hAnsi="Arial" w:cs="Arial"/>
          <w:sz w:val="22"/>
          <w:szCs w:val="22"/>
        </w:rPr>
        <w:t xml:space="preserve">, </w:t>
      </w:r>
      <w:proofErr w:type="spellStart"/>
      <w:r w:rsidRPr="008029D7">
        <w:rPr>
          <w:rFonts w:ascii="Arial" w:hAnsi="Arial" w:cs="Arial"/>
          <w:sz w:val="22"/>
          <w:szCs w:val="22"/>
        </w:rPr>
        <w:t>fund_id</w:t>
      </w:r>
      <w:proofErr w:type="spellEnd"/>
      <w:r w:rsidRPr="008029D7">
        <w:rPr>
          <w:rFonts w:ascii="Arial" w:hAnsi="Arial" w:cs="Arial"/>
          <w:sz w:val="22"/>
          <w:szCs w:val="22"/>
        </w:rPr>
        <w:t xml:space="preserve">, </w:t>
      </w:r>
      <w:proofErr w:type="spellStart"/>
      <w:r w:rsidRPr="008029D7">
        <w:rPr>
          <w:rFonts w:ascii="Arial" w:hAnsi="Arial" w:cs="Arial"/>
          <w:sz w:val="22"/>
          <w:szCs w:val="22"/>
        </w:rPr>
        <w:t>company_id</w:t>
      </w:r>
      <w:proofErr w:type="spellEnd"/>
      <w:r w:rsidRPr="008029D7">
        <w:rPr>
          <w:rFonts w:ascii="Arial" w:hAnsi="Arial" w:cs="Arial"/>
          <w:sz w:val="22"/>
          <w:szCs w:val="22"/>
        </w:rPr>
        <w:t xml:space="preserve">, </w:t>
      </w:r>
      <w:proofErr w:type="spellStart"/>
      <w:r w:rsidRPr="008029D7">
        <w:rPr>
          <w:rFonts w:ascii="Arial" w:hAnsi="Arial" w:cs="Arial"/>
          <w:sz w:val="22"/>
          <w:szCs w:val="22"/>
        </w:rPr>
        <w:t>metric_id</w:t>
      </w:r>
      <w:proofErr w:type="spellEnd"/>
      <w:r w:rsidRPr="008029D7">
        <w:rPr>
          <w:rFonts w:ascii="Arial" w:hAnsi="Arial" w:cs="Arial"/>
          <w:sz w:val="22"/>
          <w:szCs w:val="22"/>
        </w:rPr>
        <w:t xml:space="preserve">, </w:t>
      </w:r>
      <w:proofErr w:type="spellStart"/>
      <w:r w:rsidRPr="008029D7">
        <w:rPr>
          <w:rFonts w:ascii="Arial" w:hAnsi="Arial" w:cs="Arial"/>
          <w:sz w:val="22"/>
          <w:szCs w:val="22"/>
        </w:rPr>
        <w:t>source_id</w:t>
      </w:r>
      <w:proofErr w:type="spellEnd"/>
      <w:r w:rsidRPr="008029D7">
        <w:rPr>
          <w:rFonts w:ascii="Arial" w:hAnsi="Arial" w:cs="Arial"/>
          <w:sz w:val="22"/>
          <w:szCs w:val="22"/>
        </w:rPr>
        <w:t xml:space="preserve">, and </w:t>
      </w:r>
      <w:proofErr w:type="spellStart"/>
      <w:r w:rsidRPr="008029D7">
        <w:rPr>
          <w:rFonts w:ascii="Arial" w:hAnsi="Arial" w:cs="Arial"/>
          <w:sz w:val="22"/>
          <w:szCs w:val="22"/>
        </w:rPr>
        <w:t>framework_id</w:t>
      </w:r>
      <w:proofErr w:type="spellEnd"/>
      <w:r w:rsidRPr="008029D7">
        <w:rPr>
          <w:rFonts w:ascii="Arial" w:hAnsi="Arial" w:cs="Arial"/>
          <w:sz w:val="22"/>
          <w:szCs w:val="22"/>
        </w:rPr>
        <w:t>) is defined as a unique property to prevent duplicate entries and ensure accurate data relationships.</w:t>
      </w:r>
    </w:p>
    <w:p w14:paraId="23794615" w14:textId="77777777" w:rsidR="008029D7" w:rsidRPr="008029D7" w:rsidRDefault="008029D7" w:rsidP="008F4FE5">
      <w:pPr>
        <w:spacing w:after="0" w:line="360" w:lineRule="auto"/>
        <w:rPr>
          <w:rFonts w:ascii="Arial" w:hAnsi="Arial" w:cs="Arial"/>
          <w:sz w:val="22"/>
          <w:szCs w:val="22"/>
        </w:rPr>
      </w:pPr>
    </w:p>
    <w:p w14:paraId="7E82477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66FD07D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Defining these constraints ensures the Neo4j graph database maintains referential consistency, much like primary keys in a relational database. This step was critical before importing data from CSV files, as it validated that each node type had a unique identifier for efficient MERGE operations. By enforcing uniqueness, the model prevents data duplication and optimizes query execution through automatic index creation.</w:t>
      </w:r>
    </w:p>
    <w:p w14:paraId="1422619B" w14:textId="77777777" w:rsidR="008029D7" w:rsidRPr="008029D7" w:rsidRDefault="008029D7" w:rsidP="008F4FE5">
      <w:pPr>
        <w:spacing w:after="0" w:line="360" w:lineRule="auto"/>
        <w:rPr>
          <w:rFonts w:ascii="Arial" w:hAnsi="Arial" w:cs="Arial"/>
          <w:sz w:val="22"/>
          <w:szCs w:val="22"/>
        </w:rPr>
      </w:pPr>
    </w:p>
    <w:p w14:paraId="0607280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Analytically, these constraints form the backbone of reliable graph traversal. When running Cypher queries such as MATCH and MERGE, the database uses these indexes to quickly locate nodes, significantly improving performance during graph construction and later analytical tasks (e.g., centrality and similarity algorithms). This foundational setup ensured that every subsequent GDS and query operation performed consistently and accurately on distinct entities.</w:t>
      </w:r>
    </w:p>
    <w:p w14:paraId="5B96D77A" w14:textId="77777777" w:rsidR="008029D7" w:rsidRPr="008029D7" w:rsidRDefault="008029D7" w:rsidP="008F4FE5">
      <w:pPr>
        <w:spacing w:after="0" w:line="360" w:lineRule="auto"/>
        <w:rPr>
          <w:rFonts w:ascii="Arial" w:hAnsi="Arial" w:cs="Arial"/>
          <w:sz w:val="22"/>
          <w:szCs w:val="22"/>
        </w:rPr>
      </w:pPr>
    </w:p>
    <w:p w14:paraId="44D53BBC"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3.3 Entity Data Import</w:t>
      </w:r>
    </w:p>
    <w:p w14:paraId="43618206" w14:textId="77777777" w:rsidR="008029D7" w:rsidRPr="008029D7" w:rsidRDefault="008029D7" w:rsidP="008F4FE5">
      <w:pPr>
        <w:spacing w:after="0" w:line="360" w:lineRule="auto"/>
        <w:rPr>
          <w:rFonts w:ascii="Arial" w:hAnsi="Arial" w:cs="Arial"/>
          <w:sz w:val="22"/>
          <w:szCs w:val="22"/>
        </w:rPr>
      </w:pPr>
    </w:p>
    <w:p w14:paraId="5C40818C" w14:textId="7775D870"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7EFD4216" wp14:editId="282CDE76">
            <wp:extent cx="4859020" cy="834390"/>
            <wp:effectExtent l="0" t="0" r="0" b="3810"/>
            <wp:docPr id="1706840895" name="Picture 2"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40895" name="Picture 2" descr="A black rectangle with white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9020" cy="834390"/>
                    </a:xfrm>
                    <a:prstGeom prst="rect">
                      <a:avLst/>
                    </a:prstGeom>
                  </pic:spPr>
                </pic:pic>
              </a:graphicData>
            </a:graphic>
          </wp:inline>
        </w:drawing>
      </w:r>
    </w:p>
    <w:p w14:paraId="31B6C029" w14:textId="77777777" w:rsidR="008029D7" w:rsidRPr="00AB4451" w:rsidRDefault="008029D7" w:rsidP="00AB4451">
      <w:pPr>
        <w:pStyle w:val="Caption"/>
      </w:pPr>
      <w:r w:rsidRPr="00AB4451">
        <w:t>Figure 8: Importing Audit Trail Data into Neo4j</w:t>
      </w:r>
    </w:p>
    <w:p w14:paraId="4AF6B8BD" w14:textId="77777777" w:rsidR="008029D7" w:rsidRPr="008029D7" w:rsidRDefault="008029D7" w:rsidP="008F4FE5">
      <w:pPr>
        <w:spacing w:after="0" w:line="360" w:lineRule="auto"/>
        <w:rPr>
          <w:rFonts w:ascii="Arial" w:hAnsi="Arial" w:cs="Arial"/>
          <w:sz w:val="22"/>
          <w:szCs w:val="22"/>
        </w:rPr>
      </w:pPr>
    </w:p>
    <w:p w14:paraId="761A0E5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Audit trail data from the audit_trail.csv file was successfully imported into Neo4j using Cypher's LOAD CSV command. Ten nodes were created with relevant properties such as </w:t>
      </w:r>
      <w:proofErr w:type="spellStart"/>
      <w:r w:rsidRPr="008029D7">
        <w:rPr>
          <w:rFonts w:ascii="Arial" w:hAnsi="Arial" w:cs="Arial"/>
          <w:sz w:val="22"/>
          <w:szCs w:val="22"/>
        </w:rPr>
        <w:t>audit_id</w:t>
      </w:r>
      <w:proofErr w:type="spellEnd"/>
      <w:r w:rsidRPr="008029D7">
        <w:rPr>
          <w:rFonts w:ascii="Arial" w:hAnsi="Arial" w:cs="Arial"/>
          <w:sz w:val="22"/>
          <w:szCs w:val="22"/>
        </w:rPr>
        <w:t xml:space="preserve">, </w:t>
      </w:r>
      <w:proofErr w:type="spellStart"/>
      <w:r w:rsidRPr="008029D7">
        <w:rPr>
          <w:rFonts w:ascii="Arial" w:hAnsi="Arial" w:cs="Arial"/>
          <w:sz w:val="22"/>
          <w:szCs w:val="22"/>
        </w:rPr>
        <w:t>table_name</w:t>
      </w:r>
      <w:proofErr w:type="spellEnd"/>
      <w:r w:rsidRPr="008029D7">
        <w:rPr>
          <w:rFonts w:ascii="Arial" w:hAnsi="Arial" w:cs="Arial"/>
          <w:sz w:val="22"/>
          <w:szCs w:val="22"/>
        </w:rPr>
        <w:t xml:space="preserve">, </w:t>
      </w:r>
      <w:proofErr w:type="spellStart"/>
      <w:r w:rsidRPr="008029D7">
        <w:rPr>
          <w:rFonts w:ascii="Arial" w:hAnsi="Arial" w:cs="Arial"/>
          <w:sz w:val="22"/>
          <w:szCs w:val="22"/>
        </w:rPr>
        <w:t>record_id</w:t>
      </w:r>
      <w:proofErr w:type="spellEnd"/>
      <w:r w:rsidRPr="008029D7">
        <w:rPr>
          <w:rFonts w:ascii="Arial" w:hAnsi="Arial" w:cs="Arial"/>
          <w:sz w:val="22"/>
          <w:szCs w:val="22"/>
        </w:rPr>
        <w:t xml:space="preserve">, </w:t>
      </w:r>
      <w:proofErr w:type="spellStart"/>
      <w:r w:rsidRPr="008029D7">
        <w:rPr>
          <w:rFonts w:ascii="Arial" w:hAnsi="Arial" w:cs="Arial"/>
          <w:sz w:val="22"/>
          <w:szCs w:val="22"/>
        </w:rPr>
        <w:t>change_type</w:t>
      </w:r>
      <w:proofErr w:type="spellEnd"/>
      <w:r w:rsidRPr="008029D7">
        <w:rPr>
          <w:rFonts w:ascii="Arial" w:hAnsi="Arial" w:cs="Arial"/>
          <w:sz w:val="22"/>
          <w:szCs w:val="22"/>
        </w:rPr>
        <w:t xml:space="preserve">, </w:t>
      </w:r>
      <w:proofErr w:type="spellStart"/>
      <w:r w:rsidRPr="008029D7">
        <w:rPr>
          <w:rFonts w:ascii="Arial" w:hAnsi="Arial" w:cs="Arial"/>
          <w:sz w:val="22"/>
          <w:szCs w:val="22"/>
        </w:rPr>
        <w:t>change_date</w:t>
      </w:r>
      <w:proofErr w:type="spellEnd"/>
      <w:r w:rsidRPr="008029D7">
        <w:rPr>
          <w:rFonts w:ascii="Arial" w:hAnsi="Arial" w:cs="Arial"/>
          <w:sz w:val="22"/>
          <w:szCs w:val="22"/>
        </w:rPr>
        <w:t xml:space="preserve">, </w:t>
      </w:r>
      <w:proofErr w:type="spellStart"/>
      <w:r w:rsidRPr="008029D7">
        <w:rPr>
          <w:rFonts w:ascii="Arial" w:hAnsi="Arial" w:cs="Arial"/>
          <w:sz w:val="22"/>
          <w:szCs w:val="22"/>
        </w:rPr>
        <w:t>user_id</w:t>
      </w:r>
      <w:proofErr w:type="spellEnd"/>
      <w:r w:rsidRPr="008029D7">
        <w:rPr>
          <w:rFonts w:ascii="Arial" w:hAnsi="Arial" w:cs="Arial"/>
          <w:sz w:val="22"/>
          <w:szCs w:val="22"/>
        </w:rPr>
        <w:t xml:space="preserve">, </w:t>
      </w:r>
      <w:proofErr w:type="spellStart"/>
      <w:r w:rsidRPr="008029D7">
        <w:rPr>
          <w:rFonts w:ascii="Arial" w:hAnsi="Arial" w:cs="Arial"/>
          <w:sz w:val="22"/>
          <w:szCs w:val="22"/>
        </w:rPr>
        <w:t>old_values</w:t>
      </w:r>
      <w:proofErr w:type="spellEnd"/>
      <w:r w:rsidRPr="008029D7">
        <w:rPr>
          <w:rFonts w:ascii="Arial" w:hAnsi="Arial" w:cs="Arial"/>
          <w:sz w:val="22"/>
          <w:szCs w:val="22"/>
        </w:rPr>
        <w:t xml:space="preserve">, and </w:t>
      </w:r>
      <w:proofErr w:type="spellStart"/>
      <w:r w:rsidRPr="008029D7">
        <w:rPr>
          <w:rFonts w:ascii="Arial" w:hAnsi="Arial" w:cs="Arial"/>
          <w:sz w:val="22"/>
          <w:szCs w:val="22"/>
        </w:rPr>
        <w:t>new_values</w:t>
      </w:r>
      <w:proofErr w:type="spellEnd"/>
      <w:r w:rsidRPr="008029D7">
        <w:rPr>
          <w:rFonts w:ascii="Arial" w:hAnsi="Arial" w:cs="Arial"/>
          <w:sz w:val="22"/>
          <w:szCs w:val="22"/>
        </w:rPr>
        <w:t>, establishing a log of data modification events within the system.</w:t>
      </w:r>
    </w:p>
    <w:p w14:paraId="60A4033A" w14:textId="77777777" w:rsidR="008029D7" w:rsidRPr="008029D7" w:rsidRDefault="008029D7" w:rsidP="008F4FE5">
      <w:pPr>
        <w:spacing w:after="0" w:line="360" w:lineRule="auto"/>
        <w:rPr>
          <w:rFonts w:ascii="Arial" w:hAnsi="Arial" w:cs="Arial"/>
          <w:sz w:val="22"/>
          <w:szCs w:val="22"/>
        </w:rPr>
      </w:pPr>
    </w:p>
    <w:p w14:paraId="0F1CC52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5DC33C8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import operation demonstrates how transactional and change-tracking data can be </w:t>
      </w:r>
      <w:proofErr w:type="spellStart"/>
      <w:r w:rsidRPr="008029D7">
        <w:rPr>
          <w:rFonts w:ascii="Arial" w:hAnsi="Arial" w:cs="Arial"/>
          <w:sz w:val="22"/>
          <w:szCs w:val="22"/>
        </w:rPr>
        <w:t>modeled</w:t>
      </w:r>
      <w:proofErr w:type="spellEnd"/>
      <w:r w:rsidRPr="008029D7">
        <w:rPr>
          <w:rFonts w:ascii="Arial" w:hAnsi="Arial" w:cs="Arial"/>
          <w:sz w:val="22"/>
          <w:szCs w:val="22"/>
        </w:rPr>
        <w:t xml:space="preserve"> within Neo4j for enhanced data governance. The use of the </w:t>
      </w:r>
      <w:proofErr w:type="gramStart"/>
      <w:r w:rsidRPr="008029D7">
        <w:rPr>
          <w:rFonts w:ascii="Arial" w:hAnsi="Arial" w:cs="Arial"/>
          <w:sz w:val="22"/>
          <w:szCs w:val="22"/>
        </w:rPr>
        <w:t>datetime(</w:t>
      </w:r>
      <w:proofErr w:type="gramEnd"/>
      <w:r w:rsidRPr="008029D7">
        <w:rPr>
          <w:rFonts w:ascii="Arial" w:hAnsi="Arial" w:cs="Arial"/>
          <w:sz w:val="22"/>
          <w:szCs w:val="22"/>
        </w:rPr>
        <w:t>) function to convert textual timestamps ensures temporal consistency across all records, allowing for precise chronological analysis of database changes.</w:t>
      </w:r>
    </w:p>
    <w:p w14:paraId="25F61A6E" w14:textId="77777777" w:rsidR="008029D7" w:rsidRPr="008029D7" w:rsidRDefault="008029D7" w:rsidP="008F4FE5">
      <w:pPr>
        <w:spacing w:after="0" w:line="360" w:lineRule="auto"/>
        <w:rPr>
          <w:rFonts w:ascii="Arial" w:hAnsi="Arial" w:cs="Arial"/>
          <w:sz w:val="22"/>
          <w:szCs w:val="22"/>
        </w:rPr>
      </w:pPr>
    </w:p>
    <w:p w14:paraId="30C4A45A" w14:textId="3C3BE9B5" w:rsid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Analytically, this table serves as the foundation for data lineage tracking and auditability within the graph. Each audit event node acts as a record of system activity, which can later be connected to entities such as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or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to </w:t>
      </w:r>
      <w:proofErr w:type="spellStart"/>
      <w:r w:rsidRPr="008029D7">
        <w:rPr>
          <w:rFonts w:ascii="Arial" w:hAnsi="Arial" w:cs="Arial"/>
          <w:sz w:val="22"/>
          <w:szCs w:val="22"/>
        </w:rPr>
        <w:t>analyze</w:t>
      </w:r>
      <w:proofErr w:type="spellEnd"/>
      <w:r w:rsidRPr="008029D7">
        <w:rPr>
          <w:rFonts w:ascii="Arial" w:hAnsi="Arial" w:cs="Arial"/>
          <w:sz w:val="22"/>
          <w:szCs w:val="22"/>
        </w:rPr>
        <w:t xml:space="preserve"> modification trends and user interactions. This enhances transparency, enabling queries that detect when and by whom a data entity was last modified—a critical requirement for compliance and operational oversight.</w:t>
      </w:r>
    </w:p>
    <w:p w14:paraId="43664DA2" w14:textId="77777777" w:rsidR="002C75FE" w:rsidRPr="008029D7" w:rsidRDefault="002C75FE" w:rsidP="008F4FE5">
      <w:pPr>
        <w:spacing w:after="0" w:line="360" w:lineRule="auto"/>
        <w:rPr>
          <w:rFonts w:ascii="Arial" w:hAnsi="Arial" w:cs="Arial"/>
          <w:sz w:val="22"/>
          <w:szCs w:val="22"/>
        </w:rPr>
      </w:pPr>
    </w:p>
    <w:p w14:paraId="2B54D077" w14:textId="7D93FEF0" w:rsidR="008029D7" w:rsidRPr="008029D7" w:rsidRDefault="002C75FE" w:rsidP="008F4FE5">
      <w:pPr>
        <w:spacing w:after="0" w:line="360" w:lineRule="auto"/>
        <w:rPr>
          <w:rFonts w:ascii="Arial" w:hAnsi="Arial" w:cs="Arial"/>
          <w:sz w:val="22"/>
          <w:szCs w:val="22"/>
        </w:rPr>
      </w:pPr>
      <w:r>
        <w:rPr>
          <w:b/>
          <w:bCs/>
          <w:noProof/>
        </w:rPr>
        <w:lastRenderedPageBreak/>
        <w:drawing>
          <wp:inline distT="0" distB="0" distL="0" distR="0" wp14:anchorId="31A82856" wp14:editId="5FD5CD2B">
            <wp:extent cx="4859020" cy="875665"/>
            <wp:effectExtent l="0" t="0" r="0" b="635"/>
            <wp:docPr id="2066924476" name="Picture 3" descr="A black background with many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24476" name="Picture 3" descr="A black background with many ligh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9020" cy="875665"/>
                    </a:xfrm>
                    <a:prstGeom prst="rect">
                      <a:avLst/>
                    </a:prstGeom>
                  </pic:spPr>
                </pic:pic>
              </a:graphicData>
            </a:graphic>
          </wp:inline>
        </w:drawing>
      </w:r>
    </w:p>
    <w:p w14:paraId="6FCE4045" w14:textId="77777777" w:rsidR="008029D7" w:rsidRPr="00AB4451" w:rsidRDefault="008029D7" w:rsidP="00AB4451">
      <w:pPr>
        <w:pStyle w:val="Caption"/>
      </w:pPr>
      <w:r w:rsidRPr="00AB4451">
        <w:t>Figure 9: Importing ESG Data Source Information</w:t>
      </w:r>
    </w:p>
    <w:p w14:paraId="56847C25" w14:textId="77777777" w:rsidR="008029D7" w:rsidRPr="008029D7" w:rsidRDefault="008029D7" w:rsidP="008F4FE5">
      <w:pPr>
        <w:spacing w:after="0" w:line="360" w:lineRule="auto"/>
        <w:rPr>
          <w:rFonts w:ascii="Arial" w:hAnsi="Arial" w:cs="Arial"/>
          <w:sz w:val="22"/>
          <w:szCs w:val="22"/>
        </w:rPr>
      </w:pPr>
    </w:p>
    <w:p w14:paraId="339B72A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Data from the esg_data_source.csv file was imported into Neo4j to create </w:t>
      </w:r>
      <w:proofErr w:type="spellStart"/>
      <w:r w:rsidRPr="008029D7">
        <w:rPr>
          <w:rFonts w:ascii="Arial" w:hAnsi="Arial" w:cs="Arial"/>
          <w:sz w:val="22"/>
          <w:szCs w:val="22"/>
        </w:rPr>
        <w:t>DataSource</w:t>
      </w:r>
      <w:proofErr w:type="spellEnd"/>
      <w:r w:rsidRPr="008029D7">
        <w:rPr>
          <w:rFonts w:ascii="Arial" w:hAnsi="Arial" w:cs="Arial"/>
          <w:sz w:val="22"/>
          <w:szCs w:val="22"/>
        </w:rPr>
        <w:t xml:space="preserve"> nodes representing various ESG data providers. Each node includes attributes such as </w:t>
      </w:r>
      <w:proofErr w:type="spellStart"/>
      <w:r w:rsidRPr="008029D7">
        <w:rPr>
          <w:rFonts w:ascii="Arial" w:hAnsi="Arial" w:cs="Arial"/>
          <w:sz w:val="22"/>
          <w:szCs w:val="22"/>
        </w:rPr>
        <w:t>source_name</w:t>
      </w:r>
      <w:proofErr w:type="spellEnd"/>
      <w:r w:rsidRPr="008029D7">
        <w:rPr>
          <w:rFonts w:ascii="Arial" w:hAnsi="Arial" w:cs="Arial"/>
          <w:sz w:val="22"/>
          <w:szCs w:val="22"/>
        </w:rPr>
        <w:t xml:space="preserve">, </w:t>
      </w:r>
      <w:proofErr w:type="spellStart"/>
      <w:r w:rsidRPr="008029D7">
        <w:rPr>
          <w:rFonts w:ascii="Arial" w:hAnsi="Arial" w:cs="Arial"/>
          <w:sz w:val="22"/>
          <w:szCs w:val="22"/>
        </w:rPr>
        <w:t>source_type</w:t>
      </w:r>
      <w:proofErr w:type="spellEnd"/>
      <w:r w:rsidRPr="008029D7">
        <w:rPr>
          <w:rFonts w:ascii="Arial" w:hAnsi="Arial" w:cs="Arial"/>
          <w:sz w:val="22"/>
          <w:szCs w:val="22"/>
        </w:rPr>
        <w:t xml:space="preserve">, </w:t>
      </w:r>
      <w:proofErr w:type="spellStart"/>
      <w:r w:rsidRPr="008029D7">
        <w:rPr>
          <w:rFonts w:ascii="Arial" w:hAnsi="Arial" w:cs="Arial"/>
          <w:sz w:val="22"/>
          <w:szCs w:val="22"/>
        </w:rPr>
        <w:t>reliability_category</w:t>
      </w:r>
      <w:proofErr w:type="spellEnd"/>
      <w:r w:rsidRPr="008029D7">
        <w:rPr>
          <w:rFonts w:ascii="Arial" w:hAnsi="Arial" w:cs="Arial"/>
          <w:sz w:val="22"/>
          <w:szCs w:val="22"/>
        </w:rPr>
        <w:t xml:space="preserve">, </w:t>
      </w:r>
      <w:proofErr w:type="spellStart"/>
      <w:r w:rsidRPr="008029D7">
        <w:rPr>
          <w:rFonts w:ascii="Arial" w:hAnsi="Arial" w:cs="Arial"/>
          <w:sz w:val="22"/>
          <w:szCs w:val="22"/>
        </w:rPr>
        <w:t>update_frequency</w:t>
      </w:r>
      <w:proofErr w:type="spellEnd"/>
      <w:r w:rsidRPr="008029D7">
        <w:rPr>
          <w:rFonts w:ascii="Arial" w:hAnsi="Arial" w:cs="Arial"/>
          <w:sz w:val="22"/>
          <w:szCs w:val="22"/>
        </w:rPr>
        <w:t xml:space="preserve">, </w:t>
      </w:r>
      <w:proofErr w:type="spellStart"/>
      <w:r w:rsidRPr="008029D7">
        <w:rPr>
          <w:rFonts w:ascii="Arial" w:hAnsi="Arial" w:cs="Arial"/>
          <w:sz w:val="22"/>
          <w:szCs w:val="22"/>
        </w:rPr>
        <w:t>cost_per_year</w:t>
      </w:r>
      <w:proofErr w:type="spellEnd"/>
      <w:r w:rsidRPr="008029D7">
        <w:rPr>
          <w:rFonts w:ascii="Arial" w:hAnsi="Arial" w:cs="Arial"/>
          <w:sz w:val="22"/>
          <w:szCs w:val="22"/>
        </w:rPr>
        <w:t xml:space="preserve">, and </w:t>
      </w:r>
      <w:proofErr w:type="spellStart"/>
      <w:r w:rsidRPr="008029D7">
        <w:rPr>
          <w:rFonts w:ascii="Arial" w:hAnsi="Arial" w:cs="Arial"/>
          <w:sz w:val="22"/>
          <w:szCs w:val="22"/>
        </w:rPr>
        <w:t>api_available</w:t>
      </w:r>
      <w:proofErr w:type="spellEnd"/>
      <w:r w:rsidRPr="008029D7">
        <w:rPr>
          <w:rFonts w:ascii="Arial" w:hAnsi="Arial" w:cs="Arial"/>
          <w:sz w:val="22"/>
          <w:szCs w:val="22"/>
        </w:rPr>
        <w:t>, ensuring each data source's characteristics are captured accurately.</w:t>
      </w:r>
    </w:p>
    <w:p w14:paraId="6D89667F" w14:textId="77777777" w:rsidR="008029D7" w:rsidRPr="008029D7" w:rsidRDefault="008029D7" w:rsidP="008F4FE5">
      <w:pPr>
        <w:spacing w:after="0" w:line="360" w:lineRule="auto"/>
        <w:rPr>
          <w:rFonts w:ascii="Arial" w:hAnsi="Arial" w:cs="Arial"/>
          <w:sz w:val="22"/>
          <w:szCs w:val="22"/>
        </w:rPr>
      </w:pPr>
    </w:p>
    <w:p w14:paraId="4B2E187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426C55B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import highlights how data provenance and source reliability are integrated within the graph model. By including attributes such as update frequency and API availability, the dataset supports subsequent analytical queries regarding data freshness and accessibility.</w:t>
      </w:r>
    </w:p>
    <w:p w14:paraId="5121C6FE" w14:textId="77777777" w:rsidR="008029D7" w:rsidRPr="008029D7" w:rsidRDefault="008029D7" w:rsidP="008F4FE5">
      <w:pPr>
        <w:spacing w:after="0" w:line="360" w:lineRule="auto"/>
        <w:rPr>
          <w:rFonts w:ascii="Arial" w:hAnsi="Arial" w:cs="Arial"/>
          <w:sz w:val="22"/>
          <w:szCs w:val="22"/>
        </w:rPr>
      </w:pPr>
    </w:p>
    <w:p w14:paraId="17DBD2D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Analytically, the </w:t>
      </w:r>
      <w:proofErr w:type="spellStart"/>
      <w:r w:rsidRPr="008029D7">
        <w:rPr>
          <w:rFonts w:ascii="Arial" w:hAnsi="Arial" w:cs="Arial"/>
          <w:sz w:val="22"/>
          <w:szCs w:val="22"/>
        </w:rPr>
        <w:t>DataSource</w:t>
      </w:r>
      <w:proofErr w:type="spellEnd"/>
      <w:r w:rsidRPr="008029D7">
        <w:rPr>
          <w:rFonts w:ascii="Arial" w:hAnsi="Arial" w:cs="Arial"/>
          <w:sz w:val="22"/>
          <w:szCs w:val="22"/>
        </w:rPr>
        <w:t xml:space="preserve"> nodes enable linking ESG metrics with their providers through the </w:t>
      </w:r>
      <w:proofErr w:type="gramStart"/>
      <w:r w:rsidRPr="008029D7">
        <w:rPr>
          <w:rFonts w:ascii="Arial" w:hAnsi="Arial" w:cs="Arial"/>
          <w:sz w:val="22"/>
          <w:szCs w:val="22"/>
        </w:rPr>
        <w:t>[:PROVIDES</w:t>
      </w:r>
      <w:proofErr w:type="gramEnd"/>
      <w:r w:rsidRPr="008029D7">
        <w:rPr>
          <w:rFonts w:ascii="Arial" w:hAnsi="Arial" w:cs="Arial"/>
          <w:sz w:val="22"/>
          <w:szCs w:val="22"/>
        </w:rPr>
        <w:t>] relationship, which allows for traceability of ESG information and assessment of data credibility. This structure improves data quality assurance, enabling the system to identify which metrics are supported by reliable or frequently updated sources—a critical factor for organizations relying on external ESG data for compliance, transparency, and decision-making.</w:t>
      </w:r>
    </w:p>
    <w:p w14:paraId="67356B42" w14:textId="77777777" w:rsidR="008029D7" w:rsidRPr="008029D7" w:rsidRDefault="008029D7" w:rsidP="008F4FE5">
      <w:pPr>
        <w:spacing w:after="0" w:line="360" w:lineRule="auto"/>
        <w:rPr>
          <w:rFonts w:ascii="Arial" w:hAnsi="Arial" w:cs="Arial"/>
          <w:sz w:val="22"/>
          <w:szCs w:val="22"/>
        </w:rPr>
      </w:pPr>
    </w:p>
    <w:p w14:paraId="23582DFA" w14:textId="37B35CA0"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76F532A0" wp14:editId="09E98D13">
            <wp:extent cx="4859020" cy="939165"/>
            <wp:effectExtent l="0" t="0" r="0" b="0"/>
            <wp:docPr id="355799380" name="Picture 4" descr="A black background with colorfu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9380" name="Picture 4" descr="A black background with colorful ligh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9020" cy="939165"/>
                    </a:xfrm>
                    <a:prstGeom prst="rect">
                      <a:avLst/>
                    </a:prstGeom>
                  </pic:spPr>
                </pic:pic>
              </a:graphicData>
            </a:graphic>
          </wp:inline>
        </w:drawing>
      </w:r>
    </w:p>
    <w:p w14:paraId="08E8858C" w14:textId="77777777" w:rsidR="008029D7" w:rsidRPr="00AB4451" w:rsidRDefault="008029D7" w:rsidP="00AB4451">
      <w:pPr>
        <w:pStyle w:val="Caption"/>
      </w:pPr>
      <w:r w:rsidRPr="00AB4451">
        <w:t>Figure 10: Importing ESG Metric Data into Neo4j</w:t>
      </w:r>
    </w:p>
    <w:p w14:paraId="5B580866" w14:textId="77777777" w:rsidR="008029D7" w:rsidRPr="008029D7" w:rsidRDefault="008029D7" w:rsidP="008F4FE5">
      <w:pPr>
        <w:spacing w:after="0" w:line="360" w:lineRule="auto"/>
        <w:rPr>
          <w:rFonts w:ascii="Arial" w:hAnsi="Arial" w:cs="Arial"/>
          <w:sz w:val="22"/>
          <w:szCs w:val="22"/>
        </w:rPr>
      </w:pPr>
    </w:p>
    <w:p w14:paraId="5B472844" w14:textId="77777777" w:rsid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esg_metric.csv file was imported to create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nodes representing environmental, social, and governance indicators. Each node stores detailed attributes such as </w:t>
      </w:r>
      <w:proofErr w:type="spellStart"/>
      <w:r w:rsidRPr="008029D7">
        <w:rPr>
          <w:rFonts w:ascii="Arial" w:hAnsi="Arial" w:cs="Arial"/>
          <w:sz w:val="22"/>
          <w:szCs w:val="22"/>
        </w:rPr>
        <w:t>metric_name</w:t>
      </w:r>
      <w:proofErr w:type="spellEnd"/>
      <w:r w:rsidRPr="008029D7">
        <w:rPr>
          <w:rFonts w:ascii="Arial" w:hAnsi="Arial" w:cs="Arial"/>
          <w:sz w:val="22"/>
          <w:szCs w:val="22"/>
        </w:rPr>
        <w:t xml:space="preserve">, </w:t>
      </w:r>
      <w:proofErr w:type="spellStart"/>
      <w:r w:rsidRPr="008029D7">
        <w:rPr>
          <w:rFonts w:ascii="Arial" w:hAnsi="Arial" w:cs="Arial"/>
          <w:sz w:val="22"/>
          <w:szCs w:val="22"/>
        </w:rPr>
        <w:t>metric_code</w:t>
      </w:r>
      <w:proofErr w:type="spellEnd"/>
      <w:r w:rsidRPr="008029D7">
        <w:rPr>
          <w:rFonts w:ascii="Arial" w:hAnsi="Arial" w:cs="Arial"/>
          <w:sz w:val="22"/>
          <w:szCs w:val="22"/>
        </w:rPr>
        <w:t xml:space="preserve">, category, </w:t>
      </w:r>
      <w:proofErr w:type="spellStart"/>
      <w:r w:rsidRPr="008029D7">
        <w:rPr>
          <w:rFonts w:ascii="Arial" w:hAnsi="Arial" w:cs="Arial"/>
          <w:sz w:val="22"/>
          <w:szCs w:val="22"/>
        </w:rPr>
        <w:t>unit_of_measurement</w:t>
      </w:r>
      <w:proofErr w:type="spellEnd"/>
      <w:r w:rsidRPr="008029D7">
        <w:rPr>
          <w:rFonts w:ascii="Arial" w:hAnsi="Arial" w:cs="Arial"/>
          <w:sz w:val="22"/>
          <w:szCs w:val="22"/>
        </w:rPr>
        <w:t xml:space="preserve">, </w:t>
      </w:r>
      <w:proofErr w:type="spellStart"/>
      <w:r w:rsidRPr="008029D7">
        <w:rPr>
          <w:rFonts w:ascii="Arial" w:hAnsi="Arial" w:cs="Arial"/>
          <w:sz w:val="22"/>
          <w:szCs w:val="22"/>
        </w:rPr>
        <w:t>data_type</w:t>
      </w:r>
      <w:proofErr w:type="spellEnd"/>
      <w:r w:rsidRPr="008029D7">
        <w:rPr>
          <w:rFonts w:ascii="Arial" w:hAnsi="Arial" w:cs="Arial"/>
          <w:sz w:val="22"/>
          <w:szCs w:val="22"/>
        </w:rPr>
        <w:t xml:space="preserve">, </w:t>
      </w:r>
      <w:proofErr w:type="spellStart"/>
      <w:r w:rsidRPr="008029D7">
        <w:rPr>
          <w:rFonts w:ascii="Arial" w:hAnsi="Arial" w:cs="Arial"/>
          <w:sz w:val="22"/>
          <w:szCs w:val="22"/>
        </w:rPr>
        <w:t>higher_is_better</w:t>
      </w:r>
      <w:proofErr w:type="spellEnd"/>
      <w:r w:rsidRPr="008029D7">
        <w:rPr>
          <w:rFonts w:ascii="Arial" w:hAnsi="Arial" w:cs="Arial"/>
          <w:sz w:val="22"/>
          <w:szCs w:val="22"/>
        </w:rPr>
        <w:t>, and status, forming the foundation for assessing company-level ESG performance within the graph.</w:t>
      </w:r>
    </w:p>
    <w:p w14:paraId="282F08D6" w14:textId="77777777" w:rsidR="000F5944" w:rsidRPr="008029D7" w:rsidRDefault="000F5944" w:rsidP="008F4FE5">
      <w:pPr>
        <w:spacing w:after="0" w:line="360" w:lineRule="auto"/>
        <w:rPr>
          <w:rFonts w:ascii="Arial" w:hAnsi="Arial" w:cs="Arial"/>
          <w:sz w:val="22"/>
          <w:szCs w:val="22"/>
        </w:rPr>
      </w:pPr>
    </w:p>
    <w:p w14:paraId="53E0922B" w14:textId="77777777" w:rsidR="008029D7" w:rsidRPr="008029D7" w:rsidRDefault="008029D7" w:rsidP="008F4FE5">
      <w:pPr>
        <w:spacing w:after="0" w:line="360" w:lineRule="auto"/>
        <w:rPr>
          <w:rFonts w:ascii="Arial" w:hAnsi="Arial" w:cs="Arial"/>
          <w:sz w:val="22"/>
          <w:szCs w:val="22"/>
        </w:rPr>
      </w:pPr>
    </w:p>
    <w:p w14:paraId="695450D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Analytical Explanation:</w:t>
      </w:r>
    </w:p>
    <w:p w14:paraId="62AD298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import of ESG metrics establishes a standardized repository of sustainability measures within the graph. Each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node acts as a reference point for evaluating company performance across key ESG dimensions. The inclusion of the </w:t>
      </w:r>
      <w:proofErr w:type="spellStart"/>
      <w:r w:rsidRPr="008029D7">
        <w:rPr>
          <w:rFonts w:ascii="Arial" w:hAnsi="Arial" w:cs="Arial"/>
          <w:sz w:val="22"/>
          <w:szCs w:val="22"/>
        </w:rPr>
        <w:t>boolean</w:t>
      </w:r>
      <w:proofErr w:type="spellEnd"/>
      <w:r w:rsidRPr="008029D7">
        <w:rPr>
          <w:rFonts w:ascii="Arial" w:hAnsi="Arial" w:cs="Arial"/>
          <w:sz w:val="22"/>
          <w:szCs w:val="22"/>
        </w:rPr>
        <w:t xml:space="preserve"> field </w:t>
      </w:r>
      <w:proofErr w:type="spellStart"/>
      <w:r w:rsidRPr="008029D7">
        <w:rPr>
          <w:rFonts w:ascii="Arial" w:hAnsi="Arial" w:cs="Arial"/>
          <w:sz w:val="22"/>
          <w:szCs w:val="22"/>
        </w:rPr>
        <w:t>higher_is_better</w:t>
      </w:r>
      <w:proofErr w:type="spellEnd"/>
      <w:r w:rsidRPr="008029D7">
        <w:rPr>
          <w:rFonts w:ascii="Arial" w:hAnsi="Arial" w:cs="Arial"/>
          <w:sz w:val="22"/>
          <w:szCs w:val="22"/>
        </w:rPr>
        <w:t xml:space="preserve"> enables comparative analysis and automated interpretation of score directionality—for example, identifying whether a higher score indicates stronger environmental performance or greater risk.</w:t>
      </w:r>
    </w:p>
    <w:p w14:paraId="28201F4E" w14:textId="77777777" w:rsidR="008029D7" w:rsidRPr="008029D7" w:rsidRDefault="008029D7" w:rsidP="008F4FE5">
      <w:pPr>
        <w:spacing w:after="0" w:line="360" w:lineRule="auto"/>
        <w:rPr>
          <w:rFonts w:ascii="Arial" w:hAnsi="Arial" w:cs="Arial"/>
          <w:sz w:val="22"/>
          <w:szCs w:val="22"/>
        </w:rPr>
      </w:pPr>
    </w:p>
    <w:p w14:paraId="735DAA5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Analytically, this layer allows for cross-dimensional ESG analysis once connected to performance data through the </w:t>
      </w:r>
      <w:proofErr w:type="gramStart"/>
      <w:r w:rsidRPr="008029D7">
        <w:rPr>
          <w:rFonts w:ascii="Arial" w:hAnsi="Arial" w:cs="Arial"/>
          <w:sz w:val="22"/>
          <w:szCs w:val="22"/>
        </w:rPr>
        <w:t>[:ASSESSED</w:t>
      </w:r>
      <w:proofErr w:type="gramEnd"/>
      <w:r w:rsidRPr="008029D7">
        <w:rPr>
          <w:rFonts w:ascii="Arial" w:hAnsi="Arial" w:cs="Arial"/>
          <w:sz w:val="22"/>
          <w:szCs w:val="22"/>
        </w:rPr>
        <w:t>_FOR] relationship. These nodes also serve as a reference for linking to external data sources (</w:t>
      </w:r>
      <w:proofErr w:type="spellStart"/>
      <w:r w:rsidRPr="008029D7">
        <w:rPr>
          <w:rFonts w:ascii="Arial" w:hAnsi="Arial" w:cs="Arial"/>
          <w:sz w:val="22"/>
          <w:szCs w:val="22"/>
        </w:rPr>
        <w:t>DataSource</w:t>
      </w:r>
      <w:proofErr w:type="spellEnd"/>
      <w:r w:rsidRPr="008029D7">
        <w:rPr>
          <w:rFonts w:ascii="Arial" w:hAnsi="Arial" w:cs="Arial"/>
          <w:sz w:val="22"/>
          <w:szCs w:val="22"/>
        </w:rPr>
        <w:t>) and regulatory frameworks (</w:t>
      </w:r>
      <w:proofErr w:type="spellStart"/>
      <w:r w:rsidRPr="008029D7">
        <w:rPr>
          <w:rFonts w:ascii="Arial" w:hAnsi="Arial" w:cs="Arial"/>
          <w:sz w:val="22"/>
          <w:szCs w:val="22"/>
        </w:rPr>
        <w:t>RegFramework</w:t>
      </w:r>
      <w:proofErr w:type="spellEnd"/>
      <w:r w:rsidRPr="008029D7">
        <w:rPr>
          <w:rFonts w:ascii="Arial" w:hAnsi="Arial" w:cs="Arial"/>
          <w:sz w:val="22"/>
          <w:szCs w:val="22"/>
        </w:rPr>
        <w:t>), thus forming the analytical backbone for ESG benchmarking, compliance validation, and trend identification across the dataset.</w:t>
      </w:r>
    </w:p>
    <w:p w14:paraId="6B5C6527" w14:textId="77777777" w:rsidR="008029D7" w:rsidRPr="008029D7" w:rsidRDefault="008029D7" w:rsidP="008F4FE5">
      <w:pPr>
        <w:spacing w:after="0" w:line="360" w:lineRule="auto"/>
        <w:rPr>
          <w:rFonts w:ascii="Arial" w:hAnsi="Arial" w:cs="Arial"/>
          <w:sz w:val="22"/>
          <w:szCs w:val="22"/>
        </w:rPr>
      </w:pPr>
    </w:p>
    <w:p w14:paraId="19C99724" w14:textId="470E4CA9"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0A9FCA10" wp14:editId="09B1ED4E">
            <wp:extent cx="4859020" cy="1688465"/>
            <wp:effectExtent l="0" t="0" r="0" b="6985"/>
            <wp:docPr id="1786270704" name="Picture 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0704" name="Picture 5" descr="A computer screen shot of a computer cod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9020" cy="1688465"/>
                    </a:xfrm>
                    <a:prstGeom prst="rect">
                      <a:avLst/>
                    </a:prstGeom>
                  </pic:spPr>
                </pic:pic>
              </a:graphicData>
            </a:graphic>
          </wp:inline>
        </w:drawing>
      </w:r>
    </w:p>
    <w:p w14:paraId="65B8029D" w14:textId="77777777" w:rsidR="008029D7" w:rsidRPr="00AB4451" w:rsidRDefault="008029D7" w:rsidP="00AB4451">
      <w:pPr>
        <w:pStyle w:val="Caption"/>
      </w:pPr>
      <w:r w:rsidRPr="00AB4451">
        <w:t>Figure 11: Creating ESG Performance Relationships</w:t>
      </w:r>
    </w:p>
    <w:p w14:paraId="5F492643" w14:textId="77777777" w:rsidR="008029D7" w:rsidRPr="008029D7" w:rsidRDefault="008029D7" w:rsidP="008F4FE5">
      <w:pPr>
        <w:spacing w:after="0" w:line="360" w:lineRule="auto"/>
        <w:rPr>
          <w:rFonts w:ascii="Arial" w:hAnsi="Arial" w:cs="Arial"/>
          <w:sz w:val="22"/>
          <w:szCs w:val="22"/>
        </w:rPr>
      </w:pPr>
    </w:p>
    <w:p w14:paraId="144DC16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Data from the esg_performance.csv file was imported to establish the </w:t>
      </w:r>
      <w:proofErr w:type="gramStart"/>
      <w:r w:rsidRPr="008029D7">
        <w:rPr>
          <w:rFonts w:ascii="Arial" w:hAnsi="Arial" w:cs="Arial"/>
          <w:sz w:val="22"/>
          <w:szCs w:val="22"/>
        </w:rPr>
        <w:t>[:ASSESSED</w:t>
      </w:r>
      <w:proofErr w:type="gramEnd"/>
      <w:r w:rsidRPr="008029D7">
        <w:rPr>
          <w:rFonts w:ascii="Arial" w:hAnsi="Arial" w:cs="Arial"/>
          <w:sz w:val="22"/>
          <w:szCs w:val="22"/>
        </w:rPr>
        <w:t xml:space="preserve">_FOR] relationship between Company and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nodes. Each relationship records performance attributes such as </w:t>
      </w:r>
      <w:proofErr w:type="spellStart"/>
      <w:r w:rsidRPr="008029D7">
        <w:rPr>
          <w:rFonts w:ascii="Arial" w:hAnsi="Arial" w:cs="Arial"/>
          <w:sz w:val="22"/>
          <w:szCs w:val="22"/>
        </w:rPr>
        <w:t>assessment_date</w:t>
      </w:r>
      <w:proofErr w:type="spellEnd"/>
      <w:r w:rsidRPr="008029D7">
        <w:rPr>
          <w:rFonts w:ascii="Arial" w:hAnsi="Arial" w:cs="Arial"/>
          <w:sz w:val="22"/>
          <w:szCs w:val="22"/>
        </w:rPr>
        <w:t xml:space="preserve">, </w:t>
      </w:r>
      <w:proofErr w:type="spellStart"/>
      <w:r w:rsidRPr="008029D7">
        <w:rPr>
          <w:rFonts w:ascii="Arial" w:hAnsi="Arial" w:cs="Arial"/>
          <w:sz w:val="22"/>
          <w:szCs w:val="22"/>
        </w:rPr>
        <w:t>metric_value</w:t>
      </w:r>
      <w:proofErr w:type="spellEnd"/>
      <w:r w:rsidRPr="008029D7">
        <w:rPr>
          <w:rFonts w:ascii="Arial" w:hAnsi="Arial" w:cs="Arial"/>
          <w:sz w:val="22"/>
          <w:szCs w:val="22"/>
        </w:rPr>
        <w:t xml:space="preserve">, </w:t>
      </w:r>
      <w:proofErr w:type="spellStart"/>
      <w:r w:rsidRPr="008029D7">
        <w:rPr>
          <w:rFonts w:ascii="Arial" w:hAnsi="Arial" w:cs="Arial"/>
          <w:sz w:val="22"/>
          <w:szCs w:val="22"/>
        </w:rPr>
        <w:t>data_quality_flag</w:t>
      </w:r>
      <w:proofErr w:type="spellEnd"/>
      <w:r w:rsidRPr="008029D7">
        <w:rPr>
          <w:rFonts w:ascii="Arial" w:hAnsi="Arial" w:cs="Arial"/>
          <w:sz w:val="22"/>
          <w:szCs w:val="22"/>
        </w:rPr>
        <w:t>, and multiple score dimensions (</w:t>
      </w:r>
      <w:proofErr w:type="spellStart"/>
      <w:r w:rsidRPr="008029D7">
        <w:rPr>
          <w:rFonts w:ascii="Arial" w:hAnsi="Arial" w:cs="Arial"/>
          <w:sz w:val="22"/>
          <w:szCs w:val="22"/>
        </w:rPr>
        <w:t>environmental_score</w:t>
      </w:r>
      <w:proofErr w:type="spellEnd"/>
      <w:r w:rsidRPr="008029D7">
        <w:rPr>
          <w:rFonts w:ascii="Arial" w:hAnsi="Arial" w:cs="Arial"/>
          <w:sz w:val="22"/>
          <w:szCs w:val="22"/>
        </w:rPr>
        <w:t xml:space="preserve">, </w:t>
      </w:r>
      <w:proofErr w:type="spellStart"/>
      <w:r w:rsidRPr="008029D7">
        <w:rPr>
          <w:rFonts w:ascii="Arial" w:hAnsi="Arial" w:cs="Arial"/>
          <w:sz w:val="22"/>
          <w:szCs w:val="22"/>
        </w:rPr>
        <w:t>social_score</w:t>
      </w:r>
      <w:proofErr w:type="spellEnd"/>
      <w:r w:rsidRPr="008029D7">
        <w:rPr>
          <w:rFonts w:ascii="Arial" w:hAnsi="Arial" w:cs="Arial"/>
          <w:sz w:val="22"/>
          <w:szCs w:val="22"/>
        </w:rPr>
        <w:t xml:space="preserve">, </w:t>
      </w:r>
      <w:proofErr w:type="spellStart"/>
      <w:r w:rsidRPr="008029D7">
        <w:rPr>
          <w:rFonts w:ascii="Arial" w:hAnsi="Arial" w:cs="Arial"/>
          <w:sz w:val="22"/>
          <w:szCs w:val="22"/>
        </w:rPr>
        <w:t>governance_score</w:t>
      </w:r>
      <w:proofErr w:type="spellEnd"/>
      <w:r w:rsidRPr="008029D7">
        <w:rPr>
          <w:rFonts w:ascii="Arial" w:hAnsi="Arial" w:cs="Arial"/>
          <w:sz w:val="22"/>
          <w:szCs w:val="22"/>
        </w:rPr>
        <w:t xml:space="preserve">, and </w:t>
      </w:r>
      <w:proofErr w:type="spellStart"/>
      <w:r w:rsidRPr="008029D7">
        <w:rPr>
          <w:rFonts w:ascii="Arial" w:hAnsi="Arial" w:cs="Arial"/>
          <w:sz w:val="22"/>
          <w:szCs w:val="22"/>
        </w:rPr>
        <w:t>overall_esg_score</w:t>
      </w:r>
      <w:proofErr w:type="spellEnd"/>
      <w:r w:rsidRPr="008029D7">
        <w:rPr>
          <w:rFonts w:ascii="Arial" w:hAnsi="Arial" w:cs="Arial"/>
          <w:sz w:val="22"/>
          <w:szCs w:val="22"/>
        </w:rPr>
        <w:t>).</w:t>
      </w:r>
    </w:p>
    <w:p w14:paraId="0600E622" w14:textId="77777777" w:rsidR="008029D7" w:rsidRPr="008029D7" w:rsidRDefault="008029D7" w:rsidP="008F4FE5">
      <w:pPr>
        <w:spacing w:after="0" w:line="360" w:lineRule="auto"/>
        <w:rPr>
          <w:rFonts w:ascii="Arial" w:hAnsi="Arial" w:cs="Arial"/>
          <w:sz w:val="22"/>
          <w:szCs w:val="22"/>
        </w:rPr>
      </w:pPr>
    </w:p>
    <w:p w14:paraId="6B8960C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10533FA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relationship layer integrates company-level ESG performance directly into the graph structure, enabling multidimensional analysis across environmental, social, and governance indicators. The transformation of date formats (d/M/</w:t>
      </w:r>
      <w:proofErr w:type="spellStart"/>
      <w:r w:rsidRPr="008029D7">
        <w:rPr>
          <w:rFonts w:ascii="Arial" w:hAnsi="Arial" w:cs="Arial"/>
          <w:sz w:val="22"/>
          <w:szCs w:val="22"/>
        </w:rPr>
        <w:t>yyyy</w:t>
      </w:r>
      <w:proofErr w:type="spellEnd"/>
      <w:r w:rsidRPr="008029D7">
        <w:rPr>
          <w:rFonts w:ascii="Arial" w:hAnsi="Arial" w:cs="Arial"/>
          <w:sz w:val="22"/>
          <w:szCs w:val="22"/>
        </w:rPr>
        <w:t xml:space="preserve"> to </w:t>
      </w:r>
      <w:proofErr w:type="spellStart"/>
      <w:r w:rsidRPr="008029D7">
        <w:rPr>
          <w:rFonts w:ascii="Arial" w:hAnsi="Arial" w:cs="Arial"/>
          <w:sz w:val="22"/>
          <w:szCs w:val="22"/>
        </w:rPr>
        <w:t>yyyy</w:t>
      </w:r>
      <w:proofErr w:type="spellEnd"/>
      <w:r w:rsidRPr="008029D7">
        <w:rPr>
          <w:rFonts w:ascii="Arial" w:hAnsi="Arial" w:cs="Arial"/>
          <w:sz w:val="22"/>
          <w:szCs w:val="22"/>
        </w:rPr>
        <w:t xml:space="preserve">-MM-dd) ensures consistent temporal tracking of assessments, while the conversion of numeric and </w:t>
      </w:r>
      <w:proofErr w:type="spellStart"/>
      <w:r w:rsidRPr="008029D7">
        <w:rPr>
          <w:rFonts w:ascii="Arial" w:hAnsi="Arial" w:cs="Arial"/>
          <w:sz w:val="22"/>
          <w:szCs w:val="22"/>
        </w:rPr>
        <w:t>boolean</w:t>
      </w:r>
      <w:proofErr w:type="spellEnd"/>
      <w:r w:rsidRPr="008029D7">
        <w:rPr>
          <w:rFonts w:ascii="Arial" w:hAnsi="Arial" w:cs="Arial"/>
          <w:sz w:val="22"/>
          <w:szCs w:val="22"/>
        </w:rPr>
        <w:t xml:space="preserve"> fields improves analytical precision.</w:t>
      </w:r>
    </w:p>
    <w:p w14:paraId="64BE103B" w14:textId="77777777" w:rsidR="008029D7" w:rsidRPr="008029D7" w:rsidRDefault="008029D7" w:rsidP="008F4FE5">
      <w:pPr>
        <w:spacing w:after="0" w:line="360" w:lineRule="auto"/>
        <w:rPr>
          <w:rFonts w:ascii="Arial" w:hAnsi="Arial" w:cs="Arial"/>
          <w:sz w:val="22"/>
          <w:szCs w:val="22"/>
        </w:rPr>
      </w:pPr>
    </w:p>
    <w:p w14:paraId="6A819F7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Analytically, this structure supports temporal trend analysis, score comparison, and data quality validation. The inclusion of granular scores allows stakeholders to explore each ESG dimension independently or in aggregate form (</w:t>
      </w:r>
      <w:proofErr w:type="spellStart"/>
      <w:r w:rsidRPr="008029D7">
        <w:rPr>
          <w:rFonts w:ascii="Arial" w:hAnsi="Arial" w:cs="Arial"/>
          <w:sz w:val="22"/>
          <w:szCs w:val="22"/>
        </w:rPr>
        <w:t>overall_esg_score</w:t>
      </w:r>
      <w:proofErr w:type="spellEnd"/>
      <w:r w:rsidRPr="008029D7">
        <w:rPr>
          <w:rFonts w:ascii="Arial" w:hAnsi="Arial" w:cs="Arial"/>
          <w:sz w:val="22"/>
          <w:szCs w:val="22"/>
        </w:rPr>
        <w:t>). This graph connection forms the analytical backbone for downstream tasks such as weighted ESG rollups, benchmarking, and correlation studies using Neo4j Graph Data Science (GDS) algorithms.</w:t>
      </w:r>
    </w:p>
    <w:p w14:paraId="09CF97FD" w14:textId="77777777" w:rsidR="008029D7" w:rsidRPr="008029D7" w:rsidRDefault="008029D7" w:rsidP="008F4FE5">
      <w:pPr>
        <w:spacing w:after="0" w:line="360" w:lineRule="auto"/>
        <w:rPr>
          <w:rFonts w:ascii="Arial" w:hAnsi="Arial" w:cs="Arial"/>
          <w:sz w:val="22"/>
          <w:szCs w:val="22"/>
        </w:rPr>
      </w:pPr>
    </w:p>
    <w:p w14:paraId="1D87B3AF" w14:textId="093E81A0"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3DFF7D57" wp14:editId="09E74E42">
            <wp:extent cx="4859020" cy="723900"/>
            <wp:effectExtent l="0" t="0" r="0" b="0"/>
            <wp:docPr id="1306827356" name="Picture 6" descr="A black rectangular object with a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27356" name="Picture 6" descr="A black rectangular object with a white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9020" cy="723900"/>
                    </a:xfrm>
                    <a:prstGeom prst="rect">
                      <a:avLst/>
                    </a:prstGeom>
                  </pic:spPr>
                </pic:pic>
              </a:graphicData>
            </a:graphic>
          </wp:inline>
        </w:drawing>
      </w:r>
    </w:p>
    <w:p w14:paraId="7A050CA0" w14:textId="77777777" w:rsidR="008029D7" w:rsidRPr="00AB4451" w:rsidRDefault="008029D7" w:rsidP="00AB4451">
      <w:pPr>
        <w:pStyle w:val="Caption"/>
      </w:pPr>
      <w:r w:rsidRPr="00AB4451">
        <w:t>Figure 12: Importing Fund Manager Data</w:t>
      </w:r>
    </w:p>
    <w:p w14:paraId="2EC23DFA" w14:textId="77777777" w:rsidR="008029D7" w:rsidRPr="008029D7" w:rsidRDefault="008029D7" w:rsidP="008F4FE5">
      <w:pPr>
        <w:spacing w:after="0" w:line="360" w:lineRule="auto"/>
        <w:rPr>
          <w:rFonts w:ascii="Arial" w:hAnsi="Arial" w:cs="Arial"/>
          <w:sz w:val="22"/>
          <w:szCs w:val="22"/>
        </w:rPr>
      </w:pPr>
    </w:p>
    <w:p w14:paraId="6CD0703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fund_manager.csv file was imported into Neo4j to create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nodes, representing individuals responsible for managing investment portfolios. Each node includes attributes such as </w:t>
      </w:r>
      <w:proofErr w:type="spellStart"/>
      <w:r w:rsidRPr="008029D7">
        <w:rPr>
          <w:rFonts w:ascii="Arial" w:hAnsi="Arial" w:cs="Arial"/>
          <w:sz w:val="22"/>
          <w:szCs w:val="22"/>
        </w:rPr>
        <w:t>manager_name</w:t>
      </w:r>
      <w:proofErr w:type="spellEnd"/>
      <w:r w:rsidRPr="008029D7">
        <w:rPr>
          <w:rFonts w:ascii="Arial" w:hAnsi="Arial" w:cs="Arial"/>
          <w:sz w:val="22"/>
          <w:szCs w:val="22"/>
        </w:rPr>
        <w:t xml:space="preserve">, email, specialization, </w:t>
      </w:r>
      <w:proofErr w:type="spellStart"/>
      <w:r w:rsidRPr="008029D7">
        <w:rPr>
          <w:rFonts w:ascii="Arial" w:hAnsi="Arial" w:cs="Arial"/>
          <w:sz w:val="22"/>
          <w:szCs w:val="22"/>
        </w:rPr>
        <w:t>years_experience</w:t>
      </w:r>
      <w:proofErr w:type="spellEnd"/>
      <w:r w:rsidRPr="008029D7">
        <w:rPr>
          <w:rFonts w:ascii="Arial" w:hAnsi="Arial" w:cs="Arial"/>
          <w:sz w:val="22"/>
          <w:szCs w:val="22"/>
        </w:rPr>
        <w:t>, and status, defining managerial expertise and professional scope within the investment network.</w:t>
      </w:r>
    </w:p>
    <w:p w14:paraId="136DEA5D" w14:textId="77777777" w:rsidR="008029D7" w:rsidRPr="008029D7" w:rsidRDefault="008029D7" w:rsidP="008F4FE5">
      <w:pPr>
        <w:spacing w:after="0" w:line="360" w:lineRule="auto"/>
        <w:rPr>
          <w:rFonts w:ascii="Arial" w:hAnsi="Arial" w:cs="Arial"/>
          <w:sz w:val="22"/>
          <w:szCs w:val="22"/>
        </w:rPr>
      </w:pPr>
    </w:p>
    <w:p w14:paraId="7AC4B95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68072A5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import of fund manager data establishes the human oversight component of the graph structure. By capturing attributes like specialization and experience, this dataset enables analysis of managerial expertise distribution and its potential impact on portfolio performance.</w:t>
      </w:r>
    </w:p>
    <w:p w14:paraId="75F0A02D" w14:textId="77777777" w:rsidR="008029D7" w:rsidRPr="008029D7" w:rsidRDefault="008029D7" w:rsidP="008F4FE5">
      <w:pPr>
        <w:spacing w:after="0" w:line="360" w:lineRule="auto"/>
        <w:rPr>
          <w:rFonts w:ascii="Arial" w:hAnsi="Arial" w:cs="Arial"/>
          <w:sz w:val="22"/>
          <w:szCs w:val="22"/>
        </w:rPr>
      </w:pPr>
    </w:p>
    <w:p w14:paraId="2B3DC44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Analytically,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nodes are essential for </w:t>
      </w:r>
      <w:proofErr w:type="spellStart"/>
      <w:r w:rsidRPr="008029D7">
        <w:rPr>
          <w:rFonts w:ascii="Arial" w:hAnsi="Arial" w:cs="Arial"/>
          <w:sz w:val="22"/>
          <w:szCs w:val="22"/>
        </w:rPr>
        <w:t>modeling</w:t>
      </w:r>
      <w:proofErr w:type="spellEnd"/>
      <w:r w:rsidRPr="008029D7">
        <w:rPr>
          <w:rFonts w:ascii="Arial" w:hAnsi="Arial" w:cs="Arial"/>
          <w:sz w:val="22"/>
          <w:szCs w:val="22"/>
        </w:rPr>
        <w:t xml:space="preserve"> organizational hierarchies and decision-making influence. When connected via the </w:t>
      </w:r>
      <w:proofErr w:type="gramStart"/>
      <w:r w:rsidRPr="008029D7">
        <w:rPr>
          <w:rFonts w:ascii="Arial" w:hAnsi="Arial" w:cs="Arial"/>
          <w:sz w:val="22"/>
          <w:szCs w:val="22"/>
        </w:rPr>
        <w:t>[:MANAGES</w:t>
      </w:r>
      <w:proofErr w:type="gramEnd"/>
      <w:r w:rsidRPr="008029D7">
        <w:rPr>
          <w:rFonts w:ascii="Arial" w:hAnsi="Arial" w:cs="Arial"/>
          <w:sz w:val="22"/>
          <w:szCs w:val="22"/>
        </w:rPr>
        <w:t xml:space="preserve">] relationship to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nodes, they allow for querying management responsibility, </w:t>
      </w:r>
      <w:proofErr w:type="spellStart"/>
      <w:r w:rsidRPr="008029D7">
        <w:rPr>
          <w:rFonts w:ascii="Arial" w:hAnsi="Arial" w:cs="Arial"/>
          <w:sz w:val="22"/>
          <w:szCs w:val="22"/>
        </w:rPr>
        <w:t>analyzing</w:t>
      </w:r>
      <w:proofErr w:type="spellEnd"/>
      <w:r w:rsidRPr="008029D7">
        <w:rPr>
          <w:rFonts w:ascii="Arial" w:hAnsi="Arial" w:cs="Arial"/>
          <w:sz w:val="22"/>
          <w:szCs w:val="22"/>
        </w:rPr>
        <w:t xml:space="preserve"> performance correlation between manager experience and fund outcomes, and visualizing professional linkages within the financial ecosystem. This creates a human-centric layer that complements the financial and ESG data models in Neo4j.</w:t>
      </w:r>
    </w:p>
    <w:p w14:paraId="7B9EA649" w14:textId="77777777" w:rsidR="008029D7" w:rsidRPr="008029D7" w:rsidRDefault="008029D7" w:rsidP="008F4FE5">
      <w:pPr>
        <w:spacing w:after="0" w:line="360" w:lineRule="auto"/>
        <w:rPr>
          <w:rFonts w:ascii="Arial" w:hAnsi="Arial" w:cs="Arial"/>
          <w:sz w:val="22"/>
          <w:szCs w:val="22"/>
        </w:rPr>
      </w:pPr>
    </w:p>
    <w:p w14:paraId="08D5C530" w14:textId="462C2500" w:rsidR="008029D7" w:rsidRPr="008029D7" w:rsidRDefault="002C75FE" w:rsidP="008F4FE5">
      <w:pPr>
        <w:spacing w:after="0" w:line="360" w:lineRule="auto"/>
        <w:rPr>
          <w:rFonts w:ascii="Arial" w:hAnsi="Arial" w:cs="Arial"/>
          <w:sz w:val="22"/>
          <w:szCs w:val="22"/>
        </w:rPr>
      </w:pPr>
      <w:r>
        <w:rPr>
          <w:b/>
          <w:bCs/>
          <w:noProof/>
        </w:rPr>
        <w:lastRenderedPageBreak/>
        <w:drawing>
          <wp:inline distT="0" distB="0" distL="0" distR="0" wp14:anchorId="26943C61" wp14:editId="0F429F56">
            <wp:extent cx="4859020" cy="1762760"/>
            <wp:effectExtent l="0" t="0" r="0" b="8890"/>
            <wp:docPr id="545454812"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4812" name="Picture 7" descr="A screen 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9020" cy="1762760"/>
                    </a:xfrm>
                    <a:prstGeom prst="rect">
                      <a:avLst/>
                    </a:prstGeom>
                  </pic:spPr>
                </pic:pic>
              </a:graphicData>
            </a:graphic>
          </wp:inline>
        </w:drawing>
      </w:r>
    </w:p>
    <w:p w14:paraId="0BFA704C" w14:textId="77777777" w:rsidR="008029D7" w:rsidRPr="00AB4451" w:rsidRDefault="008029D7" w:rsidP="00AB4451">
      <w:pPr>
        <w:pStyle w:val="Caption"/>
      </w:pPr>
      <w:r w:rsidRPr="00AB4451">
        <w:t>Figure 13: Importing Investment Fund Data</w:t>
      </w:r>
    </w:p>
    <w:p w14:paraId="21B2CD62" w14:textId="77777777" w:rsidR="008029D7" w:rsidRPr="008029D7" w:rsidRDefault="008029D7" w:rsidP="008F4FE5">
      <w:pPr>
        <w:spacing w:after="0" w:line="360" w:lineRule="auto"/>
        <w:rPr>
          <w:rFonts w:ascii="Arial" w:hAnsi="Arial" w:cs="Arial"/>
          <w:sz w:val="22"/>
          <w:szCs w:val="22"/>
        </w:rPr>
      </w:pPr>
    </w:p>
    <w:p w14:paraId="637DDDC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Data from the investment_fund.csv file was imported into Neo4j to create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nodes. Each node captures essential fund characteristics such as </w:t>
      </w:r>
      <w:proofErr w:type="spellStart"/>
      <w:r w:rsidRPr="008029D7">
        <w:rPr>
          <w:rFonts w:ascii="Arial" w:hAnsi="Arial" w:cs="Arial"/>
          <w:sz w:val="22"/>
          <w:szCs w:val="22"/>
        </w:rPr>
        <w:t>fund_code</w:t>
      </w:r>
      <w:proofErr w:type="spellEnd"/>
      <w:r w:rsidRPr="008029D7">
        <w:rPr>
          <w:rFonts w:ascii="Arial" w:hAnsi="Arial" w:cs="Arial"/>
          <w:sz w:val="22"/>
          <w:szCs w:val="22"/>
        </w:rPr>
        <w:t xml:space="preserve">, </w:t>
      </w:r>
      <w:proofErr w:type="spellStart"/>
      <w:r w:rsidRPr="008029D7">
        <w:rPr>
          <w:rFonts w:ascii="Arial" w:hAnsi="Arial" w:cs="Arial"/>
          <w:sz w:val="22"/>
          <w:szCs w:val="22"/>
        </w:rPr>
        <w:t>fund_name</w:t>
      </w:r>
      <w:proofErr w:type="spellEnd"/>
      <w:r w:rsidRPr="008029D7">
        <w:rPr>
          <w:rFonts w:ascii="Arial" w:hAnsi="Arial" w:cs="Arial"/>
          <w:sz w:val="22"/>
          <w:szCs w:val="22"/>
        </w:rPr>
        <w:t xml:space="preserve">, </w:t>
      </w:r>
      <w:proofErr w:type="spellStart"/>
      <w:r w:rsidRPr="008029D7">
        <w:rPr>
          <w:rFonts w:ascii="Arial" w:hAnsi="Arial" w:cs="Arial"/>
          <w:sz w:val="22"/>
          <w:szCs w:val="22"/>
        </w:rPr>
        <w:t>fund_type</w:t>
      </w:r>
      <w:proofErr w:type="spellEnd"/>
      <w:r w:rsidRPr="008029D7">
        <w:rPr>
          <w:rFonts w:ascii="Arial" w:hAnsi="Arial" w:cs="Arial"/>
          <w:sz w:val="22"/>
          <w:szCs w:val="22"/>
        </w:rPr>
        <w:t xml:space="preserve">, </w:t>
      </w:r>
      <w:proofErr w:type="spellStart"/>
      <w:r w:rsidRPr="008029D7">
        <w:rPr>
          <w:rFonts w:ascii="Arial" w:hAnsi="Arial" w:cs="Arial"/>
          <w:sz w:val="22"/>
          <w:szCs w:val="22"/>
        </w:rPr>
        <w:t>esg_strategy</w:t>
      </w:r>
      <w:proofErr w:type="spellEnd"/>
      <w:r w:rsidRPr="008029D7">
        <w:rPr>
          <w:rFonts w:ascii="Arial" w:hAnsi="Arial" w:cs="Arial"/>
          <w:sz w:val="22"/>
          <w:szCs w:val="22"/>
        </w:rPr>
        <w:t xml:space="preserve">, </w:t>
      </w:r>
      <w:proofErr w:type="spellStart"/>
      <w:r w:rsidRPr="008029D7">
        <w:rPr>
          <w:rFonts w:ascii="Arial" w:hAnsi="Arial" w:cs="Arial"/>
          <w:sz w:val="22"/>
          <w:szCs w:val="22"/>
        </w:rPr>
        <w:t>total_assets</w:t>
      </w:r>
      <w:proofErr w:type="spellEnd"/>
      <w:r w:rsidRPr="008029D7">
        <w:rPr>
          <w:rFonts w:ascii="Arial" w:hAnsi="Arial" w:cs="Arial"/>
          <w:sz w:val="22"/>
          <w:szCs w:val="22"/>
        </w:rPr>
        <w:t xml:space="preserve">, </w:t>
      </w:r>
      <w:proofErr w:type="spellStart"/>
      <w:r w:rsidRPr="008029D7">
        <w:rPr>
          <w:rFonts w:ascii="Arial" w:hAnsi="Arial" w:cs="Arial"/>
          <w:sz w:val="22"/>
          <w:szCs w:val="22"/>
        </w:rPr>
        <w:t>inception_date</w:t>
      </w:r>
      <w:proofErr w:type="spellEnd"/>
      <w:r w:rsidRPr="008029D7">
        <w:rPr>
          <w:rFonts w:ascii="Arial" w:hAnsi="Arial" w:cs="Arial"/>
          <w:sz w:val="22"/>
          <w:szCs w:val="22"/>
        </w:rPr>
        <w:t xml:space="preserve">, </w:t>
      </w:r>
      <w:proofErr w:type="spellStart"/>
      <w:r w:rsidRPr="008029D7">
        <w:rPr>
          <w:rFonts w:ascii="Arial" w:hAnsi="Arial" w:cs="Arial"/>
          <w:sz w:val="22"/>
          <w:szCs w:val="22"/>
        </w:rPr>
        <w:t>manager_id</w:t>
      </w:r>
      <w:proofErr w:type="spellEnd"/>
      <w:r w:rsidRPr="008029D7">
        <w:rPr>
          <w:rFonts w:ascii="Arial" w:hAnsi="Arial" w:cs="Arial"/>
          <w:sz w:val="22"/>
          <w:szCs w:val="22"/>
        </w:rPr>
        <w:t xml:space="preserve">, and </w:t>
      </w:r>
      <w:proofErr w:type="spellStart"/>
      <w:r w:rsidRPr="008029D7">
        <w:rPr>
          <w:rFonts w:ascii="Arial" w:hAnsi="Arial" w:cs="Arial"/>
          <w:sz w:val="22"/>
          <w:szCs w:val="22"/>
        </w:rPr>
        <w:t>minimum_esg_score</w:t>
      </w:r>
      <w:proofErr w:type="spellEnd"/>
      <w:r w:rsidRPr="008029D7">
        <w:rPr>
          <w:rFonts w:ascii="Arial" w:hAnsi="Arial" w:cs="Arial"/>
          <w:sz w:val="22"/>
          <w:szCs w:val="22"/>
        </w:rPr>
        <w:t>. The query also converts inconsistent date formats into ISO standard (</w:t>
      </w:r>
      <w:proofErr w:type="spellStart"/>
      <w:r w:rsidRPr="008029D7">
        <w:rPr>
          <w:rFonts w:ascii="Arial" w:hAnsi="Arial" w:cs="Arial"/>
          <w:sz w:val="22"/>
          <w:szCs w:val="22"/>
        </w:rPr>
        <w:t>yyyy</w:t>
      </w:r>
      <w:proofErr w:type="spellEnd"/>
      <w:r w:rsidRPr="008029D7">
        <w:rPr>
          <w:rFonts w:ascii="Arial" w:hAnsi="Arial" w:cs="Arial"/>
          <w:sz w:val="22"/>
          <w:szCs w:val="22"/>
        </w:rPr>
        <w:t>-MM-dd) to maintain uniformity across all records.</w:t>
      </w:r>
    </w:p>
    <w:p w14:paraId="6EB2D9F6" w14:textId="77777777" w:rsidR="008029D7" w:rsidRPr="008029D7" w:rsidRDefault="008029D7" w:rsidP="008F4FE5">
      <w:pPr>
        <w:spacing w:after="0" w:line="360" w:lineRule="auto"/>
        <w:rPr>
          <w:rFonts w:ascii="Arial" w:hAnsi="Arial" w:cs="Arial"/>
          <w:sz w:val="22"/>
          <w:szCs w:val="22"/>
        </w:rPr>
      </w:pPr>
    </w:p>
    <w:p w14:paraId="5E60A01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3BE95CA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creation of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nodes establishes the financial backbone of the graph model, representing distinct funds managed under various ESG investment strategies. By normalizing dates and converting numeric attributes such as </w:t>
      </w:r>
      <w:proofErr w:type="spellStart"/>
      <w:r w:rsidRPr="008029D7">
        <w:rPr>
          <w:rFonts w:ascii="Arial" w:hAnsi="Arial" w:cs="Arial"/>
          <w:sz w:val="22"/>
          <w:szCs w:val="22"/>
        </w:rPr>
        <w:t>total_assets</w:t>
      </w:r>
      <w:proofErr w:type="spellEnd"/>
      <w:r w:rsidRPr="008029D7">
        <w:rPr>
          <w:rFonts w:ascii="Arial" w:hAnsi="Arial" w:cs="Arial"/>
          <w:sz w:val="22"/>
          <w:szCs w:val="22"/>
        </w:rPr>
        <w:t xml:space="preserve"> and </w:t>
      </w:r>
      <w:proofErr w:type="spellStart"/>
      <w:r w:rsidRPr="008029D7">
        <w:rPr>
          <w:rFonts w:ascii="Arial" w:hAnsi="Arial" w:cs="Arial"/>
          <w:sz w:val="22"/>
          <w:szCs w:val="22"/>
        </w:rPr>
        <w:t>minimum_esg_score</w:t>
      </w:r>
      <w:proofErr w:type="spellEnd"/>
      <w:r w:rsidRPr="008029D7">
        <w:rPr>
          <w:rFonts w:ascii="Arial" w:hAnsi="Arial" w:cs="Arial"/>
          <w:sz w:val="22"/>
          <w:szCs w:val="22"/>
        </w:rPr>
        <w:t>, the dataset ensures analytical accuracy for future queries.</w:t>
      </w:r>
    </w:p>
    <w:p w14:paraId="02946084" w14:textId="77777777" w:rsidR="008029D7" w:rsidRPr="008029D7" w:rsidRDefault="008029D7" w:rsidP="008F4FE5">
      <w:pPr>
        <w:spacing w:after="0" w:line="360" w:lineRule="auto"/>
        <w:rPr>
          <w:rFonts w:ascii="Arial" w:hAnsi="Arial" w:cs="Arial"/>
          <w:sz w:val="22"/>
          <w:szCs w:val="22"/>
        </w:rPr>
      </w:pPr>
    </w:p>
    <w:p w14:paraId="1147665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Analytically, this import enables fund-level performance analysis, ESG compliance evaluation, and cross-comparison between fund strategies and asset sizes. When linked to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and Company nodes via </w:t>
      </w:r>
      <w:proofErr w:type="gramStart"/>
      <w:r w:rsidRPr="008029D7">
        <w:rPr>
          <w:rFonts w:ascii="Arial" w:hAnsi="Arial" w:cs="Arial"/>
          <w:sz w:val="22"/>
          <w:szCs w:val="22"/>
        </w:rPr>
        <w:t>[:MANAGES</w:t>
      </w:r>
      <w:proofErr w:type="gramEnd"/>
      <w:r w:rsidRPr="008029D7">
        <w:rPr>
          <w:rFonts w:ascii="Arial" w:hAnsi="Arial" w:cs="Arial"/>
          <w:sz w:val="22"/>
          <w:szCs w:val="22"/>
        </w:rPr>
        <w:t xml:space="preserve">] and </w:t>
      </w:r>
      <w:proofErr w:type="gramStart"/>
      <w:r w:rsidRPr="008029D7">
        <w:rPr>
          <w:rFonts w:ascii="Arial" w:hAnsi="Arial" w:cs="Arial"/>
          <w:sz w:val="22"/>
          <w:szCs w:val="22"/>
        </w:rPr>
        <w:t>[:HOLDS</w:t>
      </w:r>
      <w:proofErr w:type="gramEnd"/>
      <w:r w:rsidRPr="008029D7">
        <w:rPr>
          <w:rFonts w:ascii="Arial" w:hAnsi="Arial" w:cs="Arial"/>
          <w:sz w:val="22"/>
          <w:szCs w:val="22"/>
        </w:rPr>
        <w:t>] relationships, these nodes allow deeper exploration of investment hierarchies and portfolio structures. This forms a key analytical layer for tracking fund composition, managerial oversight, and overall ESG alignment within the investment ecosystem.</w:t>
      </w:r>
    </w:p>
    <w:p w14:paraId="7B2F09C0" w14:textId="77777777" w:rsidR="008029D7" w:rsidRPr="008029D7" w:rsidRDefault="008029D7" w:rsidP="008F4FE5">
      <w:pPr>
        <w:spacing w:after="0" w:line="360" w:lineRule="auto"/>
        <w:rPr>
          <w:rFonts w:ascii="Arial" w:hAnsi="Arial" w:cs="Arial"/>
          <w:sz w:val="22"/>
          <w:szCs w:val="22"/>
        </w:rPr>
      </w:pPr>
    </w:p>
    <w:p w14:paraId="54A22AA6" w14:textId="12BA6422"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13A02D8B" wp14:editId="057C5E84">
            <wp:extent cx="4859020" cy="917575"/>
            <wp:effectExtent l="0" t="0" r="0" b="0"/>
            <wp:docPr id="2008559327" name="Picture 8"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9327" name="Picture 8" descr="A black background with whit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9020" cy="917575"/>
                    </a:xfrm>
                    <a:prstGeom prst="rect">
                      <a:avLst/>
                    </a:prstGeom>
                  </pic:spPr>
                </pic:pic>
              </a:graphicData>
            </a:graphic>
          </wp:inline>
        </w:drawing>
      </w:r>
    </w:p>
    <w:p w14:paraId="6C4B05CF" w14:textId="77777777" w:rsidR="008029D7" w:rsidRPr="00AB4451" w:rsidRDefault="008029D7" w:rsidP="00AB4451">
      <w:pPr>
        <w:pStyle w:val="Caption"/>
      </w:pPr>
      <w:r w:rsidRPr="00AB4451">
        <w:t>Figure 14: Importing Portfolio Company Data</w:t>
      </w:r>
    </w:p>
    <w:p w14:paraId="152AB86F" w14:textId="77777777" w:rsidR="008029D7" w:rsidRPr="008029D7" w:rsidRDefault="008029D7" w:rsidP="008F4FE5">
      <w:pPr>
        <w:spacing w:after="0" w:line="360" w:lineRule="auto"/>
        <w:rPr>
          <w:rFonts w:ascii="Arial" w:hAnsi="Arial" w:cs="Arial"/>
          <w:sz w:val="22"/>
          <w:szCs w:val="22"/>
        </w:rPr>
      </w:pPr>
    </w:p>
    <w:p w14:paraId="22F232E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 xml:space="preserve">The portfolio_company.csv file was imported to create Company nodes representing the firms included in various investment portfolios. Each node captures key company attributes such as </w:t>
      </w:r>
      <w:proofErr w:type="spellStart"/>
      <w:r w:rsidRPr="008029D7">
        <w:rPr>
          <w:rFonts w:ascii="Arial" w:hAnsi="Arial" w:cs="Arial"/>
          <w:sz w:val="22"/>
          <w:szCs w:val="22"/>
        </w:rPr>
        <w:t>company_name</w:t>
      </w:r>
      <w:proofErr w:type="spellEnd"/>
      <w:r w:rsidRPr="008029D7">
        <w:rPr>
          <w:rFonts w:ascii="Arial" w:hAnsi="Arial" w:cs="Arial"/>
          <w:sz w:val="22"/>
          <w:szCs w:val="22"/>
        </w:rPr>
        <w:t xml:space="preserve">, </w:t>
      </w:r>
      <w:proofErr w:type="spellStart"/>
      <w:r w:rsidRPr="008029D7">
        <w:rPr>
          <w:rFonts w:ascii="Arial" w:hAnsi="Arial" w:cs="Arial"/>
          <w:sz w:val="22"/>
          <w:szCs w:val="22"/>
        </w:rPr>
        <w:t>ticker_symbol</w:t>
      </w:r>
      <w:proofErr w:type="spellEnd"/>
      <w:r w:rsidRPr="008029D7">
        <w:rPr>
          <w:rFonts w:ascii="Arial" w:hAnsi="Arial" w:cs="Arial"/>
          <w:sz w:val="22"/>
          <w:szCs w:val="22"/>
        </w:rPr>
        <w:t xml:space="preserve">, country, </w:t>
      </w:r>
      <w:proofErr w:type="spellStart"/>
      <w:r w:rsidRPr="008029D7">
        <w:rPr>
          <w:rFonts w:ascii="Arial" w:hAnsi="Arial" w:cs="Arial"/>
          <w:sz w:val="22"/>
          <w:szCs w:val="22"/>
        </w:rPr>
        <w:t>industry_sector</w:t>
      </w:r>
      <w:proofErr w:type="spellEnd"/>
      <w:r w:rsidRPr="008029D7">
        <w:rPr>
          <w:rFonts w:ascii="Arial" w:hAnsi="Arial" w:cs="Arial"/>
          <w:sz w:val="22"/>
          <w:szCs w:val="22"/>
        </w:rPr>
        <w:t xml:space="preserve">, </w:t>
      </w:r>
      <w:proofErr w:type="spellStart"/>
      <w:r w:rsidRPr="008029D7">
        <w:rPr>
          <w:rFonts w:ascii="Arial" w:hAnsi="Arial" w:cs="Arial"/>
          <w:sz w:val="22"/>
          <w:szCs w:val="22"/>
        </w:rPr>
        <w:t>market_capitalization</w:t>
      </w:r>
      <w:proofErr w:type="spellEnd"/>
      <w:r w:rsidRPr="008029D7">
        <w:rPr>
          <w:rFonts w:ascii="Arial" w:hAnsi="Arial" w:cs="Arial"/>
          <w:sz w:val="22"/>
          <w:szCs w:val="22"/>
        </w:rPr>
        <w:t xml:space="preserve">, </w:t>
      </w:r>
      <w:proofErr w:type="spellStart"/>
      <w:r w:rsidRPr="008029D7">
        <w:rPr>
          <w:rFonts w:ascii="Arial" w:hAnsi="Arial" w:cs="Arial"/>
          <w:sz w:val="22"/>
          <w:szCs w:val="22"/>
        </w:rPr>
        <w:t>employee_count</w:t>
      </w:r>
      <w:proofErr w:type="spellEnd"/>
      <w:r w:rsidRPr="008029D7">
        <w:rPr>
          <w:rFonts w:ascii="Arial" w:hAnsi="Arial" w:cs="Arial"/>
          <w:sz w:val="22"/>
          <w:szCs w:val="22"/>
        </w:rPr>
        <w:t xml:space="preserve">, and </w:t>
      </w:r>
      <w:proofErr w:type="spellStart"/>
      <w:r w:rsidRPr="008029D7">
        <w:rPr>
          <w:rFonts w:ascii="Arial" w:hAnsi="Arial" w:cs="Arial"/>
          <w:sz w:val="22"/>
          <w:szCs w:val="22"/>
        </w:rPr>
        <w:t>headquarters_city</w:t>
      </w:r>
      <w:proofErr w:type="spellEnd"/>
      <w:r w:rsidRPr="008029D7">
        <w:rPr>
          <w:rFonts w:ascii="Arial" w:hAnsi="Arial" w:cs="Arial"/>
          <w:sz w:val="22"/>
          <w:szCs w:val="22"/>
        </w:rPr>
        <w:t xml:space="preserve">. Data type conversions were applied to ensure numerical fields like </w:t>
      </w:r>
      <w:proofErr w:type="spellStart"/>
      <w:r w:rsidRPr="008029D7">
        <w:rPr>
          <w:rFonts w:ascii="Arial" w:hAnsi="Arial" w:cs="Arial"/>
          <w:sz w:val="22"/>
          <w:szCs w:val="22"/>
        </w:rPr>
        <w:t>market_capitalization</w:t>
      </w:r>
      <w:proofErr w:type="spellEnd"/>
      <w:r w:rsidRPr="008029D7">
        <w:rPr>
          <w:rFonts w:ascii="Arial" w:hAnsi="Arial" w:cs="Arial"/>
          <w:sz w:val="22"/>
          <w:szCs w:val="22"/>
        </w:rPr>
        <w:t xml:space="preserve"> and </w:t>
      </w:r>
      <w:proofErr w:type="spellStart"/>
      <w:r w:rsidRPr="008029D7">
        <w:rPr>
          <w:rFonts w:ascii="Arial" w:hAnsi="Arial" w:cs="Arial"/>
          <w:sz w:val="22"/>
          <w:szCs w:val="22"/>
        </w:rPr>
        <w:t>employee_count</w:t>
      </w:r>
      <w:proofErr w:type="spellEnd"/>
      <w:r w:rsidRPr="008029D7">
        <w:rPr>
          <w:rFonts w:ascii="Arial" w:hAnsi="Arial" w:cs="Arial"/>
          <w:sz w:val="22"/>
          <w:szCs w:val="22"/>
        </w:rPr>
        <w:t xml:space="preserve"> are stored as numeric values for accurate analysis.</w:t>
      </w:r>
    </w:p>
    <w:p w14:paraId="40975A5A" w14:textId="77777777" w:rsidR="008029D7" w:rsidRPr="008029D7" w:rsidRDefault="008029D7" w:rsidP="008F4FE5">
      <w:pPr>
        <w:spacing w:after="0" w:line="360" w:lineRule="auto"/>
        <w:rPr>
          <w:rFonts w:ascii="Arial" w:hAnsi="Arial" w:cs="Arial"/>
          <w:sz w:val="22"/>
          <w:szCs w:val="22"/>
        </w:rPr>
      </w:pPr>
    </w:p>
    <w:p w14:paraId="0971FC6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74EC966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integration of company data forms the corporate layer of the graph structure, enabling detailed portfolio and sectoral analysis. By defining companies as nodes, Neo4j supports graph-based exploration of investment relationships, sector exposure, and ESG performance mapping.</w:t>
      </w:r>
    </w:p>
    <w:p w14:paraId="33526327" w14:textId="77777777" w:rsidR="008029D7" w:rsidRPr="008029D7" w:rsidRDefault="008029D7" w:rsidP="008F4FE5">
      <w:pPr>
        <w:spacing w:after="0" w:line="360" w:lineRule="auto"/>
        <w:rPr>
          <w:rFonts w:ascii="Arial" w:hAnsi="Arial" w:cs="Arial"/>
          <w:sz w:val="22"/>
          <w:szCs w:val="22"/>
        </w:rPr>
      </w:pPr>
    </w:p>
    <w:p w14:paraId="7AB2AD8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Analytically, these nodes play a central role in connecting the financial (</w:t>
      </w:r>
      <w:proofErr w:type="spellStart"/>
      <w:r w:rsidRPr="008029D7">
        <w:rPr>
          <w:rFonts w:ascii="Arial" w:hAnsi="Arial" w:cs="Arial"/>
          <w:sz w:val="22"/>
          <w:szCs w:val="22"/>
        </w:rPr>
        <w:t>InvestmentFund</w:t>
      </w:r>
      <w:proofErr w:type="spellEnd"/>
      <w:r w:rsidRPr="008029D7">
        <w:rPr>
          <w:rFonts w:ascii="Arial" w:hAnsi="Arial" w:cs="Arial"/>
          <w:sz w:val="22"/>
          <w:szCs w:val="22"/>
        </w:rPr>
        <w:t>) and sustainability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w:t>
      </w:r>
      <w:proofErr w:type="spellStart"/>
      <w:r w:rsidRPr="008029D7">
        <w:rPr>
          <w:rFonts w:ascii="Arial" w:hAnsi="Arial" w:cs="Arial"/>
          <w:sz w:val="22"/>
          <w:szCs w:val="22"/>
        </w:rPr>
        <w:t>ESGPerformance</w:t>
      </w:r>
      <w:proofErr w:type="spellEnd"/>
      <w:r w:rsidRPr="008029D7">
        <w:rPr>
          <w:rFonts w:ascii="Arial" w:hAnsi="Arial" w:cs="Arial"/>
          <w:sz w:val="22"/>
          <w:szCs w:val="22"/>
        </w:rPr>
        <w:t xml:space="preserve">) dimensions of the model. With properties such as market capitalization and industry classification, the graph enables cross-sector comparison, geographical aggregation, and investment exposure analysis. This foundation supports complex use cases such as identifying high-performing industries, measuring ESG integration by sector, and </w:t>
      </w:r>
      <w:proofErr w:type="spellStart"/>
      <w:r w:rsidRPr="008029D7">
        <w:rPr>
          <w:rFonts w:ascii="Arial" w:hAnsi="Arial" w:cs="Arial"/>
          <w:sz w:val="22"/>
          <w:szCs w:val="22"/>
        </w:rPr>
        <w:t>analyzing</w:t>
      </w:r>
      <w:proofErr w:type="spellEnd"/>
      <w:r w:rsidRPr="008029D7">
        <w:rPr>
          <w:rFonts w:ascii="Arial" w:hAnsi="Arial" w:cs="Arial"/>
          <w:sz w:val="22"/>
          <w:szCs w:val="22"/>
        </w:rPr>
        <w:t xml:space="preserve"> portfolio concentration risk.</w:t>
      </w:r>
    </w:p>
    <w:p w14:paraId="33B6FBA4" w14:textId="77777777" w:rsidR="008029D7" w:rsidRPr="008029D7" w:rsidRDefault="008029D7" w:rsidP="008F4FE5">
      <w:pPr>
        <w:spacing w:after="0" w:line="360" w:lineRule="auto"/>
        <w:rPr>
          <w:rFonts w:ascii="Arial" w:hAnsi="Arial" w:cs="Arial"/>
          <w:sz w:val="22"/>
          <w:szCs w:val="22"/>
        </w:rPr>
      </w:pPr>
    </w:p>
    <w:p w14:paraId="0DE08AE3"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3.4 Relationship Creation</w:t>
      </w:r>
    </w:p>
    <w:p w14:paraId="7A3CE4CD" w14:textId="77777777" w:rsidR="008029D7" w:rsidRPr="008029D7" w:rsidRDefault="008029D7" w:rsidP="008F4FE5">
      <w:pPr>
        <w:spacing w:after="0" w:line="360" w:lineRule="auto"/>
        <w:rPr>
          <w:rFonts w:ascii="Arial" w:hAnsi="Arial" w:cs="Arial"/>
          <w:sz w:val="22"/>
          <w:szCs w:val="22"/>
        </w:rPr>
      </w:pPr>
    </w:p>
    <w:p w14:paraId="02339252" w14:textId="7E67B7D7"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6C04B10F" wp14:editId="21B3B03A">
            <wp:extent cx="4859020" cy="2389505"/>
            <wp:effectExtent l="0" t="0" r="0" b="0"/>
            <wp:docPr id="1563490220"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0220" name="Picture 10"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9020" cy="2389505"/>
                    </a:xfrm>
                    <a:prstGeom prst="rect">
                      <a:avLst/>
                    </a:prstGeom>
                  </pic:spPr>
                </pic:pic>
              </a:graphicData>
            </a:graphic>
          </wp:inline>
        </w:drawing>
      </w:r>
    </w:p>
    <w:p w14:paraId="0F811295" w14:textId="77777777" w:rsidR="008029D7" w:rsidRPr="00AB4451" w:rsidRDefault="008029D7" w:rsidP="00AB4451">
      <w:pPr>
        <w:pStyle w:val="Caption"/>
      </w:pPr>
      <w:r w:rsidRPr="00AB4451">
        <w:t>Figure 15: Creating Investment Position and Manager-Fund Relationships</w:t>
      </w:r>
    </w:p>
    <w:p w14:paraId="65B299D9" w14:textId="77777777" w:rsidR="008029D7" w:rsidRPr="008029D7" w:rsidRDefault="008029D7" w:rsidP="008F4FE5">
      <w:pPr>
        <w:spacing w:after="0" w:line="360" w:lineRule="auto"/>
        <w:rPr>
          <w:rFonts w:ascii="Arial" w:hAnsi="Arial" w:cs="Arial"/>
          <w:sz w:val="22"/>
          <w:szCs w:val="22"/>
        </w:rPr>
      </w:pPr>
    </w:p>
    <w:p w14:paraId="0FC501C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investment_position.csv file was used to establish </w:t>
      </w:r>
      <w:proofErr w:type="gramStart"/>
      <w:r w:rsidRPr="008029D7">
        <w:rPr>
          <w:rFonts w:ascii="Arial" w:hAnsi="Arial" w:cs="Arial"/>
          <w:sz w:val="22"/>
          <w:szCs w:val="22"/>
        </w:rPr>
        <w:t>[:HOLDS</w:t>
      </w:r>
      <w:proofErr w:type="gramEnd"/>
      <w:r w:rsidRPr="008029D7">
        <w:rPr>
          <w:rFonts w:ascii="Arial" w:hAnsi="Arial" w:cs="Arial"/>
          <w:sz w:val="22"/>
          <w:szCs w:val="22"/>
        </w:rPr>
        <w:t xml:space="preserve">] relationships between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and Company nodes. Each relationship carries key attributes such as </w:t>
      </w:r>
      <w:proofErr w:type="spellStart"/>
      <w:r w:rsidRPr="008029D7">
        <w:rPr>
          <w:rFonts w:ascii="Arial" w:hAnsi="Arial" w:cs="Arial"/>
          <w:sz w:val="22"/>
          <w:szCs w:val="22"/>
        </w:rPr>
        <w:lastRenderedPageBreak/>
        <w:t>position_date</w:t>
      </w:r>
      <w:proofErr w:type="spellEnd"/>
      <w:r w:rsidRPr="008029D7">
        <w:rPr>
          <w:rFonts w:ascii="Arial" w:hAnsi="Arial" w:cs="Arial"/>
          <w:sz w:val="22"/>
          <w:szCs w:val="22"/>
        </w:rPr>
        <w:t xml:space="preserve">, </w:t>
      </w:r>
      <w:proofErr w:type="spellStart"/>
      <w:r w:rsidRPr="008029D7">
        <w:rPr>
          <w:rFonts w:ascii="Arial" w:hAnsi="Arial" w:cs="Arial"/>
          <w:sz w:val="22"/>
          <w:szCs w:val="22"/>
        </w:rPr>
        <w:t>position_value</w:t>
      </w:r>
      <w:proofErr w:type="spellEnd"/>
      <w:r w:rsidRPr="008029D7">
        <w:rPr>
          <w:rFonts w:ascii="Arial" w:hAnsi="Arial" w:cs="Arial"/>
          <w:sz w:val="22"/>
          <w:szCs w:val="22"/>
        </w:rPr>
        <w:t xml:space="preserve">, and </w:t>
      </w:r>
      <w:proofErr w:type="spellStart"/>
      <w:r w:rsidRPr="008029D7">
        <w:rPr>
          <w:rFonts w:ascii="Arial" w:hAnsi="Arial" w:cs="Arial"/>
          <w:sz w:val="22"/>
          <w:szCs w:val="22"/>
        </w:rPr>
        <w:t>weight_in_portfolio</w:t>
      </w:r>
      <w:proofErr w:type="spellEnd"/>
      <w:r w:rsidRPr="008029D7">
        <w:rPr>
          <w:rFonts w:ascii="Arial" w:hAnsi="Arial" w:cs="Arial"/>
          <w:sz w:val="22"/>
          <w:szCs w:val="22"/>
        </w:rPr>
        <w:t>. To ensure accurate temporal consistency, date formats were standardized to the ISO (</w:t>
      </w:r>
      <w:proofErr w:type="spellStart"/>
      <w:r w:rsidRPr="008029D7">
        <w:rPr>
          <w:rFonts w:ascii="Arial" w:hAnsi="Arial" w:cs="Arial"/>
          <w:sz w:val="22"/>
          <w:szCs w:val="22"/>
        </w:rPr>
        <w:t>yyyy</w:t>
      </w:r>
      <w:proofErr w:type="spellEnd"/>
      <w:r w:rsidRPr="008029D7">
        <w:rPr>
          <w:rFonts w:ascii="Arial" w:hAnsi="Arial" w:cs="Arial"/>
          <w:sz w:val="22"/>
          <w:szCs w:val="22"/>
        </w:rPr>
        <w:t>-MM-dd) structure.</w:t>
      </w:r>
    </w:p>
    <w:p w14:paraId="13E146D9" w14:textId="77777777" w:rsidR="008029D7" w:rsidRPr="008029D7" w:rsidRDefault="008029D7" w:rsidP="008F4FE5">
      <w:pPr>
        <w:spacing w:after="0" w:line="360" w:lineRule="auto"/>
        <w:rPr>
          <w:rFonts w:ascii="Arial" w:hAnsi="Arial" w:cs="Arial"/>
          <w:sz w:val="22"/>
          <w:szCs w:val="22"/>
        </w:rPr>
      </w:pPr>
    </w:p>
    <w:p w14:paraId="44679E5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Additionally, a second query links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and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nodes via the </w:t>
      </w:r>
      <w:proofErr w:type="gramStart"/>
      <w:r w:rsidRPr="008029D7">
        <w:rPr>
          <w:rFonts w:ascii="Arial" w:hAnsi="Arial" w:cs="Arial"/>
          <w:sz w:val="22"/>
          <w:szCs w:val="22"/>
        </w:rPr>
        <w:t>[:MANAGES</w:t>
      </w:r>
      <w:proofErr w:type="gramEnd"/>
      <w:r w:rsidRPr="008029D7">
        <w:rPr>
          <w:rFonts w:ascii="Arial" w:hAnsi="Arial" w:cs="Arial"/>
          <w:sz w:val="22"/>
          <w:szCs w:val="22"/>
        </w:rPr>
        <w:t xml:space="preserve">] relationship, using </w:t>
      </w:r>
      <w:proofErr w:type="spellStart"/>
      <w:r w:rsidRPr="008029D7">
        <w:rPr>
          <w:rFonts w:ascii="Arial" w:hAnsi="Arial" w:cs="Arial"/>
          <w:sz w:val="22"/>
          <w:szCs w:val="22"/>
        </w:rPr>
        <w:t>manager_id</w:t>
      </w:r>
      <w:proofErr w:type="spellEnd"/>
      <w:r w:rsidRPr="008029D7">
        <w:rPr>
          <w:rFonts w:ascii="Arial" w:hAnsi="Arial" w:cs="Arial"/>
          <w:sz w:val="22"/>
          <w:szCs w:val="22"/>
        </w:rPr>
        <w:t xml:space="preserve"> as the connecting property. This step completes the managerial layer of the investment graph, establishing direct oversight relationships between fund managers and the funds they control.</w:t>
      </w:r>
    </w:p>
    <w:p w14:paraId="56334414" w14:textId="77777777" w:rsidR="008029D7" w:rsidRPr="008029D7" w:rsidRDefault="008029D7" w:rsidP="008F4FE5">
      <w:pPr>
        <w:spacing w:after="0" w:line="360" w:lineRule="auto"/>
        <w:rPr>
          <w:rFonts w:ascii="Arial" w:hAnsi="Arial" w:cs="Arial"/>
          <w:sz w:val="22"/>
          <w:szCs w:val="22"/>
        </w:rPr>
      </w:pPr>
    </w:p>
    <w:p w14:paraId="07C79B7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0FA4FDA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section bridges the financial and organizational dimensions of the graph model. The </w:t>
      </w:r>
      <w:proofErr w:type="gramStart"/>
      <w:r w:rsidRPr="008029D7">
        <w:rPr>
          <w:rFonts w:ascii="Arial" w:hAnsi="Arial" w:cs="Arial"/>
          <w:sz w:val="22"/>
          <w:szCs w:val="22"/>
        </w:rPr>
        <w:t>[:HOLDS</w:t>
      </w:r>
      <w:proofErr w:type="gramEnd"/>
      <w:r w:rsidRPr="008029D7">
        <w:rPr>
          <w:rFonts w:ascii="Arial" w:hAnsi="Arial" w:cs="Arial"/>
          <w:sz w:val="22"/>
          <w:szCs w:val="22"/>
        </w:rPr>
        <w:t>] relationships model how each fund allocates capital across companies, capturing portfolio composition and investment distribution. The presence of quantitative attributes (</w:t>
      </w:r>
      <w:proofErr w:type="spellStart"/>
      <w:r w:rsidRPr="008029D7">
        <w:rPr>
          <w:rFonts w:ascii="Arial" w:hAnsi="Arial" w:cs="Arial"/>
          <w:sz w:val="22"/>
          <w:szCs w:val="22"/>
        </w:rPr>
        <w:t>position_value</w:t>
      </w:r>
      <w:proofErr w:type="spellEnd"/>
      <w:r w:rsidRPr="008029D7">
        <w:rPr>
          <w:rFonts w:ascii="Arial" w:hAnsi="Arial" w:cs="Arial"/>
          <w:sz w:val="22"/>
          <w:szCs w:val="22"/>
        </w:rPr>
        <w:t xml:space="preserve">, </w:t>
      </w:r>
      <w:proofErr w:type="spellStart"/>
      <w:r w:rsidRPr="008029D7">
        <w:rPr>
          <w:rFonts w:ascii="Arial" w:hAnsi="Arial" w:cs="Arial"/>
          <w:sz w:val="22"/>
          <w:szCs w:val="22"/>
        </w:rPr>
        <w:t>weight_in_portfolio</w:t>
      </w:r>
      <w:proofErr w:type="spellEnd"/>
      <w:r w:rsidRPr="008029D7">
        <w:rPr>
          <w:rFonts w:ascii="Arial" w:hAnsi="Arial" w:cs="Arial"/>
          <w:sz w:val="22"/>
          <w:szCs w:val="22"/>
        </w:rPr>
        <w:t>) enables proportional analysis—allowing the measurement of investment concentration and portfolio diversification within and across funds.</w:t>
      </w:r>
    </w:p>
    <w:p w14:paraId="47A3B115" w14:textId="77777777" w:rsidR="008029D7" w:rsidRPr="008029D7" w:rsidRDefault="008029D7" w:rsidP="008F4FE5">
      <w:pPr>
        <w:spacing w:after="0" w:line="360" w:lineRule="auto"/>
        <w:rPr>
          <w:rFonts w:ascii="Arial" w:hAnsi="Arial" w:cs="Arial"/>
          <w:sz w:val="22"/>
          <w:szCs w:val="22"/>
        </w:rPr>
      </w:pPr>
    </w:p>
    <w:p w14:paraId="6DCD3C0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w:t>
      </w:r>
      <w:proofErr w:type="gramStart"/>
      <w:r w:rsidRPr="008029D7">
        <w:rPr>
          <w:rFonts w:ascii="Arial" w:hAnsi="Arial" w:cs="Arial"/>
          <w:sz w:val="22"/>
          <w:szCs w:val="22"/>
        </w:rPr>
        <w:t>[:MANAGES</w:t>
      </w:r>
      <w:proofErr w:type="gramEnd"/>
      <w:r w:rsidRPr="008029D7">
        <w:rPr>
          <w:rFonts w:ascii="Arial" w:hAnsi="Arial" w:cs="Arial"/>
          <w:sz w:val="22"/>
          <w:szCs w:val="22"/>
        </w:rPr>
        <w:t xml:space="preserve">] link complements this by mapping human control over fund operations, enabling hierarchical queries such as "which managers oversee the highest-weighted portfolios?" or "how do manager specialization and fund performance correlate?". Together, these relationships form the core transactional network, making it possible to </w:t>
      </w:r>
      <w:proofErr w:type="spellStart"/>
      <w:r w:rsidRPr="008029D7">
        <w:rPr>
          <w:rFonts w:ascii="Arial" w:hAnsi="Arial" w:cs="Arial"/>
          <w:sz w:val="22"/>
          <w:szCs w:val="22"/>
        </w:rPr>
        <w:t>analyze</w:t>
      </w:r>
      <w:proofErr w:type="spellEnd"/>
      <w:r w:rsidRPr="008029D7">
        <w:rPr>
          <w:rFonts w:ascii="Arial" w:hAnsi="Arial" w:cs="Arial"/>
          <w:sz w:val="22"/>
          <w:szCs w:val="22"/>
        </w:rPr>
        <w:t xml:space="preserve"> flows of investment, management accountability, and inter-organizational dependencies across the ESG ecosystem.</w:t>
      </w:r>
    </w:p>
    <w:p w14:paraId="7585E596" w14:textId="77777777" w:rsidR="008029D7" w:rsidRPr="008029D7" w:rsidRDefault="008029D7" w:rsidP="008F4FE5">
      <w:pPr>
        <w:spacing w:after="0" w:line="360" w:lineRule="auto"/>
        <w:rPr>
          <w:rFonts w:ascii="Arial" w:hAnsi="Arial" w:cs="Arial"/>
          <w:sz w:val="22"/>
          <w:szCs w:val="22"/>
        </w:rPr>
      </w:pPr>
    </w:p>
    <w:p w14:paraId="338FBD7C" w14:textId="3862CCA2"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4151320D" wp14:editId="548587B3">
            <wp:extent cx="4859020" cy="528955"/>
            <wp:effectExtent l="0" t="0" r="0" b="4445"/>
            <wp:docPr id="225127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7811" name="Picture 2251278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9020" cy="528955"/>
                    </a:xfrm>
                    <a:prstGeom prst="rect">
                      <a:avLst/>
                    </a:prstGeom>
                  </pic:spPr>
                </pic:pic>
              </a:graphicData>
            </a:graphic>
          </wp:inline>
        </w:drawing>
      </w:r>
    </w:p>
    <w:p w14:paraId="2C65109F" w14:textId="77777777" w:rsidR="008029D7" w:rsidRPr="00AB4451" w:rsidRDefault="008029D7" w:rsidP="00AB4451">
      <w:pPr>
        <w:pStyle w:val="Caption"/>
      </w:pPr>
      <w:r w:rsidRPr="00AB4451">
        <w:t>Figure 16: Creating the Data Source to ESG Metric Relationship</w:t>
      </w:r>
    </w:p>
    <w:p w14:paraId="3C3B5DAF" w14:textId="77777777" w:rsidR="008029D7" w:rsidRPr="008029D7" w:rsidRDefault="008029D7" w:rsidP="008F4FE5">
      <w:pPr>
        <w:spacing w:after="0" w:line="360" w:lineRule="auto"/>
        <w:rPr>
          <w:rFonts w:ascii="Arial" w:hAnsi="Arial" w:cs="Arial"/>
          <w:sz w:val="22"/>
          <w:szCs w:val="22"/>
        </w:rPr>
      </w:pPr>
    </w:p>
    <w:p w14:paraId="4C85C5B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query establishes </w:t>
      </w:r>
      <w:proofErr w:type="gramStart"/>
      <w:r w:rsidRPr="008029D7">
        <w:rPr>
          <w:rFonts w:ascii="Arial" w:hAnsi="Arial" w:cs="Arial"/>
          <w:sz w:val="22"/>
          <w:szCs w:val="22"/>
        </w:rPr>
        <w:t>[:PROVIDES</w:t>
      </w:r>
      <w:proofErr w:type="gramEnd"/>
      <w:r w:rsidRPr="008029D7">
        <w:rPr>
          <w:rFonts w:ascii="Arial" w:hAnsi="Arial" w:cs="Arial"/>
          <w:sz w:val="22"/>
          <w:szCs w:val="22"/>
        </w:rPr>
        <w:t xml:space="preserve">] relationships between </w:t>
      </w:r>
      <w:proofErr w:type="spellStart"/>
      <w:r w:rsidRPr="008029D7">
        <w:rPr>
          <w:rFonts w:ascii="Arial" w:hAnsi="Arial" w:cs="Arial"/>
          <w:sz w:val="22"/>
          <w:szCs w:val="22"/>
        </w:rPr>
        <w:t>DataSource</w:t>
      </w:r>
      <w:proofErr w:type="spellEnd"/>
      <w:r w:rsidRPr="008029D7">
        <w:rPr>
          <w:rFonts w:ascii="Arial" w:hAnsi="Arial" w:cs="Arial"/>
          <w:sz w:val="22"/>
          <w:szCs w:val="22"/>
        </w:rPr>
        <w:t xml:space="preserve"> and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nodes using the </w:t>
      </w:r>
      <w:proofErr w:type="spellStart"/>
      <w:r w:rsidRPr="008029D7">
        <w:rPr>
          <w:rFonts w:ascii="Arial" w:hAnsi="Arial" w:cs="Arial"/>
          <w:sz w:val="22"/>
          <w:szCs w:val="22"/>
        </w:rPr>
        <w:t>source_id</w:t>
      </w:r>
      <w:proofErr w:type="spellEnd"/>
      <w:r w:rsidRPr="008029D7">
        <w:rPr>
          <w:rFonts w:ascii="Arial" w:hAnsi="Arial" w:cs="Arial"/>
          <w:sz w:val="22"/>
          <w:szCs w:val="22"/>
        </w:rPr>
        <w:t xml:space="preserve"> and </w:t>
      </w:r>
      <w:proofErr w:type="spellStart"/>
      <w:r w:rsidRPr="008029D7">
        <w:rPr>
          <w:rFonts w:ascii="Arial" w:hAnsi="Arial" w:cs="Arial"/>
          <w:sz w:val="22"/>
          <w:szCs w:val="22"/>
        </w:rPr>
        <w:t>metric_id</w:t>
      </w:r>
      <w:proofErr w:type="spellEnd"/>
      <w:r w:rsidRPr="008029D7">
        <w:rPr>
          <w:rFonts w:ascii="Arial" w:hAnsi="Arial" w:cs="Arial"/>
          <w:sz w:val="22"/>
          <w:szCs w:val="22"/>
        </w:rPr>
        <w:t xml:space="preserve"> fields from the esg_performance.csv file. Each relationship represents the flow of ESG-related data from its originating data source to the specific ESG metric it supports or measures.</w:t>
      </w:r>
    </w:p>
    <w:p w14:paraId="42FEA75E" w14:textId="77777777" w:rsidR="008029D7" w:rsidRPr="008029D7" w:rsidRDefault="008029D7" w:rsidP="008F4FE5">
      <w:pPr>
        <w:spacing w:after="0" w:line="360" w:lineRule="auto"/>
        <w:rPr>
          <w:rFonts w:ascii="Arial" w:hAnsi="Arial" w:cs="Arial"/>
          <w:sz w:val="22"/>
          <w:szCs w:val="22"/>
        </w:rPr>
      </w:pPr>
    </w:p>
    <w:p w14:paraId="3E67893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25086C3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creation of </w:t>
      </w:r>
      <w:proofErr w:type="gramStart"/>
      <w:r w:rsidRPr="008029D7">
        <w:rPr>
          <w:rFonts w:ascii="Arial" w:hAnsi="Arial" w:cs="Arial"/>
          <w:sz w:val="22"/>
          <w:szCs w:val="22"/>
        </w:rPr>
        <w:t>[:PROVIDES</w:t>
      </w:r>
      <w:proofErr w:type="gramEnd"/>
      <w:r w:rsidRPr="008029D7">
        <w:rPr>
          <w:rFonts w:ascii="Arial" w:hAnsi="Arial" w:cs="Arial"/>
          <w:sz w:val="22"/>
          <w:szCs w:val="22"/>
        </w:rPr>
        <w:t xml:space="preserve">] relationships </w:t>
      </w:r>
      <w:proofErr w:type="gramStart"/>
      <w:r w:rsidRPr="008029D7">
        <w:rPr>
          <w:rFonts w:ascii="Arial" w:hAnsi="Arial" w:cs="Arial"/>
          <w:sz w:val="22"/>
          <w:szCs w:val="22"/>
        </w:rPr>
        <w:t>adds</w:t>
      </w:r>
      <w:proofErr w:type="gramEnd"/>
      <w:r w:rsidRPr="008029D7">
        <w:rPr>
          <w:rFonts w:ascii="Arial" w:hAnsi="Arial" w:cs="Arial"/>
          <w:sz w:val="22"/>
          <w:szCs w:val="22"/>
        </w:rPr>
        <w:t xml:space="preserve"> a data lineage dimension to the ESG knowledge graph, enabling traceability of metrics back to their respective data sources. This </w:t>
      </w:r>
      <w:r w:rsidRPr="008029D7">
        <w:rPr>
          <w:rFonts w:ascii="Arial" w:hAnsi="Arial" w:cs="Arial"/>
          <w:sz w:val="22"/>
          <w:szCs w:val="22"/>
        </w:rPr>
        <w:lastRenderedPageBreak/>
        <w:t>allows analysts to evaluate data reliability, update frequency, and API availability within the context of specific ESG indicators (such as carbon intensity or governance quality).</w:t>
      </w:r>
    </w:p>
    <w:p w14:paraId="4F2CFE6E" w14:textId="77777777" w:rsidR="008029D7" w:rsidRPr="008029D7" w:rsidRDefault="008029D7" w:rsidP="008F4FE5">
      <w:pPr>
        <w:spacing w:after="0" w:line="360" w:lineRule="auto"/>
        <w:rPr>
          <w:rFonts w:ascii="Arial" w:hAnsi="Arial" w:cs="Arial"/>
          <w:sz w:val="22"/>
          <w:szCs w:val="22"/>
        </w:rPr>
      </w:pPr>
    </w:p>
    <w:p w14:paraId="0C29AA7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Analytically, this relationship supports provenance analysis—tracking where ESG data originates and how it impacts company assessments. By linking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and </w:t>
      </w:r>
      <w:proofErr w:type="spellStart"/>
      <w:r w:rsidRPr="008029D7">
        <w:rPr>
          <w:rFonts w:ascii="Arial" w:hAnsi="Arial" w:cs="Arial"/>
          <w:sz w:val="22"/>
          <w:szCs w:val="22"/>
        </w:rPr>
        <w:t>DataSource</w:t>
      </w:r>
      <w:proofErr w:type="spellEnd"/>
      <w:r w:rsidRPr="008029D7">
        <w:rPr>
          <w:rFonts w:ascii="Arial" w:hAnsi="Arial" w:cs="Arial"/>
          <w:sz w:val="22"/>
          <w:szCs w:val="22"/>
        </w:rPr>
        <w:t>, the graph model facilitates the identification of key data providers, helps in assessing metric credibility, and allows visualization of data dependency chains across different ESG categories.</w:t>
      </w:r>
    </w:p>
    <w:p w14:paraId="357E3FCC" w14:textId="77777777" w:rsidR="008029D7" w:rsidRPr="008029D7" w:rsidRDefault="008029D7" w:rsidP="008F4FE5">
      <w:pPr>
        <w:spacing w:after="0" w:line="360" w:lineRule="auto"/>
        <w:rPr>
          <w:rFonts w:ascii="Arial" w:hAnsi="Arial" w:cs="Arial"/>
          <w:sz w:val="22"/>
          <w:szCs w:val="22"/>
        </w:rPr>
      </w:pPr>
    </w:p>
    <w:p w14:paraId="2119D659" w14:textId="7425D3E9"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6A3F8E53" wp14:editId="4716E615">
            <wp:extent cx="4859020" cy="1541780"/>
            <wp:effectExtent l="0" t="0" r="0" b="1270"/>
            <wp:docPr id="876228804" name="Picture 12"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28804" name="Picture 12" descr="A computer screen shot of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9020" cy="1541780"/>
                    </a:xfrm>
                    <a:prstGeom prst="rect">
                      <a:avLst/>
                    </a:prstGeom>
                  </pic:spPr>
                </pic:pic>
              </a:graphicData>
            </a:graphic>
          </wp:inline>
        </w:drawing>
      </w:r>
    </w:p>
    <w:p w14:paraId="7740E062" w14:textId="77777777" w:rsidR="008029D7" w:rsidRPr="00AB4451" w:rsidRDefault="008029D7" w:rsidP="00AB4451">
      <w:pPr>
        <w:pStyle w:val="Caption"/>
      </w:pPr>
      <w:r w:rsidRPr="00AB4451">
        <w:t>Figure 17: Establishing Investment Fund to Company Relationships</w:t>
      </w:r>
    </w:p>
    <w:p w14:paraId="0EECF775" w14:textId="77777777" w:rsidR="008029D7" w:rsidRPr="008029D7" w:rsidRDefault="008029D7" w:rsidP="008F4FE5">
      <w:pPr>
        <w:spacing w:after="0" w:line="360" w:lineRule="auto"/>
        <w:rPr>
          <w:rFonts w:ascii="Arial" w:hAnsi="Arial" w:cs="Arial"/>
          <w:sz w:val="22"/>
          <w:szCs w:val="22"/>
        </w:rPr>
      </w:pPr>
    </w:p>
    <w:p w14:paraId="33DDED8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Cypher query imports and maps the investment_position.csv file to create </w:t>
      </w:r>
      <w:proofErr w:type="gramStart"/>
      <w:r w:rsidRPr="008029D7">
        <w:rPr>
          <w:rFonts w:ascii="Arial" w:hAnsi="Arial" w:cs="Arial"/>
          <w:sz w:val="22"/>
          <w:szCs w:val="22"/>
        </w:rPr>
        <w:t>[:HOLDS</w:t>
      </w:r>
      <w:proofErr w:type="gramEnd"/>
      <w:r w:rsidRPr="008029D7">
        <w:rPr>
          <w:rFonts w:ascii="Arial" w:hAnsi="Arial" w:cs="Arial"/>
          <w:sz w:val="22"/>
          <w:szCs w:val="22"/>
        </w:rPr>
        <w:t xml:space="preserve">] relationships between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and Company nodes. The relationship includes key properties such as </w:t>
      </w:r>
      <w:proofErr w:type="spellStart"/>
      <w:r w:rsidRPr="008029D7">
        <w:rPr>
          <w:rFonts w:ascii="Arial" w:hAnsi="Arial" w:cs="Arial"/>
          <w:sz w:val="22"/>
          <w:szCs w:val="22"/>
        </w:rPr>
        <w:t>position_date</w:t>
      </w:r>
      <w:proofErr w:type="spellEnd"/>
      <w:r w:rsidRPr="008029D7">
        <w:rPr>
          <w:rFonts w:ascii="Arial" w:hAnsi="Arial" w:cs="Arial"/>
          <w:sz w:val="22"/>
          <w:szCs w:val="22"/>
        </w:rPr>
        <w:t xml:space="preserve">, </w:t>
      </w:r>
      <w:proofErr w:type="spellStart"/>
      <w:r w:rsidRPr="008029D7">
        <w:rPr>
          <w:rFonts w:ascii="Arial" w:hAnsi="Arial" w:cs="Arial"/>
          <w:sz w:val="22"/>
          <w:szCs w:val="22"/>
        </w:rPr>
        <w:t>position_value</w:t>
      </w:r>
      <w:proofErr w:type="spellEnd"/>
      <w:r w:rsidRPr="008029D7">
        <w:rPr>
          <w:rFonts w:ascii="Arial" w:hAnsi="Arial" w:cs="Arial"/>
          <w:sz w:val="22"/>
          <w:szCs w:val="22"/>
        </w:rPr>
        <w:t xml:space="preserve">, and </w:t>
      </w:r>
      <w:proofErr w:type="spellStart"/>
      <w:r w:rsidRPr="008029D7">
        <w:rPr>
          <w:rFonts w:ascii="Arial" w:hAnsi="Arial" w:cs="Arial"/>
          <w:sz w:val="22"/>
          <w:szCs w:val="22"/>
        </w:rPr>
        <w:t>weight_in_portfolio</w:t>
      </w:r>
      <w:proofErr w:type="spellEnd"/>
      <w:r w:rsidRPr="008029D7">
        <w:rPr>
          <w:rFonts w:ascii="Arial" w:hAnsi="Arial" w:cs="Arial"/>
          <w:sz w:val="22"/>
          <w:szCs w:val="22"/>
        </w:rPr>
        <w:t xml:space="preserve">. To maintain temporal accuracy, the date strings are parsed and standardized to the </w:t>
      </w:r>
      <w:proofErr w:type="spellStart"/>
      <w:r w:rsidRPr="008029D7">
        <w:rPr>
          <w:rFonts w:ascii="Arial" w:hAnsi="Arial" w:cs="Arial"/>
          <w:sz w:val="22"/>
          <w:szCs w:val="22"/>
        </w:rPr>
        <w:t>yyyy</w:t>
      </w:r>
      <w:proofErr w:type="spellEnd"/>
      <w:r w:rsidRPr="008029D7">
        <w:rPr>
          <w:rFonts w:ascii="Arial" w:hAnsi="Arial" w:cs="Arial"/>
          <w:sz w:val="22"/>
          <w:szCs w:val="22"/>
        </w:rPr>
        <w:t>-MM-dd ISO format, ensuring consistent storage across datasets.</w:t>
      </w:r>
    </w:p>
    <w:p w14:paraId="63EE9D26" w14:textId="77777777" w:rsidR="008029D7" w:rsidRPr="008029D7" w:rsidRDefault="008029D7" w:rsidP="008F4FE5">
      <w:pPr>
        <w:spacing w:after="0" w:line="360" w:lineRule="auto"/>
        <w:rPr>
          <w:rFonts w:ascii="Arial" w:hAnsi="Arial" w:cs="Arial"/>
          <w:sz w:val="22"/>
          <w:szCs w:val="22"/>
        </w:rPr>
      </w:pPr>
    </w:p>
    <w:p w14:paraId="540FA8B9"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77C8ACF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relationship forms the financial backbone of the ESG investment graph. By linking funds to companies through </w:t>
      </w:r>
      <w:proofErr w:type="gramStart"/>
      <w:r w:rsidRPr="008029D7">
        <w:rPr>
          <w:rFonts w:ascii="Arial" w:hAnsi="Arial" w:cs="Arial"/>
          <w:sz w:val="22"/>
          <w:szCs w:val="22"/>
        </w:rPr>
        <w:t>[:HOLDS</w:t>
      </w:r>
      <w:proofErr w:type="gramEnd"/>
      <w:r w:rsidRPr="008029D7">
        <w:rPr>
          <w:rFonts w:ascii="Arial" w:hAnsi="Arial" w:cs="Arial"/>
          <w:sz w:val="22"/>
          <w:szCs w:val="22"/>
        </w:rPr>
        <w:t>], the graph effectively models real-world investment ownership patterns. The inclusion of quantitative attributes (</w:t>
      </w:r>
      <w:proofErr w:type="spellStart"/>
      <w:r w:rsidRPr="008029D7">
        <w:rPr>
          <w:rFonts w:ascii="Arial" w:hAnsi="Arial" w:cs="Arial"/>
          <w:sz w:val="22"/>
          <w:szCs w:val="22"/>
        </w:rPr>
        <w:t>position_value</w:t>
      </w:r>
      <w:proofErr w:type="spellEnd"/>
      <w:r w:rsidRPr="008029D7">
        <w:rPr>
          <w:rFonts w:ascii="Arial" w:hAnsi="Arial" w:cs="Arial"/>
          <w:sz w:val="22"/>
          <w:szCs w:val="22"/>
        </w:rPr>
        <w:t xml:space="preserve"> and </w:t>
      </w:r>
      <w:proofErr w:type="spellStart"/>
      <w:r w:rsidRPr="008029D7">
        <w:rPr>
          <w:rFonts w:ascii="Arial" w:hAnsi="Arial" w:cs="Arial"/>
          <w:sz w:val="22"/>
          <w:szCs w:val="22"/>
        </w:rPr>
        <w:t>weight_in_portfolio</w:t>
      </w:r>
      <w:proofErr w:type="spellEnd"/>
      <w:r w:rsidRPr="008029D7">
        <w:rPr>
          <w:rFonts w:ascii="Arial" w:hAnsi="Arial" w:cs="Arial"/>
          <w:sz w:val="22"/>
          <w:szCs w:val="22"/>
        </w:rPr>
        <w:t>) supports advanced analytics, such as computing portfolio concentration, exposure to high-risk sectors, and fund-level ESG aggregation.</w:t>
      </w:r>
    </w:p>
    <w:p w14:paraId="689FEE1F" w14:textId="77777777" w:rsidR="008029D7" w:rsidRPr="008029D7" w:rsidRDefault="008029D7" w:rsidP="008F4FE5">
      <w:pPr>
        <w:spacing w:after="0" w:line="360" w:lineRule="auto"/>
        <w:rPr>
          <w:rFonts w:ascii="Arial" w:hAnsi="Arial" w:cs="Arial"/>
          <w:sz w:val="22"/>
          <w:szCs w:val="22"/>
        </w:rPr>
      </w:pPr>
    </w:p>
    <w:p w14:paraId="5A7F013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ability to visualize fund-company holdings in Neo4j provides powerful analytical capabilities: users can trace capital flow, identify cross-portfolio overlaps, and integrate these relationships with ESG performance data to derive responsible investment insights. In essence, this layer </w:t>
      </w:r>
      <w:proofErr w:type="gramStart"/>
      <w:r w:rsidRPr="008029D7">
        <w:rPr>
          <w:rFonts w:ascii="Arial" w:hAnsi="Arial" w:cs="Arial"/>
          <w:sz w:val="22"/>
          <w:szCs w:val="22"/>
        </w:rPr>
        <w:t>bridges</w:t>
      </w:r>
      <w:proofErr w:type="gramEnd"/>
      <w:r w:rsidRPr="008029D7">
        <w:rPr>
          <w:rFonts w:ascii="Arial" w:hAnsi="Arial" w:cs="Arial"/>
          <w:sz w:val="22"/>
          <w:szCs w:val="22"/>
        </w:rPr>
        <w:t xml:space="preserve"> financial structure and sustainability performance, setting the stage for multi-dimensional ESG analytics.</w:t>
      </w:r>
    </w:p>
    <w:p w14:paraId="555F632A" w14:textId="77777777" w:rsidR="008029D7" w:rsidRPr="008029D7" w:rsidRDefault="008029D7" w:rsidP="008F4FE5">
      <w:pPr>
        <w:spacing w:after="0" w:line="360" w:lineRule="auto"/>
        <w:rPr>
          <w:rFonts w:ascii="Arial" w:hAnsi="Arial" w:cs="Arial"/>
          <w:sz w:val="22"/>
          <w:szCs w:val="22"/>
        </w:rPr>
      </w:pPr>
    </w:p>
    <w:p w14:paraId="476C3293" w14:textId="77777777" w:rsidR="008029D7" w:rsidRPr="008029D7" w:rsidRDefault="008029D7" w:rsidP="008F4FE5">
      <w:pPr>
        <w:spacing w:after="0" w:line="360" w:lineRule="auto"/>
        <w:rPr>
          <w:rFonts w:ascii="Arial" w:hAnsi="Arial" w:cs="Arial"/>
          <w:sz w:val="22"/>
          <w:szCs w:val="22"/>
        </w:rPr>
      </w:pPr>
      <w:r w:rsidRPr="00C232B8">
        <w:rPr>
          <w:rFonts w:ascii="Arial" w:hAnsi="Arial" w:cs="Arial"/>
          <w:b/>
          <w:bCs/>
          <w:sz w:val="22"/>
          <w:szCs w:val="22"/>
        </w:rPr>
        <w:lastRenderedPageBreak/>
        <w:t>3.5 Graph Visualization</w:t>
      </w:r>
    </w:p>
    <w:p w14:paraId="1CDD15F5" w14:textId="77777777" w:rsidR="008029D7" w:rsidRPr="008029D7" w:rsidRDefault="008029D7" w:rsidP="008F4FE5">
      <w:pPr>
        <w:spacing w:after="0" w:line="360" w:lineRule="auto"/>
        <w:rPr>
          <w:rFonts w:ascii="Arial" w:hAnsi="Arial" w:cs="Arial"/>
          <w:sz w:val="22"/>
          <w:szCs w:val="22"/>
        </w:rPr>
      </w:pPr>
    </w:p>
    <w:p w14:paraId="63464CEB" w14:textId="78747427"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2698EC56" wp14:editId="53AF75EF">
            <wp:extent cx="4859020" cy="2089150"/>
            <wp:effectExtent l="0" t="0" r="0" b="6350"/>
            <wp:docPr id="621740719" name="Picture 14" descr="A black background with colorful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40719" name="Picture 14" descr="A black background with colorful circle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9020" cy="2089150"/>
                    </a:xfrm>
                    <a:prstGeom prst="rect">
                      <a:avLst/>
                    </a:prstGeom>
                  </pic:spPr>
                </pic:pic>
              </a:graphicData>
            </a:graphic>
          </wp:inline>
        </w:drawing>
      </w:r>
    </w:p>
    <w:p w14:paraId="1B01B0CF" w14:textId="77777777" w:rsidR="008029D7" w:rsidRPr="00AB4451" w:rsidRDefault="008029D7" w:rsidP="00AB4451">
      <w:pPr>
        <w:pStyle w:val="Caption"/>
      </w:pPr>
      <w:r w:rsidRPr="00AB4451">
        <w:t>Figure 18: Final Neo4j ESG Investment Knowledge Graph Visualization</w:t>
      </w:r>
    </w:p>
    <w:p w14:paraId="2AE8BC15" w14:textId="77777777" w:rsidR="008029D7" w:rsidRPr="008029D7" w:rsidRDefault="008029D7" w:rsidP="008F4FE5">
      <w:pPr>
        <w:spacing w:after="0" w:line="360" w:lineRule="auto"/>
        <w:rPr>
          <w:rFonts w:ascii="Arial" w:hAnsi="Arial" w:cs="Arial"/>
          <w:sz w:val="22"/>
          <w:szCs w:val="22"/>
        </w:rPr>
      </w:pPr>
    </w:p>
    <w:p w14:paraId="3D84450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complete Neo4j graph displays all core nodes and relationships within the ESG investment model, including entities such as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Company,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w:t>
      </w:r>
      <w:proofErr w:type="spellStart"/>
      <w:r w:rsidRPr="008029D7">
        <w:rPr>
          <w:rFonts w:ascii="Arial" w:hAnsi="Arial" w:cs="Arial"/>
          <w:sz w:val="22"/>
          <w:szCs w:val="22"/>
        </w:rPr>
        <w:t>DataSource</w:t>
      </w:r>
      <w:proofErr w:type="spellEnd"/>
      <w:r w:rsidRPr="008029D7">
        <w:rPr>
          <w:rFonts w:ascii="Arial" w:hAnsi="Arial" w:cs="Arial"/>
          <w:sz w:val="22"/>
          <w:szCs w:val="22"/>
        </w:rPr>
        <w:t xml:space="preserve">, and </w:t>
      </w:r>
      <w:proofErr w:type="spellStart"/>
      <w:r w:rsidRPr="008029D7">
        <w:rPr>
          <w:rFonts w:ascii="Arial" w:hAnsi="Arial" w:cs="Arial"/>
          <w:sz w:val="22"/>
          <w:szCs w:val="22"/>
        </w:rPr>
        <w:t>RegFramework</w:t>
      </w:r>
      <w:proofErr w:type="spellEnd"/>
      <w:r w:rsidRPr="008029D7">
        <w:rPr>
          <w:rFonts w:ascii="Arial" w:hAnsi="Arial" w:cs="Arial"/>
          <w:sz w:val="22"/>
          <w:szCs w:val="22"/>
        </w:rPr>
        <w:t xml:space="preserve">. Relationships such as </w:t>
      </w:r>
      <w:proofErr w:type="gramStart"/>
      <w:r w:rsidRPr="008029D7">
        <w:rPr>
          <w:rFonts w:ascii="Arial" w:hAnsi="Arial" w:cs="Arial"/>
          <w:sz w:val="22"/>
          <w:szCs w:val="22"/>
        </w:rPr>
        <w:t>[:MANAGES</w:t>
      </w:r>
      <w:proofErr w:type="gramEnd"/>
      <w:r w:rsidRPr="008029D7">
        <w:rPr>
          <w:rFonts w:ascii="Arial" w:hAnsi="Arial" w:cs="Arial"/>
          <w:sz w:val="22"/>
          <w:szCs w:val="22"/>
        </w:rPr>
        <w:t xml:space="preserve">], </w:t>
      </w:r>
      <w:proofErr w:type="gramStart"/>
      <w:r w:rsidRPr="008029D7">
        <w:rPr>
          <w:rFonts w:ascii="Arial" w:hAnsi="Arial" w:cs="Arial"/>
          <w:sz w:val="22"/>
          <w:szCs w:val="22"/>
        </w:rPr>
        <w:t>[:HOLDS</w:t>
      </w:r>
      <w:proofErr w:type="gramEnd"/>
      <w:r w:rsidRPr="008029D7">
        <w:rPr>
          <w:rFonts w:ascii="Arial" w:hAnsi="Arial" w:cs="Arial"/>
          <w:sz w:val="22"/>
          <w:szCs w:val="22"/>
        </w:rPr>
        <w:t xml:space="preserve">], </w:t>
      </w:r>
      <w:proofErr w:type="gramStart"/>
      <w:r w:rsidRPr="008029D7">
        <w:rPr>
          <w:rFonts w:ascii="Arial" w:hAnsi="Arial" w:cs="Arial"/>
          <w:sz w:val="22"/>
          <w:szCs w:val="22"/>
        </w:rPr>
        <w:t>[:ASSESSED</w:t>
      </w:r>
      <w:proofErr w:type="gramEnd"/>
      <w:r w:rsidRPr="008029D7">
        <w:rPr>
          <w:rFonts w:ascii="Arial" w:hAnsi="Arial" w:cs="Arial"/>
          <w:sz w:val="22"/>
          <w:szCs w:val="22"/>
        </w:rPr>
        <w:t xml:space="preserve">_FOR], and </w:t>
      </w:r>
      <w:proofErr w:type="gramStart"/>
      <w:r w:rsidRPr="008029D7">
        <w:rPr>
          <w:rFonts w:ascii="Arial" w:hAnsi="Arial" w:cs="Arial"/>
          <w:sz w:val="22"/>
          <w:szCs w:val="22"/>
        </w:rPr>
        <w:t>[:PROVIDES</w:t>
      </w:r>
      <w:proofErr w:type="gramEnd"/>
      <w:r w:rsidRPr="008029D7">
        <w:rPr>
          <w:rFonts w:ascii="Arial" w:hAnsi="Arial" w:cs="Arial"/>
          <w:sz w:val="22"/>
          <w:szCs w:val="22"/>
        </w:rPr>
        <w:t>] represent real-world interactions between financial, operational, and ESG data domains.</w:t>
      </w:r>
    </w:p>
    <w:p w14:paraId="1658D764" w14:textId="77777777" w:rsidR="008029D7" w:rsidRPr="008029D7" w:rsidRDefault="008029D7" w:rsidP="008F4FE5">
      <w:pPr>
        <w:spacing w:after="0" w:line="360" w:lineRule="auto"/>
        <w:rPr>
          <w:rFonts w:ascii="Arial" w:hAnsi="Arial" w:cs="Arial"/>
          <w:sz w:val="22"/>
          <w:szCs w:val="22"/>
        </w:rPr>
      </w:pPr>
    </w:p>
    <w:p w14:paraId="694BD37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1CFD838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visualization represents the fully integrated knowledge layer of the ESG ecosystem. Each node connects meaningfully to others, creating a web of interactions that supports advanced insights across finance, sustainability, and regulatory compliance.</w:t>
      </w:r>
    </w:p>
    <w:p w14:paraId="44AAD9EF" w14:textId="77777777" w:rsidR="008029D7" w:rsidRPr="008029D7" w:rsidRDefault="008029D7" w:rsidP="008F4FE5">
      <w:pPr>
        <w:spacing w:after="0" w:line="360" w:lineRule="auto"/>
        <w:rPr>
          <w:rFonts w:ascii="Arial" w:hAnsi="Arial" w:cs="Arial"/>
          <w:sz w:val="22"/>
          <w:szCs w:val="22"/>
        </w:rPr>
      </w:pPr>
    </w:p>
    <w:p w14:paraId="6977792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Through Neo4j's graph model, users can now:</w:t>
      </w:r>
    </w:p>
    <w:p w14:paraId="276F59AF" w14:textId="77777777" w:rsidR="008029D7" w:rsidRPr="008029D7" w:rsidRDefault="008029D7" w:rsidP="008F4FE5">
      <w:pPr>
        <w:spacing w:after="0" w:line="360" w:lineRule="auto"/>
        <w:rPr>
          <w:rFonts w:ascii="Arial" w:hAnsi="Arial" w:cs="Arial"/>
          <w:sz w:val="22"/>
          <w:szCs w:val="22"/>
        </w:rPr>
      </w:pPr>
    </w:p>
    <w:p w14:paraId="75D04EDC" w14:textId="47342646" w:rsidR="008029D7" w:rsidRPr="00AB4451" w:rsidRDefault="008029D7" w:rsidP="00AB4451">
      <w:pPr>
        <w:pStyle w:val="ListParagraph"/>
        <w:numPr>
          <w:ilvl w:val="0"/>
          <w:numId w:val="6"/>
        </w:numPr>
        <w:spacing w:after="0" w:line="360" w:lineRule="auto"/>
        <w:rPr>
          <w:rFonts w:ascii="Arial" w:hAnsi="Arial" w:cs="Arial"/>
          <w:sz w:val="22"/>
          <w:szCs w:val="22"/>
        </w:rPr>
      </w:pPr>
      <w:r w:rsidRPr="00AB4451">
        <w:rPr>
          <w:rFonts w:ascii="Arial" w:hAnsi="Arial" w:cs="Arial"/>
          <w:sz w:val="22"/>
          <w:szCs w:val="22"/>
        </w:rPr>
        <w:t>Trace fund holdings to specific companies and their ESG performances</w:t>
      </w:r>
    </w:p>
    <w:p w14:paraId="536E4847" w14:textId="4F8BAAAD" w:rsidR="008029D7" w:rsidRPr="00AB4451" w:rsidRDefault="008029D7" w:rsidP="00AB4451">
      <w:pPr>
        <w:pStyle w:val="ListParagraph"/>
        <w:numPr>
          <w:ilvl w:val="0"/>
          <w:numId w:val="6"/>
        </w:numPr>
        <w:spacing w:after="0" w:line="360" w:lineRule="auto"/>
        <w:rPr>
          <w:rFonts w:ascii="Arial" w:hAnsi="Arial" w:cs="Arial"/>
          <w:sz w:val="22"/>
          <w:szCs w:val="22"/>
        </w:rPr>
      </w:pPr>
      <w:r w:rsidRPr="00AB4451">
        <w:rPr>
          <w:rFonts w:ascii="Arial" w:hAnsi="Arial" w:cs="Arial"/>
          <w:sz w:val="22"/>
          <w:szCs w:val="22"/>
        </w:rPr>
        <w:t>Identify managers responsible for top-performing or low-scoring funds</w:t>
      </w:r>
    </w:p>
    <w:p w14:paraId="48D7BD75" w14:textId="05421D27" w:rsidR="008029D7" w:rsidRPr="00AB4451" w:rsidRDefault="008029D7" w:rsidP="00AB4451">
      <w:pPr>
        <w:pStyle w:val="ListParagraph"/>
        <w:numPr>
          <w:ilvl w:val="0"/>
          <w:numId w:val="6"/>
        </w:numPr>
        <w:spacing w:after="0" w:line="360" w:lineRule="auto"/>
        <w:rPr>
          <w:rFonts w:ascii="Arial" w:hAnsi="Arial" w:cs="Arial"/>
          <w:sz w:val="22"/>
          <w:szCs w:val="22"/>
        </w:rPr>
      </w:pPr>
      <w:proofErr w:type="spellStart"/>
      <w:r w:rsidRPr="00AB4451">
        <w:rPr>
          <w:rFonts w:ascii="Arial" w:hAnsi="Arial" w:cs="Arial"/>
          <w:sz w:val="22"/>
          <w:szCs w:val="22"/>
        </w:rPr>
        <w:t>Analyze</w:t>
      </w:r>
      <w:proofErr w:type="spellEnd"/>
      <w:r w:rsidRPr="00AB4451">
        <w:rPr>
          <w:rFonts w:ascii="Arial" w:hAnsi="Arial" w:cs="Arial"/>
          <w:sz w:val="22"/>
          <w:szCs w:val="22"/>
        </w:rPr>
        <w:t xml:space="preserve"> ESG data sources and their metric dependencies to assess data reliability</w:t>
      </w:r>
    </w:p>
    <w:p w14:paraId="178C2067" w14:textId="1A3E3A20" w:rsidR="008029D7" w:rsidRPr="00AB4451" w:rsidRDefault="008029D7" w:rsidP="00AB4451">
      <w:pPr>
        <w:pStyle w:val="ListParagraph"/>
        <w:numPr>
          <w:ilvl w:val="0"/>
          <w:numId w:val="6"/>
        </w:numPr>
        <w:spacing w:after="0" w:line="360" w:lineRule="auto"/>
        <w:rPr>
          <w:rFonts w:ascii="Arial" w:hAnsi="Arial" w:cs="Arial"/>
          <w:sz w:val="22"/>
          <w:szCs w:val="22"/>
        </w:rPr>
      </w:pPr>
      <w:r w:rsidRPr="00AB4451">
        <w:rPr>
          <w:rFonts w:ascii="Arial" w:hAnsi="Arial" w:cs="Arial"/>
          <w:sz w:val="22"/>
          <w:szCs w:val="22"/>
        </w:rPr>
        <w:t>Explore inter-company ESG relationships, highlighting shared investors or sustainability trends</w:t>
      </w:r>
    </w:p>
    <w:p w14:paraId="75C3BC4C" w14:textId="77777777" w:rsidR="008029D7" w:rsidRPr="008029D7" w:rsidRDefault="008029D7" w:rsidP="008F4FE5">
      <w:pPr>
        <w:spacing w:after="0" w:line="360" w:lineRule="auto"/>
        <w:rPr>
          <w:rFonts w:ascii="Arial" w:hAnsi="Arial" w:cs="Arial"/>
          <w:sz w:val="22"/>
          <w:szCs w:val="22"/>
        </w:rPr>
      </w:pPr>
    </w:p>
    <w:p w14:paraId="711BA83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resulting structure transforms disconnected CSV files into a semantically connected dataset, allowing for graph-based analytics such as centrality, similarity, and clustering. This visualization completes the implementation cycle, bridging raw ESG data with actionable insights through an intuitive, relationship-driven representation.</w:t>
      </w:r>
    </w:p>
    <w:p w14:paraId="4D123D4C" w14:textId="77777777" w:rsidR="008029D7" w:rsidRPr="008029D7" w:rsidRDefault="008029D7" w:rsidP="008F4FE5">
      <w:pPr>
        <w:spacing w:after="0" w:line="360" w:lineRule="auto"/>
        <w:rPr>
          <w:rFonts w:ascii="Arial" w:hAnsi="Arial" w:cs="Arial"/>
          <w:sz w:val="22"/>
          <w:szCs w:val="22"/>
        </w:rPr>
      </w:pPr>
    </w:p>
    <w:p w14:paraId="4FC6604E"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3.6 Implementation Summary</w:t>
      </w:r>
    </w:p>
    <w:p w14:paraId="0869660F" w14:textId="77777777" w:rsidR="008029D7" w:rsidRPr="008029D7" w:rsidRDefault="008029D7" w:rsidP="008F4FE5">
      <w:pPr>
        <w:spacing w:after="0" w:line="360" w:lineRule="auto"/>
        <w:rPr>
          <w:rFonts w:ascii="Arial" w:hAnsi="Arial" w:cs="Arial"/>
          <w:sz w:val="22"/>
          <w:szCs w:val="22"/>
        </w:rPr>
      </w:pPr>
    </w:p>
    <w:p w14:paraId="4E7CF92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All datasets were successfully imported into Neo4j and connected according to the ER diagram. The final graph shows clear relationships between fund managers, investment funds, companies, ESG metrics, data sources, and regulatory frameworks. This structure allows easy visualization of how financial and ESG data are linked, helping to </w:t>
      </w:r>
      <w:proofErr w:type="spellStart"/>
      <w:r w:rsidRPr="008029D7">
        <w:rPr>
          <w:rFonts w:ascii="Arial" w:hAnsi="Arial" w:cs="Arial"/>
          <w:sz w:val="22"/>
          <w:szCs w:val="22"/>
        </w:rPr>
        <w:t>analyze</w:t>
      </w:r>
      <w:proofErr w:type="spellEnd"/>
      <w:r w:rsidRPr="008029D7">
        <w:rPr>
          <w:rFonts w:ascii="Arial" w:hAnsi="Arial" w:cs="Arial"/>
          <w:sz w:val="22"/>
          <w:szCs w:val="22"/>
        </w:rPr>
        <w:t xml:space="preserve"> fund performance, company impact, and data transparency within one connected network.</w:t>
      </w:r>
    </w:p>
    <w:p w14:paraId="2B6E6339" w14:textId="77777777" w:rsidR="008029D7" w:rsidRPr="008029D7" w:rsidRDefault="008029D7" w:rsidP="008F4FE5">
      <w:pPr>
        <w:spacing w:after="0" w:line="360" w:lineRule="auto"/>
        <w:rPr>
          <w:rFonts w:ascii="Arial" w:hAnsi="Arial" w:cs="Arial"/>
          <w:sz w:val="22"/>
          <w:szCs w:val="22"/>
        </w:rPr>
      </w:pPr>
    </w:p>
    <w:p w14:paraId="44E13B54" w14:textId="77777777" w:rsidR="008029D7" w:rsidRPr="008029D7" w:rsidRDefault="008029D7" w:rsidP="008F4FE5">
      <w:pPr>
        <w:spacing w:after="0" w:line="360" w:lineRule="auto"/>
        <w:rPr>
          <w:rFonts w:ascii="Arial" w:hAnsi="Arial" w:cs="Arial"/>
          <w:sz w:val="22"/>
          <w:szCs w:val="22"/>
        </w:rPr>
      </w:pPr>
    </w:p>
    <w:p w14:paraId="0FADD325" w14:textId="77777777" w:rsidR="008029D7" w:rsidRPr="00F876F3" w:rsidRDefault="008029D7" w:rsidP="008F4FE5">
      <w:pPr>
        <w:spacing w:after="0" w:line="360" w:lineRule="auto"/>
        <w:rPr>
          <w:rFonts w:ascii="Arial" w:hAnsi="Arial" w:cs="Arial"/>
          <w:b/>
          <w:bCs/>
          <w:sz w:val="28"/>
          <w:szCs w:val="28"/>
        </w:rPr>
      </w:pPr>
      <w:r w:rsidRPr="00F876F3">
        <w:rPr>
          <w:rFonts w:ascii="Arial" w:hAnsi="Arial" w:cs="Arial"/>
          <w:b/>
          <w:bCs/>
          <w:sz w:val="28"/>
          <w:szCs w:val="28"/>
        </w:rPr>
        <w:t>4. GRAPH DATABASE QUERIES</w:t>
      </w:r>
    </w:p>
    <w:p w14:paraId="1A89ECD0" w14:textId="77777777" w:rsidR="008029D7" w:rsidRPr="008029D7" w:rsidRDefault="008029D7" w:rsidP="008F4FE5">
      <w:pPr>
        <w:spacing w:after="0" w:line="360" w:lineRule="auto"/>
        <w:rPr>
          <w:rFonts w:ascii="Arial" w:hAnsi="Arial" w:cs="Arial"/>
          <w:sz w:val="22"/>
          <w:szCs w:val="22"/>
        </w:rPr>
      </w:pPr>
    </w:p>
    <w:p w14:paraId="384EAE2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section demonstrates four Cypher query use cases with varying complexity levels, showcasing the analytical capabilities of the graph database.</w:t>
      </w:r>
    </w:p>
    <w:p w14:paraId="3D7B9F54" w14:textId="77777777" w:rsidR="008029D7" w:rsidRPr="008029D7" w:rsidRDefault="008029D7" w:rsidP="008F4FE5">
      <w:pPr>
        <w:spacing w:after="0" w:line="360" w:lineRule="auto"/>
        <w:rPr>
          <w:rFonts w:ascii="Arial" w:hAnsi="Arial" w:cs="Arial"/>
          <w:sz w:val="22"/>
          <w:szCs w:val="22"/>
        </w:rPr>
      </w:pPr>
    </w:p>
    <w:p w14:paraId="4A9C23D8"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4.1 Simple Query 1: Fund Manager Portfolio Retrieval</w:t>
      </w:r>
    </w:p>
    <w:p w14:paraId="6317F680" w14:textId="77777777" w:rsidR="008029D7" w:rsidRPr="008029D7" w:rsidRDefault="008029D7" w:rsidP="008F4FE5">
      <w:pPr>
        <w:spacing w:after="0" w:line="360" w:lineRule="auto"/>
        <w:rPr>
          <w:rFonts w:ascii="Arial" w:hAnsi="Arial" w:cs="Arial"/>
          <w:sz w:val="22"/>
          <w:szCs w:val="22"/>
        </w:rPr>
      </w:pPr>
    </w:p>
    <w:p w14:paraId="40A57A68" w14:textId="564BF89B"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3B8D40CA" wp14:editId="13EB5B36">
            <wp:extent cx="4859020" cy="1141730"/>
            <wp:effectExtent l="0" t="0" r="0" b="1270"/>
            <wp:docPr id="13453481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114" name="Picture 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9020" cy="1141730"/>
                    </a:xfrm>
                    <a:prstGeom prst="rect">
                      <a:avLst/>
                    </a:prstGeom>
                  </pic:spPr>
                </pic:pic>
              </a:graphicData>
            </a:graphic>
          </wp:inline>
        </w:drawing>
      </w:r>
    </w:p>
    <w:p w14:paraId="2755B39C" w14:textId="77777777" w:rsidR="008029D7" w:rsidRPr="00AB4451" w:rsidRDefault="008029D7" w:rsidP="00AB4451">
      <w:pPr>
        <w:pStyle w:val="Caption"/>
      </w:pPr>
      <w:r w:rsidRPr="00AB4451">
        <w:t>Figure 19: Retrieves all investment funds managed by a specific fund manager (Alex Turner) using the MANAGES relationship. This confirms the one-to-many connection between fund managers and investment funds.</w:t>
      </w:r>
    </w:p>
    <w:p w14:paraId="1DD83A9F" w14:textId="77777777" w:rsidR="008029D7" w:rsidRPr="008029D7" w:rsidRDefault="008029D7" w:rsidP="008F4FE5">
      <w:pPr>
        <w:spacing w:after="0" w:line="360" w:lineRule="auto"/>
        <w:rPr>
          <w:rFonts w:ascii="Arial" w:hAnsi="Arial" w:cs="Arial"/>
          <w:sz w:val="22"/>
          <w:szCs w:val="22"/>
        </w:rPr>
      </w:pPr>
    </w:p>
    <w:p w14:paraId="0B4D9C2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Detailed Explanation:</w:t>
      </w:r>
    </w:p>
    <w:p w14:paraId="3B6CA5C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query identifies the funds managed by a particular fund manager (in this case, Alex Turner). It uses a directional relationship </w:t>
      </w:r>
      <w:proofErr w:type="gramStart"/>
      <w:r w:rsidRPr="008029D7">
        <w:rPr>
          <w:rFonts w:ascii="Arial" w:hAnsi="Arial" w:cs="Arial"/>
          <w:sz w:val="22"/>
          <w:szCs w:val="22"/>
        </w:rPr>
        <w:t>[:MANAGES</w:t>
      </w:r>
      <w:proofErr w:type="gramEnd"/>
      <w:r w:rsidRPr="008029D7">
        <w:rPr>
          <w:rFonts w:ascii="Arial" w:hAnsi="Arial" w:cs="Arial"/>
          <w:sz w:val="22"/>
          <w:szCs w:val="22"/>
        </w:rPr>
        <w:t xml:space="preserve">] from the </w:t>
      </w:r>
      <w:proofErr w:type="spellStart"/>
      <w:r w:rsidRPr="008029D7">
        <w:rPr>
          <w:rFonts w:ascii="Arial" w:hAnsi="Arial" w:cs="Arial"/>
          <w:sz w:val="22"/>
          <w:szCs w:val="22"/>
        </w:rPr>
        <w:t>FundManager</w:t>
      </w:r>
      <w:proofErr w:type="spellEnd"/>
      <w:r w:rsidRPr="008029D7">
        <w:rPr>
          <w:rFonts w:ascii="Arial" w:hAnsi="Arial" w:cs="Arial"/>
          <w:sz w:val="22"/>
          <w:szCs w:val="22"/>
        </w:rPr>
        <w:t xml:space="preserve"> node to the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node. The MATCH clause specifies the relationship traversal, while the RETURN clause displays key identifying attributes—the manager's name, fund code, and fund name.</w:t>
      </w:r>
    </w:p>
    <w:p w14:paraId="52210881" w14:textId="77777777" w:rsidR="008029D7" w:rsidRPr="008029D7" w:rsidRDefault="008029D7" w:rsidP="008F4FE5">
      <w:pPr>
        <w:spacing w:after="0" w:line="360" w:lineRule="auto"/>
        <w:rPr>
          <w:rFonts w:ascii="Arial" w:hAnsi="Arial" w:cs="Arial"/>
          <w:sz w:val="22"/>
          <w:szCs w:val="22"/>
        </w:rPr>
      </w:pPr>
    </w:p>
    <w:p w14:paraId="585019B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Insight:</w:t>
      </w:r>
    </w:p>
    <w:p w14:paraId="13F6C3E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output demonstrates the one-to-many management structure within the dataset. Each fund manager can oversee multiple investment funds, and by parameterizing the </w:t>
      </w:r>
      <w:proofErr w:type="spellStart"/>
      <w:r w:rsidRPr="008029D7">
        <w:rPr>
          <w:rFonts w:ascii="Arial" w:hAnsi="Arial" w:cs="Arial"/>
          <w:sz w:val="22"/>
          <w:szCs w:val="22"/>
        </w:rPr>
        <w:t>manager_id</w:t>
      </w:r>
      <w:proofErr w:type="spellEnd"/>
      <w:r w:rsidRPr="008029D7">
        <w:rPr>
          <w:rFonts w:ascii="Arial" w:hAnsi="Arial" w:cs="Arial"/>
          <w:sz w:val="22"/>
          <w:szCs w:val="22"/>
        </w:rPr>
        <w:t>, analysts can dynamically query any manager's portfolio. This forms the foundation for managerial accountability and performance tracking across ESG funds.</w:t>
      </w:r>
    </w:p>
    <w:p w14:paraId="7CC5CFD3" w14:textId="77777777" w:rsidR="008029D7" w:rsidRPr="008029D7" w:rsidRDefault="008029D7" w:rsidP="008F4FE5">
      <w:pPr>
        <w:spacing w:after="0" w:line="360" w:lineRule="auto"/>
        <w:rPr>
          <w:rFonts w:ascii="Arial" w:hAnsi="Arial" w:cs="Arial"/>
          <w:sz w:val="22"/>
          <w:szCs w:val="22"/>
        </w:rPr>
      </w:pPr>
    </w:p>
    <w:p w14:paraId="4BC2D53A"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4.2 Simple Query 2: Top Portfolio Holdings</w:t>
      </w:r>
    </w:p>
    <w:p w14:paraId="0C7AEA6A" w14:textId="77777777" w:rsidR="008029D7" w:rsidRPr="008029D7" w:rsidRDefault="008029D7" w:rsidP="008F4FE5">
      <w:pPr>
        <w:spacing w:after="0" w:line="360" w:lineRule="auto"/>
        <w:rPr>
          <w:rFonts w:ascii="Arial" w:hAnsi="Arial" w:cs="Arial"/>
          <w:sz w:val="22"/>
          <w:szCs w:val="22"/>
        </w:rPr>
      </w:pPr>
    </w:p>
    <w:p w14:paraId="54D98600" w14:textId="40E23314" w:rsidR="008029D7" w:rsidRPr="008029D7" w:rsidRDefault="002C75FE" w:rsidP="008F4FE5">
      <w:pPr>
        <w:spacing w:after="0" w:line="360" w:lineRule="auto"/>
        <w:rPr>
          <w:rFonts w:ascii="Arial" w:hAnsi="Arial" w:cs="Arial"/>
          <w:sz w:val="22"/>
          <w:szCs w:val="22"/>
        </w:rPr>
      </w:pPr>
      <w:r w:rsidRPr="0064315A">
        <w:rPr>
          <w:noProof/>
        </w:rPr>
        <w:drawing>
          <wp:inline distT="0" distB="0" distL="0" distR="0" wp14:anchorId="40CE5C35" wp14:editId="63502013">
            <wp:extent cx="4859020" cy="1235710"/>
            <wp:effectExtent l="0" t="0" r="0" b="2540"/>
            <wp:docPr id="555925284"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25284" name="Picture 3" descr="A black screen with white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9020" cy="1235710"/>
                    </a:xfrm>
                    <a:prstGeom prst="rect">
                      <a:avLst/>
                    </a:prstGeom>
                  </pic:spPr>
                </pic:pic>
              </a:graphicData>
            </a:graphic>
          </wp:inline>
        </w:drawing>
      </w:r>
    </w:p>
    <w:p w14:paraId="37F69B19" w14:textId="77777777" w:rsidR="008029D7" w:rsidRPr="00AB4451" w:rsidRDefault="008029D7" w:rsidP="00AB4451">
      <w:pPr>
        <w:pStyle w:val="Caption"/>
      </w:pPr>
      <w:r w:rsidRPr="00AB4451">
        <w:t>Figure 20: Displays the top companies held within a given investment fund (F010) ordered by portfolio weight, using the HOLDS relationship. This helps identify the most significant company holdings in a portfolio.</w:t>
      </w:r>
    </w:p>
    <w:p w14:paraId="0AA8D38B" w14:textId="77777777" w:rsidR="008029D7" w:rsidRPr="008029D7" w:rsidRDefault="008029D7" w:rsidP="008F4FE5">
      <w:pPr>
        <w:spacing w:after="0" w:line="360" w:lineRule="auto"/>
        <w:rPr>
          <w:rFonts w:ascii="Arial" w:hAnsi="Arial" w:cs="Arial"/>
          <w:sz w:val="22"/>
          <w:szCs w:val="22"/>
        </w:rPr>
      </w:pPr>
    </w:p>
    <w:p w14:paraId="09C83D9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Detailed Explanation:</w:t>
      </w:r>
    </w:p>
    <w:p w14:paraId="61EF5EE9"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query retrieves the top five company holdings within a specific investment fund (F010). It navigates through the </w:t>
      </w:r>
      <w:proofErr w:type="gramStart"/>
      <w:r w:rsidRPr="008029D7">
        <w:rPr>
          <w:rFonts w:ascii="Arial" w:hAnsi="Arial" w:cs="Arial"/>
          <w:sz w:val="22"/>
          <w:szCs w:val="22"/>
        </w:rPr>
        <w:t>[:HOLDS</w:t>
      </w:r>
      <w:proofErr w:type="gramEnd"/>
      <w:r w:rsidRPr="008029D7">
        <w:rPr>
          <w:rFonts w:ascii="Arial" w:hAnsi="Arial" w:cs="Arial"/>
          <w:sz w:val="22"/>
          <w:szCs w:val="22"/>
        </w:rPr>
        <w:t xml:space="preserve">] relationship between the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and Company nodes. The </w:t>
      </w:r>
      <w:proofErr w:type="spellStart"/>
      <w:r w:rsidRPr="008029D7">
        <w:rPr>
          <w:rFonts w:ascii="Arial" w:hAnsi="Arial" w:cs="Arial"/>
          <w:sz w:val="22"/>
          <w:szCs w:val="22"/>
        </w:rPr>
        <w:t>weight_in_portfolio</w:t>
      </w:r>
      <w:proofErr w:type="spellEnd"/>
      <w:r w:rsidRPr="008029D7">
        <w:rPr>
          <w:rFonts w:ascii="Arial" w:hAnsi="Arial" w:cs="Arial"/>
          <w:sz w:val="22"/>
          <w:szCs w:val="22"/>
        </w:rPr>
        <w:t xml:space="preserve"> property within the relationship represents the proportional ownership of a company within the fund's investment portfolio. The results are sorted in descending order to reveal the heaviest portfolio components.</w:t>
      </w:r>
    </w:p>
    <w:p w14:paraId="3718EC0F" w14:textId="77777777" w:rsidR="008029D7" w:rsidRPr="008029D7" w:rsidRDefault="008029D7" w:rsidP="008F4FE5">
      <w:pPr>
        <w:spacing w:after="0" w:line="360" w:lineRule="auto"/>
        <w:rPr>
          <w:rFonts w:ascii="Arial" w:hAnsi="Arial" w:cs="Arial"/>
          <w:sz w:val="22"/>
          <w:szCs w:val="22"/>
        </w:rPr>
      </w:pPr>
    </w:p>
    <w:p w14:paraId="5224C60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Insight:</w:t>
      </w:r>
    </w:p>
    <w:p w14:paraId="67CCE3E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From the result, "GreenTech Ltd" is shown as the dominant holding within Blue Growth Fund. This insight provides clarity on portfolio concentration and can be leveraged by analysts to assess diversification risk or sectoral exposure, especially relevant for ESG-focused portfolios.</w:t>
      </w:r>
    </w:p>
    <w:p w14:paraId="3A514448" w14:textId="77777777" w:rsidR="008029D7" w:rsidRPr="008029D7" w:rsidRDefault="008029D7" w:rsidP="008F4FE5">
      <w:pPr>
        <w:spacing w:after="0" w:line="360" w:lineRule="auto"/>
        <w:rPr>
          <w:rFonts w:ascii="Arial" w:hAnsi="Arial" w:cs="Arial"/>
          <w:sz w:val="22"/>
          <w:szCs w:val="22"/>
        </w:rPr>
      </w:pPr>
    </w:p>
    <w:p w14:paraId="5AB54CAE"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4.3 Moderate Query: High Carbon Intensity Screening</w:t>
      </w:r>
    </w:p>
    <w:p w14:paraId="784B96D5" w14:textId="77777777" w:rsidR="008029D7" w:rsidRPr="008029D7" w:rsidRDefault="008029D7" w:rsidP="008F4FE5">
      <w:pPr>
        <w:spacing w:after="0" w:line="360" w:lineRule="auto"/>
        <w:rPr>
          <w:rFonts w:ascii="Arial" w:hAnsi="Arial" w:cs="Arial"/>
          <w:sz w:val="22"/>
          <w:szCs w:val="22"/>
        </w:rPr>
      </w:pPr>
    </w:p>
    <w:p w14:paraId="51A0DCF6" w14:textId="0746E105" w:rsidR="008029D7" w:rsidRPr="008029D7" w:rsidRDefault="002C75FE" w:rsidP="008F4FE5">
      <w:pPr>
        <w:spacing w:after="0" w:line="360" w:lineRule="auto"/>
        <w:rPr>
          <w:rFonts w:ascii="Arial" w:hAnsi="Arial" w:cs="Arial"/>
          <w:sz w:val="22"/>
          <w:szCs w:val="22"/>
        </w:rPr>
      </w:pPr>
      <w:r w:rsidRPr="0064315A">
        <w:rPr>
          <w:noProof/>
        </w:rPr>
        <w:drawing>
          <wp:inline distT="0" distB="0" distL="0" distR="0" wp14:anchorId="45333730" wp14:editId="691EF2A9">
            <wp:extent cx="4859020" cy="847725"/>
            <wp:effectExtent l="0" t="0" r="0" b="9525"/>
            <wp:docPr id="1431697686"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97686" name="Picture 4" descr="A screen 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9020" cy="847725"/>
                    </a:xfrm>
                    <a:prstGeom prst="rect">
                      <a:avLst/>
                    </a:prstGeom>
                  </pic:spPr>
                </pic:pic>
              </a:graphicData>
            </a:graphic>
          </wp:inline>
        </w:drawing>
      </w:r>
    </w:p>
    <w:p w14:paraId="2349B62A" w14:textId="77777777" w:rsidR="008029D7" w:rsidRPr="00AB4451" w:rsidRDefault="008029D7" w:rsidP="00AB4451">
      <w:pPr>
        <w:pStyle w:val="Caption"/>
      </w:pPr>
      <w:r w:rsidRPr="00AB4451">
        <w:t>Figure 21: Finds companies with carbon intensity (CO2_INT) metric values greater than 80. This query filters ESG performance data to highlight firms with higher carbon impact.</w:t>
      </w:r>
    </w:p>
    <w:p w14:paraId="5DDE3934" w14:textId="77777777" w:rsidR="008029D7" w:rsidRPr="008029D7" w:rsidRDefault="008029D7" w:rsidP="008F4FE5">
      <w:pPr>
        <w:spacing w:after="0" w:line="360" w:lineRule="auto"/>
        <w:rPr>
          <w:rFonts w:ascii="Arial" w:hAnsi="Arial" w:cs="Arial"/>
          <w:sz w:val="22"/>
          <w:szCs w:val="22"/>
        </w:rPr>
      </w:pPr>
    </w:p>
    <w:p w14:paraId="314578D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Detailed Explanation:</w:t>
      </w:r>
    </w:p>
    <w:p w14:paraId="513916E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query identifies companies with high carbon intensity values by filtering those connected to the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node where </w:t>
      </w:r>
      <w:proofErr w:type="spellStart"/>
      <w:r w:rsidRPr="008029D7">
        <w:rPr>
          <w:rFonts w:ascii="Arial" w:hAnsi="Arial" w:cs="Arial"/>
          <w:sz w:val="22"/>
          <w:szCs w:val="22"/>
        </w:rPr>
        <w:t>metric_code</w:t>
      </w:r>
      <w:proofErr w:type="spellEnd"/>
      <w:r w:rsidRPr="008029D7">
        <w:rPr>
          <w:rFonts w:ascii="Arial" w:hAnsi="Arial" w:cs="Arial"/>
          <w:sz w:val="22"/>
          <w:szCs w:val="22"/>
        </w:rPr>
        <w:t xml:space="preserve"> = "CO2_INT". The </w:t>
      </w:r>
      <w:proofErr w:type="spellStart"/>
      <w:proofErr w:type="gramStart"/>
      <w:r w:rsidRPr="008029D7">
        <w:rPr>
          <w:rFonts w:ascii="Arial" w:hAnsi="Arial" w:cs="Arial"/>
          <w:sz w:val="22"/>
          <w:szCs w:val="22"/>
        </w:rPr>
        <w:t>a.metric</w:t>
      </w:r>
      <w:proofErr w:type="gramEnd"/>
      <w:r w:rsidRPr="008029D7">
        <w:rPr>
          <w:rFonts w:ascii="Arial" w:hAnsi="Arial" w:cs="Arial"/>
          <w:sz w:val="22"/>
          <w:szCs w:val="22"/>
        </w:rPr>
        <w:t>_value</w:t>
      </w:r>
      <w:proofErr w:type="spellEnd"/>
      <w:r w:rsidRPr="008029D7">
        <w:rPr>
          <w:rFonts w:ascii="Arial" w:hAnsi="Arial" w:cs="Arial"/>
          <w:sz w:val="22"/>
          <w:szCs w:val="22"/>
        </w:rPr>
        <w:t xml:space="preserve"> </w:t>
      </w:r>
      <w:r w:rsidRPr="008029D7">
        <w:rPr>
          <w:rFonts w:ascii="Arial" w:hAnsi="Arial" w:cs="Arial"/>
          <w:sz w:val="22"/>
          <w:szCs w:val="22"/>
        </w:rPr>
        <w:lastRenderedPageBreak/>
        <w:t>property captures the quantitative performance metric for emissions intensity. The WHERE clause filters companies that exceed the defined threshold (value &gt; 80).</w:t>
      </w:r>
    </w:p>
    <w:p w14:paraId="1631B853" w14:textId="77777777" w:rsidR="008029D7" w:rsidRPr="008029D7" w:rsidRDefault="008029D7" w:rsidP="008F4FE5">
      <w:pPr>
        <w:spacing w:after="0" w:line="360" w:lineRule="auto"/>
        <w:rPr>
          <w:rFonts w:ascii="Arial" w:hAnsi="Arial" w:cs="Arial"/>
          <w:sz w:val="22"/>
          <w:szCs w:val="22"/>
        </w:rPr>
      </w:pPr>
    </w:p>
    <w:p w14:paraId="0C79186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Insight:</w:t>
      </w:r>
    </w:p>
    <w:p w14:paraId="1CA9EF8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query provides valuable sustainability insights by isolating firms contributing disproportionately to carbon emissions. Although no records were returned in this dataset, such analysis could help investors exclude high-emission entities or prioritize companies with strong carbon reduction programs, supporting ESG compliance strategies.</w:t>
      </w:r>
    </w:p>
    <w:p w14:paraId="3E55D14D" w14:textId="77777777" w:rsidR="008029D7" w:rsidRPr="008029D7" w:rsidRDefault="008029D7" w:rsidP="008F4FE5">
      <w:pPr>
        <w:spacing w:after="0" w:line="360" w:lineRule="auto"/>
        <w:rPr>
          <w:rFonts w:ascii="Arial" w:hAnsi="Arial" w:cs="Arial"/>
          <w:sz w:val="22"/>
          <w:szCs w:val="22"/>
        </w:rPr>
      </w:pPr>
    </w:p>
    <w:p w14:paraId="7D4B3B9B"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4.4 Complex Query: Weighted ESG Performance Analysis</w:t>
      </w:r>
    </w:p>
    <w:p w14:paraId="4A3A91D5" w14:textId="77777777" w:rsidR="008029D7" w:rsidRPr="008029D7" w:rsidRDefault="008029D7" w:rsidP="008F4FE5">
      <w:pPr>
        <w:spacing w:after="0" w:line="360" w:lineRule="auto"/>
        <w:rPr>
          <w:rFonts w:ascii="Arial" w:hAnsi="Arial" w:cs="Arial"/>
          <w:sz w:val="22"/>
          <w:szCs w:val="22"/>
        </w:rPr>
      </w:pPr>
    </w:p>
    <w:p w14:paraId="55DE8626" w14:textId="299ECD3C" w:rsidR="008029D7" w:rsidRPr="008029D7" w:rsidRDefault="002C75FE" w:rsidP="008F4FE5">
      <w:pPr>
        <w:spacing w:after="0" w:line="360" w:lineRule="auto"/>
        <w:rPr>
          <w:rFonts w:ascii="Arial" w:hAnsi="Arial" w:cs="Arial"/>
          <w:sz w:val="22"/>
          <w:szCs w:val="22"/>
        </w:rPr>
      </w:pPr>
      <w:r w:rsidRPr="0064315A">
        <w:rPr>
          <w:noProof/>
        </w:rPr>
        <w:drawing>
          <wp:inline distT="0" distB="0" distL="0" distR="0" wp14:anchorId="4C34355D" wp14:editId="6B81AEE2">
            <wp:extent cx="4859020" cy="3168015"/>
            <wp:effectExtent l="0" t="0" r="0" b="0"/>
            <wp:docPr id="5244053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05362" name="Picture 5"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9020" cy="3168015"/>
                    </a:xfrm>
                    <a:prstGeom prst="rect">
                      <a:avLst/>
                    </a:prstGeom>
                  </pic:spPr>
                </pic:pic>
              </a:graphicData>
            </a:graphic>
          </wp:inline>
        </w:drawing>
      </w:r>
    </w:p>
    <w:p w14:paraId="54CD4CF9" w14:textId="77777777" w:rsidR="008029D7" w:rsidRPr="00AB4451" w:rsidRDefault="008029D7" w:rsidP="00AB4451">
      <w:pPr>
        <w:pStyle w:val="Caption"/>
      </w:pPr>
      <w:r w:rsidRPr="00AB4451">
        <w:t>Figure 22: Calculates the weighted ESG performance score for each fund based on the latest company ESG assessments and their portfolio weights. This aggregation enables comparative sustainability ranking among funds.</w:t>
      </w:r>
    </w:p>
    <w:p w14:paraId="630EDF3F" w14:textId="77777777" w:rsidR="008029D7" w:rsidRPr="008029D7" w:rsidRDefault="008029D7" w:rsidP="008F4FE5">
      <w:pPr>
        <w:spacing w:after="0" w:line="360" w:lineRule="auto"/>
        <w:rPr>
          <w:rFonts w:ascii="Arial" w:hAnsi="Arial" w:cs="Arial"/>
          <w:sz w:val="22"/>
          <w:szCs w:val="22"/>
        </w:rPr>
      </w:pPr>
    </w:p>
    <w:p w14:paraId="4C97583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Detailed Explanation:</w:t>
      </w:r>
    </w:p>
    <w:p w14:paraId="6520182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advanced analytical query calculates the weighted ESG score of each investment fund by combining the most recent ESG performance of its underlying companies with the portfolio's proportional holdings (</w:t>
      </w:r>
      <w:proofErr w:type="spellStart"/>
      <w:r w:rsidRPr="008029D7">
        <w:rPr>
          <w:rFonts w:ascii="Arial" w:hAnsi="Arial" w:cs="Arial"/>
          <w:sz w:val="22"/>
          <w:szCs w:val="22"/>
        </w:rPr>
        <w:t>weight_in_portfolio</w:t>
      </w:r>
      <w:proofErr w:type="spellEnd"/>
      <w:r w:rsidRPr="008029D7">
        <w:rPr>
          <w:rFonts w:ascii="Arial" w:hAnsi="Arial" w:cs="Arial"/>
          <w:sz w:val="22"/>
          <w:szCs w:val="22"/>
        </w:rPr>
        <w:t>).</w:t>
      </w:r>
    </w:p>
    <w:p w14:paraId="1B4ACE9C" w14:textId="77777777" w:rsidR="008029D7" w:rsidRPr="008029D7" w:rsidRDefault="008029D7" w:rsidP="008F4FE5">
      <w:pPr>
        <w:spacing w:after="0" w:line="360" w:lineRule="auto"/>
        <w:rPr>
          <w:rFonts w:ascii="Arial" w:hAnsi="Arial" w:cs="Arial"/>
          <w:sz w:val="22"/>
          <w:szCs w:val="22"/>
        </w:rPr>
      </w:pPr>
    </w:p>
    <w:p w14:paraId="1FE4EC9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subquery (CALL {}) extracts the most recent ESG score per company using the latest </w:t>
      </w:r>
      <w:proofErr w:type="spellStart"/>
      <w:r w:rsidRPr="008029D7">
        <w:rPr>
          <w:rFonts w:ascii="Arial" w:hAnsi="Arial" w:cs="Arial"/>
          <w:sz w:val="22"/>
          <w:szCs w:val="22"/>
        </w:rPr>
        <w:t>assessment_date</w:t>
      </w:r>
      <w:proofErr w:type="spellEnd"/>
      <w:r w:rsidRPr="008029D7">
        <w:rPr>
          <w:rFonts w:ascii="Arial" w:hAnsi="Arial" w:cs="Arial"/>
          <w:sz w:val="22"/>
          <w:szCs w:val="22"/>
        </w:rPr>
        <w:t>, ensuring data freshness. The outer aggregation computes a weighted average ESG score for each fund, which is rounded and ranked.</w:t>
      </w:r>
    </w:p>
    <w:p w14:paraId="2C566136" w14:textId="77777777" w:rsidR="008029D7" w:rsidRPr="008029D7" w:rsidRDefault="008029D7" w:rsidP="008F4FE5">
      <w:pPr>
        <w:spacing w:after="0" w:line="360" w:lineRule="auto"/>
        <w:rPr>
          <w:rFonts w:ascii="Arial" w:hAnsi="Arial" w:cs="Arial"/>
          <w:sz w:val="22"/>
          <w:szCs w:val="22"/>
        </w:rPr>
      </w:pPr>
    </w:p>
    <w:p w14:paraId="08DC191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Analytical Insight:</w:t>
      </w:r>
    </w:p>
    <w:p w14:paraId="7EBBD50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powerful query enables fund-level sustainability assessment. By incorporating weighting logic, it captures not just the ESG performance of companies, but also their material significance within the portfolio. This facilitates strategic comparisons between funds, such as identifying top performers (F015, F014) and lagging funds requiring sustainability improvement.</w:t>
      </w:r>
    </w:p>
    <w:p w14:paraId="06E884E7" w14:textId="77777777" w:rsidR="008029D7" w:rsidRPr="008029D7" w:rsidRDefault="008029D7" w:rsidP="008F4FE5">
      <w:pPr>
        <w:spacing w:after="0" w:line="360" w:lineRule="auto"/>
        <w:rPr>
          <w:rFonts w:ascii="Arial" w:hAnsi="Arial" w:cs="Arial"/>
          <w:sz w:val="22"/>
          <w:szCs w:val="22"/>
        </w:rPr>
      </w:pPr>
    </w:p>
    <w:p w14:paraId="12D78B0F" w14:textId="6DA5D5D0" w:rsidR="008029D7" w:rsidRPr="008029D7" w:rsidRDefault="002C75FE" w:rsidP="008F4FE5">
      <w:pPr>
        <w:spacing w:after="0" w:line="360" w:lineRule="auto"/>
        <w:rPr>
          <w:rFonts w:ascii="Arial" w:hAnsi="Arial" w:cs="Arial"/>
          <w:sz w:val="22"/>
          <w:szCs w:val="22"/>
        </w:rPr>
      </w:pPr>
      <w:r w:rsidRPr="0064315A">
        <w:rPr>
          <w:noProof/>
        </w:rPr>
        <w:drawing>
          <wp:inline distT="0" distB="0" distL="0" distR="0" wp14:anchorId="0E088786" wp14:editId="4B934317">
            <wp:extent cx="4859020" cy="3163570"/>
            <wp:effectExtent l="0" t="0" r="0" b="0"/>
            <wp:docPr id="211525196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1965" name="Picture 6"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9020" cy="3163570"/>
                    </a:xfrm>
                    <a:prstGeom prst="rect">
                      <a:avLst/>
                    </a:prstGeom>
                  </pic:spPr>
                </pic:pic>
              </a:graphicData>
            </a:graphic>
          </wp:inline>
        </w:drawing>
      </w:r>
    </w:p>
    <w:p w14:paraId="71FE66FC" w14:textId="77777777" w:rsidR="008029D7" w:rsidRPr="00AB4451" w:rsidRDefault="008029D7" w:rsidP="00AB4451">
      <w:pPr>
        <w:pStyle w:val="Caption"/>
      </w:pPr>
      <w:r w:rsidRPr="00AB4451">
        <w:t>Figure 23: Extended view of the weighted ESG rollup query, showing all funds sorted in descending order of their weighted overall ESG scores.</w:t>
      </w:r>
    </w:p>
    <w:p w14:paraId="47C1B5A7" w14:textId="77777777" w:rsidR="008029D7" w:rsidRPr="008029D7" w:rsidRDefault="008029D7" w:rsidP="008F4FE5">
      <w:pPr>
        <w:spacing w:after="0" w:line="360" w:lineRule="auto"/>
        <w:rPr>
          <w:rFonts w:ascii="Arial" w:hAnsi="Arial" w:cs="Arial"/>
          <w:sz w:val="22"/>
          <w:szCs w:val="22"/>
        </w:rPr>
      </w:pPr>
    </w:p>
    <w:p w14:paraId="6D6294E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Detailed Explanation:</w:t>
      </w:r>
    </w:p>
    <w:p w14:paraId="79F7DF9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figure extends the previous rollup query, showing the full range of calculated ESG-weighted scores for all funds. Each row represents an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with its computed aggregate ESG value. The descending order enables quick benchmarking across portfolios.</w:t>
      </w:r>
    </w:p>
    <w:p w14:paraId="354AD850" w14:textId="77777777" w:rsidR="008029D7" w:rsidRPr="008029D7" w:rsidRDefault="008029D7" w:rsidP="008F4FE5">
      <w:pPr>
        <w:spacing w:after="0" w:line="360" w:lineRule="auto"/>
        <w:rPr>
          <w:rFonts w:ascii="Arial" w:hAnsi="Arial" w:cs="Arial"/>
          <w:sz w:val="22"/>
          <w:szCs w:val="22"/>
        </w:rPr>
      </w:pPr>
    </w:p>
    <w:p w14:paraId="1359512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Insight:</w:t>
      </w:r>
    </w:p>
    <w:p w14:paraId="648B01B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comprehensive table illustrates a ranking system where funds can be evaluated based on overall ESG performance. Fund managers or analysts can leverage these insights to rebalance portfolios, identify low-performing ESG assets, or communicate sustainability progress to stakeholders.</w:t>
      </w:r>
    </w:p>
    <w:p w14:paraId="43CD73F7" w14:textId="77777777" w:rsidR="008029D7" w:rsidRDefault="008029D7" w:rsidP="008F4FE5">
      <w:pPr>
        <w:spacing w:after="0" w:line="360" w:lineRule="auto"/>
        <w:rPr>
          <w:rFonts w:ascii="Arial" w:hAnsi="Arial" w:cs="Arial"/>
          <w:sz w:val="22"/>
          <w:szCs w:val="22"/>
        </w:rPr>
      </w:pPr>
    </w:p>
    <w:p w14:paraId="5E074808" w14:textId="77777777" w:rsidR="000F5944" w:rsidRDefault="000F5944" w:rsidP="008F4FE5">
      <w:pPr>
        <w:spacing w:after="0" w:line="360" w:lineRule="auto"/>
        <w:rPr>
          <w:rFonts w:ascii="Arial" w:hAnsi="Arial" w:cs="Arial"/>
          <w:sz w:val="22"/>
          <w:szCs w:val="22"/>
        </w:rPr>
      </w:pPr>
    </w:p>
    <w:p w14:paraId="71FF48A4" w14:textId="77777777" w:rsidR="000F5944" w:rsidRPr="008029D7" w:rsidRDefault="000F5944" w:rsidP="008F4FE5">
      <w:pPr>
        <w:spacing w:after="0" w:line="360" w:lineRule="auto"/>
        <w:rPr>
          <w:rFonts w:ascii="Arial" w:hAnsi="Arial" w:cs="Arial"/>
          <w:sz w:val="22"/>
          <w:szCs w:val="22"/>
        </w:rPr>
      </w:pPr>
    </w:p>
    <w:p w14:paraId="3BE6A432"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lastRenderedPageBreak/>
        <w:t>4.5 Query Summary</w:t>
      </w:r>
    </w:p>
    <w:p w14:paraId="1A35E75C" w14:textId="77777777" w:rsidR="008029D7" w:rsidRPr="008029D7" w:rsidRDefault="008029D7" w:rsidP="008F4FE5">
      <w:pPr>
        <w:spacing w:after="0" w:line="360" w:lineRule="auto"/>
        <w:rPr>
          <w:rFonts w:ascii="Arial" w:hAnsi="Arial" w:cs="Arial"/>
          <w:sz w:val="22"/>
          <w:szCs w:val="22"/>
        </w:rPr>
      </w:pPr>
    </w:p>
    <w:p w14:paraId="20F97C0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Cypher queries progressively demonstrate analytical capabilities ranging from basic relationship tracing (fund-manager mappings) to complex aggregation tasks (weighted ESG scoring). These queries illustrate how Neo4j can be used to uncover managerial hierarchies, portfolio compositions, carbon performance patterns, and sustainability-weighted fund insights in an ESG investment context.</w:t>
      </w:r>
    </w:p>
    <w:p w14:paraId="3DF3330C" w14:textId="3B5D8EDF" w:rsidR="008029D7" w:rsidRPr="008029D7" w:rsidRDefault="008029D7" w:rsidP="008F4FE5">
      <w:pPr>
        <w:spacing w:after="0" w:line="360" w:lineRule="auto"/>
        <w:rPr>
          <w:rFonts w:ascii="Arial" w:hAnsi="Arial" w:cs="Arial"/>
          <w:sz w:val="22"/>
          <w:szCs w:val="22"/>
        </w:rPr>
      </w:pPr>
    </w:p>
    <w:p w14:paraId="35FA39A3" w14:textId="77777777" w:rsidR="008029D7" w:rsidRPr="00F876F3" w:rsidRDefault="008029D7" w:rsidP="008F4FE5">
      <w:pPr>
        <w:spacing w:after="0" w:line="360" w:lineRule="auto"/>
        <w:rPr>
          <w:rFonts w:ascii="Arial" w:hAnsi="Arial" w:cs="Arial"/>
          <w:b/>
          <w:bCs/>
          <w:sz w:val="28"/>
          <w:szCs w:val="28"/>
        </w:rPr>
      </w:pPr>
      <w:r w:rsidRPr="00F876F3">
        <w:rPr>
          <w:rFonts w:ascii="Arial" w:hAnsi="Arial" w:cs="Arial"/>
          <w:b/>
          <w:bCs/>
          <w:sz w:val="28"/>
          <w:szCs w:val="28"/>
        </w:rPr>
        <w:t>5. CENTRALITY ALGORITHMS</w:t>
      </w:r>
    </w:p>
    <w:p w14:paraId="5B81F9BB" w14:textId="77777777" w:rsidR="008029D7" w:rsidRPr="008029D7" w:rsidRDefault="008029D7" w:rsidP="008F4FE5">
      <w:pPr>
        <w:spacing w:after="0" w:line="360" w:lineRule="auto"/>
        <w:rPr>
          <w:rFonts w:ascii="Arial" w:hAnsi="Arial" w:cs="Arial"/>
          <w:sz w:val="22"/>
          <w:szCs w:val="22"/>
        </w:rPr>
      </w:pPr>
    </w:p>
    <w:p w14:paraId="24565AC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section demonstrates the application of Neo4j's PageRank centrality algorithm to identify influential companies within the ESG investment network.</w:t>
      </w:r>
    </w:p>
    <w:p w14:paraId="1FE4F742" w14:textId="77777777" w:rsidR="008029D7" w:rsidRPr="008029D7" w:rsidRDefault="008029D7" w:rsidP="008F4FE5">
      <w:pPr>
        <w:spacing w:after="0" w:line="360" w:lineRule="auto"/>
        <w:rPr>
          <w:rFonts w:ascii="Arial" w:hAnsi="Arial" w:cs="Arial"/>
          <w:sz w:val="22"/>
          <w:szCs w:val="22"/>
        </w:rPr>
      </w:pPr>
    </w:p>
    <w:p w14:paraId="2DEE6197" w14:textId="77777777" w:rsidR="008029D7" w:rsidRPr="00C232B8" w:rsidRDefault="008029D7" w:rsidP="008F4FE5">
      <w:pPr>
        <w:spacing w:after="0" w:line="360" w:lineRule="auto"/>
        <w:rPr>
          <w:rFonts w:ascii="Arial" w:hAnsi="Arial" w:cs="Arial"/>
          <w:b/>
          <w:bCs/>
          <w:sz w:val="22"/>
          <w:szCs w:val="22"/>
        </w:rPr>
      </w:pPr>
      <w:r w:rsidRPr="00C232B8">
        <w:rPr>
          <w:rFonts w:ascii="Arial" w:hAnsi="Arial" w:cs="Arial"/>
          <w:b/>
          <w:bCs/>
          <w:sz w:val="22"/>
          <w:szCs w:val="22"/>
        </w:rPr>
        <w:t>5.1 Centrality Analysis Overview</w:t>
      </w:r>
    </w:p>
    <w:p w14:paraId="2D22A3B1" w14:textId="77777777" w:rsidR="008029D7" w:rsidRPr="008029D7" w:rsidRDefault="008029D7" w:rsidP="008F4FE5">
      <w:pPr>
        <w:spacing w:after="0" w:line="360" w:lineRule="auto"/>
        <w:rPr>
          <w:rFonts w:ascii="Arial" w:hAnsi="Arial" w:cs="Arial"/>
          <w:sz w:val="22"/>
          <w:szCs w:val="22"/>
        </w:rPr>
      </w:pPr>
    </w:p>
    <w:p w14:paraId="24EE7BD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PageRank centrality algorithm was applied on a derived co-holding graph connecting companies co-invested by common funds. Each relationship was weighted by the number of shared fund links. The resulting centrality scores highlight companies with the highest market exposure and strategic investment importance across portfolios.</w:t>
      </w:r>
    </w:p>
    <w:p w14:paraId="6C12C0D2" w14:textId="77777777" w:rsidR="008029D7" w:rsidRPr="008029D7" w:rsidRDefault="008029D7" w:rsidP="008F4FE5">
      <w:pPr>
        <w:spacing w:after="0" w:line="360" w:lineRule="auto"/>
        <w:rPr>
          <w:rFonts w:ascii="Arial" w:hAnsi="Arial" w:cs="Arial"/>
          <w:sz w:val="22"/>
          <w:szCs w:val="22"/>
        </w:rPr>
      </w:pPr>
    </w:p>
    <w:p w14:paraId="07144593" w14:textId="0A852E1C"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3246A23E" wp14:editId="7DFF70B1">
            <wp:extent cx="4859020" cy="1678305"/>
            <wp:effectExtent l="0" t="0" r="0" b="0"/>
            <wp:docPr id="1227990458"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90458" name="Picture 7" descr="A screenshot of a computer program&#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9020" cy="1678305"/>
                    </a:xfrm>
                    <a:prstGeom prst="rect">
                      <a:avLst/>
                    </a:prstGeom>
                  </pic:spPr>
                </pic:pic>
              </a:graphicData>
            </a:graphic>
          </wp:inline>
        </w:drawing>
      </w:r>
    </w:p>
    <w:p w14:paraId="2FBDD4A5" w14:textId="77777777" w:rsidR="008029D7" w:rsidRPr="000F5944" w:rsidRDefault="008029D7" w:rsidP="000F5944">
      <w:pPr>
        <w:pStyle w:val="Caption"/>
      </w:pPr>
      <w:r w:rsidRPr="000F5944">
        <w:t>Figure 24: Projection of the in-memory co-holding graph ('</w:t>
      </w:r>
      <w:proofErr w:type="spellStart"/>
      <w:r w:rsidRPr="000F5944">
        <w:t>coHold</w:t>
      </w:r>
      <w:proofErr w:type="spellEnd"/>
      <w:r w:rsidRPr="000F5944">
        <w:t>') containing 10 company nodes and 125 relationships. This projection models company-company connections based on shared fund holdings.</w:t>
      </w:r>
    </w:p>
    <w:p w14:paraId="20939948" w14:textId="77777777" w:rsidR="008029D7" w:rsidRPr="008029D7" w:rsidRDefault="008029D7" w:rsidP="008F4FE5">
      <w:pPr>
        <w:spacing w:after="0" w:line="360" w:lineRule="auto"/>
        <w:rPr>
          <w:rFonts w:ascii="Arial" w:hAnsi="Arial" w:cs="Arial"/>
          <w:sz w:val="22"/>
          <w:szCs w:val="22"/>
        </w:rPr>
      </w:pPr>
    </w:p>
    <w:p w14:paraId="596C22B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Cypher query applies Neo4j's PageRank algorithm from the Graph Data Science (GDS) library to identify companies with high centrality in the investment network. The query first projects a graph (</w:t>
      </w:r>
      <w:proofErr w:type="spellStart"/>
      <w:r w:rsidRPr="008029D7">
        <w:rPr>
          <w:rFonts w:ascii="Arial" w:hAnsi="Arial" w:cs="Arial"/>
          <w:sz w:val="22"/>
          <w:szCs w:val="22"/>
        </w:rPr>
        <w:t>coHold</w:t>
      </w:r>
      <w:proofErr w:type="spellEnd"/>
      <w:r w:rsidRPr="008029D7">
        <w:rPr>
          <w:rFonts w:ascii="Arial" w:hAnsi="Arial" w:cs="Arial"/>
          <w:sz w:val="22"/>
          <w:szCs w:val="22"/>
        </w:rPr>
        <w:t>) connecting companies that are co-held by the same investment funds. The PageRank algorithm then computes each company's influence score based on how frequently it co-occurs with others within these fund portfolios.</w:t>
      </w:r>
    </w:p>
    <w:p w14:paraId="247DA6B8" w14:textId="77777777" w:rsidR="008029D7" w:rsidRPr="008029D7" w:rsidRDefault="008029D7" w:rsidP="008F4FE5">
      <w:pPr>
        <w:spacing w:after="0" w:line="360" w:lineRule="auto"/>
        <w:rPr>
          <w:rFonts w:ascii="Arial" w:hAnsi="Arial" w:cs="Arial"/>
          <w:sz w:val="22"/>
          <w:szCs w:val="22"/>
        </w:rPr>
      </w:pPr>
    </w:p>
    <w:p w14:paraId="0371B69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Analytical Explanation:</w:t>
      </w:r>
    </w:p>
    <w:p w14:paraId="3C75845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PageRank centrality measures how influential a node is within a network, </w:t>
      </w:r>
      <w:proofErr w:type="gramStart"/>
      <w:r w:rsidRPr="008029D7">
        <w:rPr>
          <w:rFonts w:ascii="Arial" w:hAnsi="Arial" w:cs="Arial"/>
          <w:sz w:val="22"/>
          <w:szCs w:val="22"/>
        </w:rPr>
        <w:t>taking into account</w:t>
      </w:r>
      <w:proofErr w:type="gramEnd"/>
      <w:r w:rsidRPr="008029D7">
        <w:rPr>
          <w:rFonts w:ascii="Arial" w:hAnsi="Arial" w:cs="Arial"/>
          <w:sz w:val="22"/>
          <w:szCs w:val="22"/>
        </w:rPr>
        <w:t xml:space="preserve"> both the number and quality of its connections. In this ESG investment graph, companies are linked through shared investment funds (</w:t>
      </w:r>
      <w:proofErr w:type="gramStart"/>
      <w:r w:rsidRPr="008029D7">
        <w:rPr>
          <w:rFonts w:ascii="Arial" w:hAnsi="Arial" w:cs="Arial"/>
          <w:sz w:val="22"/>
          <w:szCs w:val="22"/>
        </w:rPr>
        <w:t>[:HOLDS</w:t>
      </w:r>
      <w:proofErr w:type="gramEnd"/>
      <w:r w:rsidRPr="008029D7">
        <w:rPr>
          <w:rFonts w:ascii="Arial" w:hAnsi="Arial" w:cs="Arial"/>
          <w:sz w:val="22"/>
          <w:szCs w:val="22"/>
        </w:rPr>
        <w:t>] relationships), creating a co-holding network where each edge represents joint ownership or exposure by investors.</w:t>
      </w:r>
    </w:p>
    <w:p w14:paraId="0363934B" w14:textId="77777777" w:rsidR="008029D7" w:rsidRPr="008029D7" w:rsidRDefault="008029D7" w:rsidP="008F4FE5">
      <w:pPr>
        <w:spacing w:after="0" w:line="360" w:lineRule="auto"/>
        <w:rPr>
          <w:rFonts w:ascii="Arial" w:hAnsi="Arial" w:cs="Arial"/>
          <w:sz w:val="22"/>
          <w:szCs w:val="22"/>
        </w:rPr>
      </w:pPr>
    </w:p>
    <w:p w14:paraId="1E165DD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Companies with higher PageRank values are more interconnected within investor portfolios, indicating that:</w:t>
      </w:r>
    </w:p>
    <w:p w14:paraId="5B1BDB46" w14:textId="77777777" w:rsidR="008029D7" w:rsidRPr="008029D7" w:rsidRDefault="008029D7" w:rsidP="008F4FE5">
      <w:pPr>
        <w:spacing w:after="0" w:line="360" w:lineRule="auto"/>
        <w:rPr>
          <w:rFonts w:ascii="Arial" w:hAnsi="Arial" w:cs="Arial"/>
          <w:sz w:val="22"/>
          <w:szCs w:val="22"/>
        </w:rPr>
      </w:pPr>
    </w:p>
    <w:p w14:paraId="56B7ED29" w14:textId="44F3649C" w:rsidR="008029D7" w:rsidRPr="00AB4451" w:rsidRDefault="008029D7" w:rsidP="00AB4451">
      <w:pPr>
        <w:pStyle w:val="ListParagraph"/>
        <w:numPr>
          <w:ilvl w:val="0"/>
          <w:numId w:val="7"/>
        </w:numPr>
        <w:spacing w:after="0" w:line="360" w:lineRule="auto"/>
        <w:rPr>
          <w:rFonts w:ascii="Arial" w:hAnsi="Arial" w:cs="Arial"/>
          <w:sz w:val="22"/>
          <w:szCs w:val="22"/>
        </w:rPr>
      </w:pPr>
      <w:r w:rsidRPr="00AB4451">
        <w:rPr>
          <w:rFonts w:ascii="Arial" w:hAnsi="Arial" w:cs="Arial"/>
          <w:sz w:val="22"/>
          <w:szCs w:val="22"/>
        </w:rPr>
        <w:t>They are strategically significant in the investment ecosystem</w:t>
      </w:r>
    </w:p>
    <w:p w14:paraId="69122AD7" w14:textId="1589D1E6" w:rsidR="008029D7" w:rsidRPr="00AB4451" w:rsidRDefault="008029D7" w:rsidP="00AB4451">
      <w:pPr>
        <w:pStyle w:val="ListParagraph"/>
        <w:numPr>
          <w:ilvl w:val="0"/>
          <w:numId w:val="7"/>
        </w:numPr>
        <w:spacing w:after="0" w:line="360" w:lineRule="auto"/>
        <w:rPr>
          <w:rFonts w:ascii="Arial" w:hAnsi="Arial" w:cs="Arial"/>
          <w:sz w:val="22"/>
          <w:szCs w:val="22"/>
        </w:rPr>
      </w:pPr>
      <w:r w:rsidRPr="00AB4451">
        <w:rPr>
          <w:rFonts w:ascii="Arial" w:hAnsi="Arial" w:cs="Arial"/>
          <w:sz w:val="22"/>
          <w:szCs w:val="22"/>
        </w:rPr>
        <w:t>They may exert indirect influence on fund-level ESG performance because multiple funds hold them simultaneously</w:t>
      </w:r>
    </w:p>
    <w:p w14:paraId="790257FD" w14:textId="2DC790BE" w:rsidR="008029D7" w:rsidRPr="00AB4451" w:rsidRDefault="008029D7" w:rsidP="00AB4451">
      <w:pPr>
        <w:pStyle w:val="ListParagraph"/>
        <w:numPr>
          <w:ilvl w:val="0"/>
          <w:numId w:val="7"/>
        </w:numPr>
        <w:spacing w:after="0" w:line="360" w:lineRule="auto"/>
        <w:rPr>
          <w:rFonts w:ascii="Arial" w:hAnsi="Arial" w:cs="Arial"/>
          <w:sz w:val="22"/>
          <w:szCs w:val="22"/>
        </w:rPr>
      </w:pPr>
      <w:r w:rsidRPr="00AB4451">
        <w:rPr>
          <w:rFonts w:ascii="Arial" w:hAnsi="Arial" w:cs="Arial"/>
          <w:sz w:val="22"/>
          <w:szCs w:val="22"/>
        </w:rPr>
        <w:t>They are key nodes for diversification or risk exposure since their performance could impact several funds at once</w:t>
      </w:r>
    </w:p>
    <w:p w14:paraId="69F6759A" w14:textId="77777777" w:rsidR="008029D7" w:rsidRPr="008029D7" w:rsidRDefault="008029D7" w:rsidP="008F4FE5">
      <w:pPr>
        <w:spacing w:after="0" w:line="360" w:lineRule="auto"/>
        <w:rPr>
          <w:rFonts w:ascii="Arial" w:hAnsi="Arial" w:cs="Arial"/>
          <w:sz w:val="22"/>
          <w:szCs w:val="22"/>
        </w:rPr>
      </w:pPr>
    </w:p>
    <w:p w14:paraId="2F0A75F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From an ESG perspective, these high-centrality companies are critical for understanding systemic sustainability impact—if they have strong ESG scores, their positive influence propagates across the portfolio network; conversely, weak ESG performance can degrade multiple fund ratings simultaneously.</w:t>
      </w:r>
    </w:p>
    <w:p w14:paraId="3F5CDA47" w14:textId="77777777" w:rsidR="008029D7" w:rsidRPr="008029D7" w:rsidRDefault="008029D7" w:rsidP="008F4FE5">
      <w:pPr>
        <w:spacing w:after="0" w:line="360" w:lineRule="auto"/>
        <w:rPr>
          <w:rFonts w:ascii="Arial" w:hAnsi="Arial" w:cs="Arial"/>
          <w:sz w:val="22"/>
          <w:szCs w:val="22"/>
        </w:rPr>
      </w:pPr>
    </w:p>
    <w:p w14:paraId="682EA33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insight supports data-driven portfolio optimization, helping analysts prioritize high-impact companies for engagement or deeper ESG evaluation.</w:t>
      </w:r>
    </w:p>
    <w:p w14:paraId="603780FD" w14:textId="77777777" w:rsidR="008029D7" w:rsidRPr="008029D7" w:rsidRDefault="008029D7" w:rsidP="008F4FE5">
      <w:pPr>
        <w:spacing w:after="0" w:line="360" w:lineRule="auto"/>
        <w:rPr>
          <w:rFonts w:ascii="Arial" w:hAnsi="Arial" w:cs="Arial"/>
          <w:sz w:val="22"/>
          <w:szCs w:val="22"/>
        </w:rPr>
      </w:pPr>
    </w:p>
    <w:p w14:paraId="0F57381C" w14:textId="1121FE01"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601A1EB7" wp14:editId="4242212C">
            <wp:extent cx="4859020" cy="2867660"/>
            <wp:effectExtent l="0" t="0" r="0" b="8890"/>
            <wp:docPr id="2976337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33783" name="Picture 8"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9020" cy="2867660"/>
                    </a:xfrm>
                    <a:prstGeom prst="rect">
                      <a:avLst/>
                    </a:prstGeom>
                  </pic:spPr>
                </pic:pic>
              </a:graphicData>
            </a:graphic>
          </wp:inline>
        </w:drawing>
      </w:r>
    </w:p>
    <w:p w14:paraId="201038B4" w14:textId="77777777" w:rsidR="008029D7" w:rsidRPr="000F5944" w:rsidRDefault="008029D7" w:rsidP="000F5944">
      <w:pPr>
        <w:pStyle w:val="Caption"/>
      </w:pPr>
      <w:r w:rsidRPr="000F5944">
        <w:t>Figure 25: Execution of the PageRank centrality algorithm using relationship weights to measure the relative influence of companies within the co-holding network.</w:t>
      </w:r>
    </w:p>
    <w:p w14:paraId="295C2384" w14:textId="77777777" w:rsidR="008029D7" w:rsidRPr="008029D7" w:rsidRDefault="008029D7" w:rsidP="008F4FE5">
      <w:pPr>
        <w:spacing w:after="0" w:line="360" w:lineRule="auto"/>
        <w:rPr>
          <w:rFonts w:ascii="Arial" w:hAnsi="Arial" w:cs="Arial"/>
          <w:sz w:val="22"/>
          <w:szCs w:val="22"/>
        </w:rPr>
      </w:pPr>
    </w:p>
    <w:p w14:paraId="4ECB356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screenshot shows the creation of an in-memory graph using Neo4j's Graph Data Science (GDS) library to project company co-holding relationships. The </w:t>
      </w:r>
      <w:proofErr w:type="spellStart"/>
      <w:proofErr w:type="gramStart"/>
      <w:r w:rsidRPr="008029D7">
        <w:rPr>
          <w:rFonts w:ascii="Arial" w:hAnsi="Arial" w:cs="Arial"/>
          <w:sz w:val="22"/>
          <w:szCs w:val="22"/>
        </w:rPr>
        <w:t>gds.graph</w:t>
      </w:r>
      <w:proofErr w:type="gramEnd"/>
      <w:r w:rsidRPr="008029D7">
        <w:rPr>
          <w:rFonts w:ascii="Arial" w:hAnsi="Arial" w:cs="Arial"/>
          <w:sz w:val="22"/>
          <w:szCs w:val="22"/>
        </w:rPr>
        <w:t>.</w:t>
      </w:r>
      <w:proofErr w:type="gramStart"/>
      <w:r w:rsidRPr="008029D7">
        <w:rPr>
          <w:rFonts w:ascii="Arial" w:hAnsi="Arial" w:cs="Arial"/>
          <w:sz w:val="22"/>
          <w:szCs w:val="22"/>
        </w:rPr>
        <w:t>project.cypher</w:t>
      </w:r>
      <w:proofErr w:type="spellEnd"/>
      <w:proofErr w:type="gramEnd"/>
      <w:r w:rsidRPr="008029D7">
        <w:rPr>
          <w:rFonts w:ascii="Arial" w:hAnsi="Arial" w:cs="Arial"/>
          <w:sz w:val="22"/>
          <w:szCs w:val="22"/>
        </w:rPr>
        <w:t xml:space="preserve"> command builds a temporary graph named "</w:t>
      </w:r>
      <w:proofErr w:type="spellStart"/>
      <w:r w:rsidRPr="008029D7">
        <w:rPr>
          <w:rFonts w:ascii="Arial" w:hAnsi="Arial" w:cs="Arial"/>
          <w:sz w:val="22"/>
          <w:szCs w:val="22"/>
        </w:rPr>
        <w:t>coHold</w:t>
      </w:r>
      <w:proofErr w:type="spellEnd"/>
      <w:r w:rsidRPr="008029D7">
        <w:rPr>
          <w:rFonts w:ascii="Arial" w:hAnsi="Arial" w:cs="Arial"/>
          <w:sz w:val="22"/>
          <w:szCs w:val="22"/>
        </w:rPr>
        <w:t>", where nodes represent companies and relationships are derived from shared investment fund holdings. The projection summary displays the number of nodes, relationships, and execution time, serving as a preparatory step before running the PageRank centrality algorithm to identify the most influential companies in the investment network.</w:t>
      </w:r>
    </w:p>
    <w:p w14:paraId="64CD7275" w14:textId="77777777" w:rsidR="008029D7" w:rsidRPr="008029D7" w:rsidRDefault="008029D7" w:rsidP="008F4FE5">
      <w:pPr>
        <w:spacing w:after="0" w:line="360" w:lineRule="auto"/>
        <w:rPr>
          <w:rFonts w:ascii="Arial" w:hAnsi="Arial" w:cs="Arial"/>
          <w:sz w:val="22"/>
          <w:szCs w:val="22"/>
        </w:rPr>
      </w:pPr>
    </w:p>
    <w:p w14:paraId="5C21AFDC" w14:textId="3FE8CCD7"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61072DB8" wp14:editId="2D3AC271">
            <wp:extent cx="4859020" cy="2585720"/>
            <wp:effectExtent l="0" t="0" r="0" b="5080"/>
            <wp:docPr id="75810409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4090" name="Picture 10"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9020" cy="2585720"/>
                    </a:xfrm>
                    <a:prstGeom prst="rect">
                      <a:avLst/>
                    </a:prstGeom>
                  </pic:spPr>
                </pic:pic>
              </a:graphicData>
            </a:graphic>
          </wp:inline>
        </w:drawing>
      </w:r>
    </w:p>
    <w:p w14:paraId="13646344" w14:textId="77777777" w:rsidR="008029D7" w:rsidRPr="000F5944" w:rsidRDefault="008029D7" w:rsidP="000F5944">
      <w:pPr>
        <w:pStyle w:val="Caption"/>
      </w:pPr>
      <w:r w:rsidRPr="000F5944">
        <w:t>Figure 26: Summary statistics after writing PageRank values back to company nodes. All nodes successfully received PageRank scores.</w:t>
      </w:r>
    </w:p>
    <w:p w14:paraId="0D40E11A" w14:textId="77777777" w:rsidR="008029D7" w:rsidRPr="008029D7" w:rsidRDefault="008029D7" w:rsidP="008F4FE5">
      <w:pPr>
        <w:spacing w:after="0" w:line="360" w:lineRule="auto"/>
        <w:rPr>
          <w:rFonts w:ascii="Arial" w:hAnsi="Arial" w:cs="Arial"/>
          <w:sz w:val="22"/>
          <w:szCs w:val="22"/>
        </w:rPr>
      </w:pPr>
    </w:p>
    <w:p w14:paraId="0D085B2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table displays the PageRank scores computed for companies within the investment network. Each company node was evaluated using Neo4j's PageRank centrality algorithm, which measures how influential or connected a company is based on its relationships with other companies co-held by investment funds.</w:t>
      </w:r>
    </w:p>
    <w:p w14:paraId="149E475B" w14:textId="77777777" w:rsidR="008029D7" w:rsidRPr="008029D7" w:rsidRDefault="008029D7" w:rsidP="008F4FE5">
      <w:pPr>
        <w:spacing w:after="0" w:line="360" w:lineRule="auto"/>
        <w:rPr>
          <w:rFonts w:ascii="Arial" w:hAnsi="Arial" w:cs="Arial"/>
          <w:sz w:val="22"/>
          <w:szCs w:val="22"/>
        </w:rPr>
      </w:pPr>
    </w:p>
    <w:p w14:paraId="1724338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62D9376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 this analysis, the PageRank centrality values quantify each company's relative importance within the co-holding network. A higher PageRank score would indicate that a company is frequently co-owned with other influential companies across multiple investment funds—implying greater strategic significance within the ESG (Environmental, Social, Governance) investment ecosystem.</w:t>
      </w:r>
    </w:p>
    <w:p w14:paraId="422F4C33" w14:textId="77777777" w:rsidR="008029D7" w:rsidRPr="008029D7" w:rsidRDefault="008029D7" w:rsidP="008F4FE5">
      <w:pPr>
        <w:spacing w:after="0" w:line="360" w:lineRule="auto"/>
        <w:rPr>
          <w:rFonts w:ascii="Arial" w:hAnsi="Arial" w:cs="Arial"/>
          <w:sz w:val="22"/>
          <w:szCs w:val="22"/>
        </w:rPr>
      </w:pPr>
    </w:p>
    <w:p w14:paraId="2B8B1BF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In this dataset, the PageRank values appear uniform (0.15 for all companies), which suggests that the graph structure is symmetric or sparsely connected—meaning most </w:t>
      </w:r>
      <w:r w:rsidRPr="008029D7">
        <w:rPr>
          <w:rFonts w:ascii="Arial" w:hAnsi="Arial" w:cs="Arial"/>
          <w:sz w:val="22"/>
          <w:szCs w:val="22"/>
        </w:rPr>
        <w:lastRenderedPageBreak/>
        <w:t>companies are equally connected or the relationships between funds and companies are evenly distributed.</w:t>
      </w:r>
    </w:p>
    <w:p w14:paraId="12BBB71C" w14:textId="77777777" w:rsidR="008029D7" w:rsidRPr="008029D7" w:rsidRDefault="008029D7" w:rsidP="008F4FE5">
      <w:pPr>
        <w:spacing w:after="0" w:line="360" w:lineRule="auto"/>
        <w:rPr>
          <w:rFonts w:ascii="Arial" w:hAnsi="Arial" w:cs="Arial"/>
          <w:sz w:val="22"/>
          <w:szCs w:val="22"/>
        </w:rPr>
      </w:pPr>
    </w:p>
    <w:p w14:paraId="466C566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outcome provides an important insight:</w:t>
      </w:r>
    </w:p>
    <w:p w14:paraId="453AC3B2" w14:textId="77777777" w:rsidR="008029D7" w:rsidRPr="008029D7" w:rsidRDefault="008029D7" w:rsidP="008F4FE5">
      <w:pPr>
        <w:spacing w:after="0" w:line="360" w:lineRule="auto"/>
        <w:rPr>
          <w:rFonts w:ascii="Arial" w:hAnsi="Arial" w:cs="Arial"/>
          <w:sz w:val="22"/>
          <w:szCs w:val="22"/>
        </w:rPr>
      </w:pPr>
    </w:p>
    <w:p w14:paraId="7A725230" w14:textId="45DE4975" w:rsidR="008029D7" w:rsidRPr="00AB4451" w:rsidRDefault="008029D7" w:rsidP="00AB4451">
      <w:pPr>
        <w:pStyle w:val="ListParagraph"/>
        <w:numPr>
          <w:ilvl w:val="0"/>
          <w:numId w:val="8"/>
        </w:numPr>
        <w:spacing w:after="0" w:line="360" w:lineRule="auto"/>
        <w:rPr>
          <w:rFonts w:ascii="Arial" w:hAnsi="Arial" w:cs="Arial"/>
          <w:sz w:val="22"/>
          <w:szCs w:val="22"/>
        </w:rPr>
      </w:pPr>
      <w:r w:rsidRPr="00AB4451">
        <w:rPr>
          <w:rFonts w:ascii="Arial" w:hAnsi="Arial" w:cs="Arial"/>
          <w:sz w:val="22"/>
          <w:szCs w:val="22"/>
        </w:rPr>
        <w:t>The investment distribution is balanced, with no single company dominating the network</w:t>
      </w:r>
    </w:p>
    <w:p w14:paraId="0EC7E311" w14:textId="04ADABC2" w:rsidR="008029D7" w:rsidRPr="00AB4451" w:rsidRDefault="008029D7" w:rsidP="00AB4451">
      <w:pPr>
        <w:pStyle w:val="ListParagraph"/>
        <w:numPr>
          <w:ilvl w:val="0"/>
          <w:numId w:val="8"/>
        </w:numPr>
        <w:spacing w:after="0" w:line="360" w:lineRule="auto"/>
        <w:rPr>
          <w:rFonts w:ascii="Arial" w:hAnsi="Arial" w:cs="Arial"/>
          <w:sz w:val="22"/>
          <w:szCs w:val="22"/>
        </w:rPr>
      </w:pPr>
      <w:r w:rsidRPr="00AB4451">
        <w:rPr>
          <w:rFonts w:ascii="Arial" w:hAnsi="Arial" w:cs="Arial"/>
          <w:sz w:val="22"/>
          <w:szCs w:val="22"/>
        </w:rPr>
        <w:t>Investors appear to diversify evenly across holdings, minimizing dependency on individual entities</w:t>
      </w:r>
    </w:p>
    <w:p w14:paraId="255EBEBF" w14:textId="0ABD170E" w:rsidR="008029D7" w:rsidRPr="00AB4451" w:rsidRDefault="008029D7" w:rsidP="00AB4451">
      <w:pPr>
        <w:pStyle w:val="ListParagraph"/>
        <w:numPr>
          <w:ilvl w:val="0"/>
          <w:numId w:val="8"/>
        </w:numPr>
        <w:spacing w:after="0" w:line="360" w:lineRule="auto"/>
        <w:rPr>
          <w:rFonts w:ascii="Arial" w:hAnsi="Arial" w:cs="Arial"/>
          <w:sz w:val="22"/>
          <w:szCs w:val="22"/>
        </w:rPr>
      </w:pPr>
      <w:r w:rsidRPr="00AB4451">
        <w:rPr>
          <w:rFonts w:ascii="Arial" w:hAnsi="Arial" w:cs="Arial"/>
          <w:sz w:val="22"/>
          <w:szCs w:val="22"/>
        </w:rPr>
        <w:t>From a risk management perspective, this reduces systemic exposure—the failure or poor ESG performance of one company is less likely to impact the entire investment portfolio</w:t>
      </w:r>
    </w:p>
    <w:p w14:paraId="3EC8685F" w14:textId="77777777" w:rsidR="008029D7" w:rsidRPr="008029D7" w:rsidRDefault="008029D7" w:rsidP="008F4FE5">
      <w:pPr>
        <w:spacing w:after="0" w:line="360" w:lineRule="auto"/>
        <w:rPr>
          <w:rFonts w:ascii="Arial" w:hAnsi="Arial" w:cs="Arial"/>
          <w:sz w:val="22"/>
          <w:szCs w:val="22"/>
        </w:rPr>
      </w:pPr>
    </w:p>
    <w:p w14:paraId="2958ED30" w14:textId="19F8E665"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 a larger or more heterogeneous dataset, this analysis would highlight key influencers</w:t>
      </w:r>
      <w:r w:rsidR="00AB4451">
        <w:rPr>
          <w:rFonts w:ascii="Arial" w:hAnsi="Arial" w:cs="Arial"/>
          <w:sz w:val="22"/>
          <w:szCs w:val="22"/>
        </w:rPr>
        <w:t xml:space="preserve"> - </w:t>
      </w:r>
      <w:r w:rsidRPr="008029D7">
        <w:rPr>
          <w:rFonts w:ascii="Arial" w:hAnsi="Arial" w:cs="Arial"/>
          <w:sz w:val="22"/>
          <w:szCs w:val="22"/>
        </w:rPr>
        <w:t>companies with strong ESG reputations or major portfolio exposure</w:t>
      </w:r>
      <w:r w:rsidR="00AB4451">
        <w:rPr>
          <w:rFonts w:ascii="Arial" w:hAnsi="Arial" w:cs="Arial"/>
          <w:sz w:val="22"/>
          <w:szCs w:val="22"/>
        </w:rPr>
        <w:t xml:space="preserve"> - </w:t>
      </w:r>
      <w:r w:rsidRPr="008029D7">
        <w:rPr>
          <w:rFonts w:ascii="Arial" w:hAnsi="Arial" w:cs="Arial"/>
          <w:sz w:val="22"/>
          <w:szCs w:val="22"/>
        </w:rPr>
        <w:t>helping analysts prioritize engagement and sustainability monitoring efforts.</w:t>
      </w:r>
    </w:p>
    <w:p w14:paraId="53901AC2" w14:textId="77777777" w:rsidR="008029D7" w:rsidRPr="008029D7" w:rsidRDefault="008029D7" w:rsidP="008F4FE5">
      <w:pPr>
        <w:spacing w:after="0" w:line="360" w:lineRule="auto"/>
        <w:rPr>
          <w:rFonts w:ascii="Arial" w:hAnsi="Arial" w:cs="Arial"/>
          <w:sz w:val="22"/>
          <w:szCs w:val="22"/>
        </w:rPr>
      </w:pPr>
    </w:p>
    <w:p w14:paraId="1BD3EB82" w14:textId="2414500D"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3A4FC3D6" wp14:editId="6B0EAE1F">
            <wp:extent cx="4859020" cy="2585720"/>
            <wp:effectExtent l="0" t="0" r="0" b="5080"/>
            <wp:docPr id="124251322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13220" name="Picture 1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9020" cy="2585720"/>
                    </a:xfrm>
                    <a:prstGeom prst="rect">
                      <a:avLst/>
                    </a:prstGeom>
                  </pic:spPr>
                </pic:pic>
              </a:graphicData>
            </a:graphic>
          </wp:inline>
        </w:drawing>
      </w:r>
    </w:p>
    <w:p w14:paraId="2BFE9F3D" w14:textId="77777777" w:rsidR="008029D7" w:rsidRPr="000F5944" w:rsidRDefault="008029D7" w:rsidP="000F5944">
      <w:pPr>
        <w:pStyle w:val="Caption"/>
      </w:pPr>
      <w:r w:rsidRPr="000F5944">
        <w:t xml:space="preserve">Figure 27: Top ten companies ranked by PageRank centrality. Firms with higher scores (e.g., </w:t>
      </w:r>
      <w:proofErr w:type="spellStart"/>
      <w:r w:rsidRPr="000F5944">
        <w:t>WaterPure</w:t>
      </w:r>
      <w:proofErr w:type="spellEnd"/>
      <w:r w:rsidRPr="000F5944">
        <w:t xml:space="preserve"> Inc., </w:t>
      </w:r>
      <w:proofErr w:type="spellStart"/>
      <w:r w:rsidRPr="000F5944">
        <w:t>UrbanTransit</w:t>
      </w:r>
      <w:proofErr w:type="spellEnd"/>
      <w:r w:rsidRPr="000F5944">
        <w:t xml:space="preserve"> Co, </w:t>
      </w:r>
      <w:proofErr w:type="spellStart"/>
      <w:r w:rsidRPr="000F5944">
        <w:t>SolarWave</w:t>
      </w:r>
      <w:proofErr w:type="spellEnd"/>
      <w:r w:rsidRPr="000F5944">
        <w:t xml:space="preserve"> AG) are most central within the co-holding network, indicating stronger influence or connectivity across shared fund portfolios.</w:t>
      </w:r>
    </w:p>
    <w:p w14:paraId="622FA5CC" w14:textId="77777777" w:rsidR="008029D7" w:rsidRPr="008029D7" w:rsidRDefault="008029D7" w:rsidP="008F4FE5">
      <w:pPr>
        <w:spacing w:after="0" w:line="360" w:lineRule="auto"/>
        <w:rPr>
          <w:rFonts w:ascii="Arial" w:hAnsi="Arial" w:cs="Arial"/>
          <w:sz w:val="22"/>
          <w:szCs w:val="22"/>
        </w:rPr>
      </w:pPr>
    </w:p>
    <w:p w14:paraId="58F87D9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table visualizes the PageRank centrality outcomes from Neo4j's Graph Data Science (GDS) algorithm, ranking the top 10 companies by their relative importance within the co-holding investment network. Each PageRank score reflects a company's connectivity and influence based on how frequently it appears in shared holdings with other firms through investment funds.</w:t>
      </w:r>
    </w:p>
    <w:p w14:paraId="4FF7EF90" w14:textId="77777777" w:rsidR="008029D7" w:rsidRPr="008029D7" w:rsidRDefault="008029D7" w:rsidP="008F4FE5">
      <w:pPr>
        <w:spacing w:after="0" w:line="360" w:lineRule="auto"/>
        <w:rPr>
          <w:rFonts w:ascii="Arial" w:hAnsi="Arial" w:cs="Arial"/>
          <w:sz w:val="22"/>
          <w:szCs w:val="22"/>
        </w:rPr>
      </w:pPr>
    </w:p>
    <w:p w14:paraId="75AE46F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Analytical Explanation:</w:t>
      </w:r>
    </w:p>
    <w:p w14:paraId="39E67CC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PageRank results indicate equal centrality scores (0.15) across all companies, suggesting a uniformly distributed investment structure. This means each company is equally represented within the co-holding network—no single firm acts as a dominant hub of investment relationships.</w:t>
      </w:r>
    </w:p>
    <w:p w14:paraId="5A4CC2F7" w14:textId="77777777" w:rsidR="008029D7" w:rsidRPr="008029D7" w:rsidRDefault="008029D7" w:rsidP="008F4FE5">
      <w:pPr>
        <w:spacing w:after="0" w:line="360" w:lineRule="auto"/>
        <w:rPr>
          <w:rFonts w:ascii="Arial" w:hAnsi="Arial" w:cs="Arial"/>
          <w:sz w:val="22"/>
          <w:szCs w:val="22"/>
        </w:rPr>
      </w:pPr>
    </w:p>
    <w:p w14:paraId="4DE0692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pattern typically occurs when:</w:t>
      </w:r>
    </w:p>
    <w:p w14:paraId="352FCF52" w14:textId="77777777" w:rsidR="008029D7" w:rsidRPr="008029D7" w:rsidRDefault="008029D7" w:rsidP="008F4FE5">
      <w:pPr>
        <w:spacing w:after="0" w:line="360" w:lineRule="auto"/>
        <w:rPr>
          <w:rFonts w:ascii="Arial" w:hAnsi="Arial" w:cs="Arial"/>
          <w:sz w:val="22"/>
          <w:szCs w:val="22"/>
        </w:rPr>
      </w:pPr>
    </w:p>
    <w:p w14:paraId="06314CD1" w14:textId="795FCB98" w:rsidR="008029D7" w:rsidRPr="00AB4451" w:rsidRDefault="008029D7" w:rsidP="00AB4451">
      <w:pPr>
        <w:pStyle w:val="ListParagraph"/>
        <w:numPr>
          <w:ilvl w:val="0"/>
          <w:numId w:val="9"/>
        </w:numPr>
        <w:spacing w:after="0" w:line="360" w:lineRule="auto"/>
        <w:rPr>
          <w:rFonts w:ascii="Arial" w:hAnsi="Arial" w:cs="Arial"/>
          <w:sz w:val="22"/>
          <w:szCs w:val="22"/>
        </w:rPr>
      </w:pPr>
      <w:r w:rsidRPr="00AB4451">
        <w:rPr>
          <w:rFonts w:ascii="Arial" w:hAnsi="Arial" w:cs="Arial"/>
          <w:sz w:val="22"/>
          <w:szCs w:val="22"/>
        </w:rPr>
        <w:t>All companies are connected to a similar number of funds, or</w:t>
      </w:r>
    </w:p>
    <w:p w14:paraId="2C5CA11A" w14:textId="4238E72C" w:rsidR="008029D7" w:rsidRPr="00AB4451" w:rsidRDefault="008029D7" w:rsidP="00AB4451">
      <w:pPr>
        <w:pStyle w:val="ListParagraph"/>
        <w:numPr>
          <w:ilvl w:val="0"/>
          <w:numId w:val="9"/>
        </w:numPr>
        <w:spacing w:after="0" w:line="360" w:lineRule="auto"/>
        <w:rPr>
          <w:rFonts w:ascii="Arial" w:hAnsi="Arial" w:cs="Arial"/>
          <w:sz w:val="22"/>
          <w:szCs w:val="22"/>
        </w:rPr>
      </w:pPr>
      <w:r w:rsidRPr="00AB4451">
        <w:rPr>
          <w:rFonts w:ascii="Arial" w:hAnsi="Arial" w:cs="Arial"/>
          <w:sz w:val="22"/>
          <w:szCs w:val="22"/>
        </w:rPr>
        <w:t>Each fund holds only a small, distinct subset of companies without overlapping portfolios</w:t>
      </w:r>
    </w:p>
    <w:p w14:paraId="789D3E9B" w14:textId="77777777" w:rsidR="008029D7" w:rsidRPr="008029D7" w:rsidRDefault="008029D7" w:rsidP="008F4FE5">
      <w:pPr>
        <w:spacing w:after="0" w:line="360" w:lineRule="auto"/>
        <w:rPr>
          <w:rFonts w:ascii="Arial" w:hAnsi="Arial" w:cs="Arial"/>
          <w:sz w:val="22"/>
          <w:szCs w:val="22"/>
        </w:rPr>
      </w:pPr>
    </w:p>
    <w:p w14:paraId="4377AA2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From an analytical standpoint, this balanced network structure implies a low systemic concentration risk. It demonstrates that investment exposure is diversified evenly, preventing over-reliance on specific companies.</w:t>
      </w:r>
    </w:p>
    <w:p w14:paraId="60C899E0" w14:textId="77777777" w:rsidR="008029D7" w:rsidRPr="008029D7" w:rsidRDefault="008029D7" w:rsidP="008F4FE5">
      <w:pPr>
        <w:spacing w:after="0" w:line="360" w:lineRule="auto"/>
        <w:rPr>
          <w:rFonts w:ascii="Arial" w:hAnsi="Arial" w:cs="Arial"/>
          <w:sz w:val="22"/>
          <w:szCs w:val="22"/>
        </w:rPr>
      </w:pPr>
    </w:p>
    <w:p w14:paraId="0AC4073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 a real-world ESG investment context, such a distribution would reflect equal prioritization of sustainability-driven investments—ensuring that influence, resources, and monitoring efforts are distributed evenly across firms rather than being dominated by a few major corporations.</w:t>
      </w:r>
    </w:p>
    <w:p w14:paraId="1D5463A1" w14:textId="77777777" w:rsidR="008029D7" w:rsidRPr="008029D7" w:rsidRDefault="008029D7" w:rsidP="008F4FE5">
      <w:pPr>
        <w:spacing w:after="0" w:line="360" w:lineRule="auto"/>
        <w:rPr>
          <w:rFonts w:ascii="Arial" w:hAnsi="Arial" w:cs="Arial"/>
          <w:sz w:val="22"/>
          <w:szCs w:val="22"/>
        </w:rPr>
      </w:pPr>
    </w:p>
    <w:p w14:paraId="203A5789" w14:textId="6E2B07D5" w:rsidR="008029D7" w:rsidRPr="008029D7" w:rsidRDefault="002C75FE" w:rsidP="008F4FE5">
      <w:pPr>
        <w:spacing w:after="0" w:line="360" w:lineRule="auto"/>
        <w:rPr>
          <w:rFonts w:ascii="Arial" w:hAnsi="Arial" w:cs="Arial"/>
          <w:sz w:val="22"/>
          <w:szCs w:val="22"/>
        </w:rPr>
      </w:pPr>
      <w:r>
        <w:rPr>
          <w:b/>
          <w:bCs/>
          <w:noProof/>
        </w:rPr>
        <w:drawing>
          <wp:inline distT="0" distB="0" distL="0" distR="0" wp14:anchorId="03D85CE3" wp14:editId="1E701029">
            <wp:extent cx="4859020" cy="2656205"/>
            <wp:effectExtent l="0" t="0" r="0" b="0"/>
            <wp:docPr id="18491923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9237" name="Picture 12"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859020" cy="2656205"/>
                    </a:xfrm>
                    <a:prstGeom prst="rect">
                      <a:avLst/>
                    </a:prstGeom>
                  </pic:spPr>
                </pic:pic>
              </a:graphicData>
            </a:graphic>
          </wp:inline>
        </w:drawing>
      </w:r>
    </w:p>
    <w:p w14:paraId="793CD9EA" w14:textId="77777777" w:rsidR="008029D7" w:rsidRPr="000F5944" w:rsidRDefault="008029D7" w:rsidP="000F5944">
      <w:pPr>
        <w:pStyle w:val="Caption"/>
      </w:pPr>
      <w:r w:rsidRPr="000F5944">
        <w:t>Figure 28: Full Cypher workflow combining projection, PageRank computation, result extraction, and graph cleanup.</w:t>
      </w:r>
    </w:p>
    <w:p w14:paraId="2E80DA39" w14:textId="77777777" w:rsidR="008029D7" w:rsidRPr="008029D7" w:rsidRDefault="008029D7" w:rsidP="008F4FE5">
      <w:pPr>
        <w:spacing w:after="0" w:line="360" w:lineRule="auto"/>
        <w:rPr>
          <w:rFonts w:ascii="Arial" w:hAnsi="Arial" w:cs="Arial"/>
          <w:sz w:val="22"/>
          <w:szCs w:val="22"/>
        </w:rPr>
      </w:pPr>
    </w:p>
    <w:p w14:paraId="20408C0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screenshot captures the PageRank centrality computation in Neo4j's Graph Data Science (GDS) framework, where the scores are written back to the Company nodes. The </w:t>
      </w:r>
      <w:r w:rsidRPr="008029D7">
        <w:rPr>
          <w:rFonts w:ascii="Arial" w:hAnsi="Arial" w:cs="Arial"/>
          <w:sz w:val="22"/>
          <w:szCs w:val="22"/>
        </w:rPr>
        <w:lastRenderedPageBreak/>
        <w:t>summary output provides distribution metrics (minimum, maximum, mean, percentiles) that indicate the uniformity and convergence of the algorithm, confirming successful execution.</w:t>
      </w:r>
    </w:p>
    <w:p w14:paraId="6749DCA2" w14:textId="77777777" w:rsidR="008029D7" w:rsidRPr="008029D7" w:rsidRDefault="008029D7" w:rsidP="008F4FE5">
      <w:pPr>
        <w:spacing w:after="0" w:line="360" w:lineRule="auto"/>
        <w:rPr>
          <w:rFonts w:ascii="Arial" w:hAnsi="Arial" w:cs="Arial"/>
          <w:sz w:val="22"/>
          <w:szCs w:val="22"/>
        </w:rPr>
      </w:pPr>
    </w:p>
    <w:p w14:paraId="17A2341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44B5AFF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results show that the PageRank algorithm successfully converged, with all companies achieving nearly identical centrality scores between 0.1499 and 0.1500. This uniform distribution implies that every company has equal influence and connectivity within the investment network.</w:t>
      </w:r>
    </w:p>
    <w:p w14:paraId="092BC357" w14:textId="77777777" w:rsidR="008029D7" w:rsidRPr="008029D7" w:rsidRDefault="008029D7" w:rsidP="008F4FE5">
      <w:pPr>
        <w:spacing w:after="0" w:line="360" w:lineRule="auto"/>
        <w:rPr>
          <w:rFonts w:ascii="Arial" w:hAnsi="Arial" w:cs="Arial"/>
          <w:sz w:val="22"/>
          <w:szCs w:val="22"/>
        </w:rPr>
      </w:pPr>
    </w:p>
    <w:p w14:paraId="6EF18DB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From a network analysis perspective, this indicates a flat topology—there are no dominant or highly interconnected nodes. Each company is linked through shared investment funds in a balanced way, representing an evenly diversified investment ecosystem.</w:t>
      </w:r>
    </w:p>
    <w:p w14:paraId="43D6664B" w14:textId="77777777" w:rsidR="008029D7" w:rsidRPr="008029D7" w:rsidRDefault="008029D7" w:rsidP="008F4FE5">
      <w:pPr>
        <w:spacing w:after="0" w:line="360" w:lineRule="auto"/>
        <w:rPr>
          <w:rFonts w:ascii="Arial" w:hAnsi="Arial" w:cs="Arial"/>
          <w:sz w:val="22"/>
          <w:szCs w:val="22"/>
        </w:rPr>
      </w:pPr>
    </w:p>
    <w:p w14:paraId="131F29B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implication is that no company disproportionately drives ESG or financial influence across the network. This equality in ranking could suggest:</w:t>
      </w:r>
    </w:p>
    <w:p w14:paraId="2D90C6A6" w14:textId="77777777" w:rsidR="008029D7" w:rsidRPr="008029D7" w:rsidRDefault="008029D7" w:rsidP="008F4FE5">
      <w:pPr>
        <w:spacing w:after="0" w:line="360" w:lineRule="auto"/>
        <w:rPr>
          <w:rFonts w:ascii="Arial" w:hAnsi="Arial" w:cs="Arial"/>
          <w:sz w:val="22"/>
          <w:szCs w:val="22"/>
        </w:rPr>
      </w:pPr>
    </w:p>
    <w:p w14:paraId="26218E5F" w14:textId="2822AACC" w:rsidR="008029D7" w:rsidRPr="000F5944" w:rsidRDefault="008029D7" w:rsidP="000F5944">
      <w:pPr>
        <w:pStyle w:val="ListParagraph"/>
        <w:numPr>
          <w:ilvl w:val="0"/>
          <w:numId w:val="15"/>
        </w:numPr>
        <w:spacing w:after="0" w:line="360" w:lineRule="auto"/>
        <w:rPr>
          <w:rFonts w:ascii="Arial" w:hAnsi="Arial" w:cs="Arial"/>
          <w:sz w:val="22"/>
          <w:szCs w:val="22"/>
        </w:rPr>
      </w:pPr>
      <w:r w:rsidRPr="000F5944">
        <w:rPr>
          <w:rFonts w:ascii="Arial" w:hAnsi="Arial" w:cs="Arial"/>
          <w:sz w:val="22"/>
          <w:szCs w:val="22"/>
        </w:rPr>
        <w:t>Investment funds distribute capital evenly across all firms, ensuring balanced exposure</w:t>
      </w:r>
    </w:p>
    <w:p w14:paraId="705F9199" w14:textId="04F77F9C" w:rsidR="008029D7" w:rsidRPr="000F5944" w:rsidRDefault="008029D7" w:rsidP="000F5944">
      <w:pPr>
        <w:pStyle w:val="ListParagraph"/>
        <w:numPr>
          <w:ilvl w:val="0"/>
          <w:numId w:val="15"/>
        </w:numPr>
        <w:spacing w:after="0" w:line="360" w:lineRule="auto"/>
        <w:rPr>
          <w:rFonts w:ascii="Arial" w:hAnsi="Arial" w:cs="Arial"/>
          <w:sz w:val="22"/>
          <w:szCs w:val="22"/>
        </w:rPr>
      </w:pPr>
      <w:r w:rsidRPr="000F5944">
        <w:rPr>
          <w:rFonts w:ascii="Arial" w:hAnsi="Arial" w:cs="Arial"/>
          <w:sz w:val="22"/>
          <w:szCs w:val="22"/>
        </w:rPr>
        <w:t>There is no systemic concentration risk, meaning the network is resilient against the failure of any single company</w:t>
      </w:r>
    </w:p>
    <w:p w14:paraId="1D61988A" w14:textId="77777777" w:rsidR="008029D7" w:rsidRPr="008029D7" w:rsidRDefault="008029D7" w:rsidP="008F4FE5">
      <w:pPr>
        <w:spacing w:after="0" w:line="360" w:lineRule="auto"/>
        <w:rPr>
          <w:rFonts w:ascii="Arial" w:hAnsi="Arial" w:cs="Arial"/>
          <w:sz w:val="22"/>
          <w:szCs w:val="22"/>
        </w:rPr>
      </w:pPr>
    </w:p>
    <w:p w14:paraId="4425A6A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 real-world ESG analysis, such a result aligns with responsible investment practices, promoting fairness, diversification, and reduced volatility across holdings.</w:t>
      </w:r>
    </w:p>
    <w:p w14:paraId="7376F0D7" w14:textId="77777777" w:rsidR="008029D7" w:rsidRPr="008029D7" w:rsidRDefault="008029D7" w:rsidP="008F4FE5">
      <w:pPr>
        <w:spacing w:after="0" w:line="360" w:lineRule="auto"/>
        <w:rPr>
          <w:rFonts w:ascii="Arial" w:hAnsi="Arial" w:cs="Arial"/>
          <w:sz w:val="22"/>
          <w:szCs w:val="22"/>
        </w:rPr>
      </w:pPr>
    </w:p>
    <w:p w14:paraId="345D9F01" w14:textId="471F5CA9" w:rsidR="008029D7" w:rsidRPr="008029D7" w:rsidRDefault="00CF0E7C" w:rsidP="008F4FE5">
      <w:pPr>
        <w:spacing w:after="0" w:line="360" w:lineRule="auto"/>
        <w:rPr>
          <w:rFonts w:ascii="Arial" w:hAnsi="Arial" w:cs="Arial"/>
          <w:sz w:val="22"/>
          <w:szCs w:val="22"/>
        </w:rPr>
      </w:pPr>
      <w:r>
        <w:rPr>
          <w:b/>
          <w:bCs/>
          <w:noProof/>
        </w:rPr>
        <w:drawing>
          <wp:inline distT="0" distB="0" distL="0" distR="0" wp14:anchorId="193289A7" wp14:editId="06FAD9D2">
            <wp:extent cx="4859020" cy="2105660"/>
            <wp:effectExtent l="0" t="0" r="0" b="8890"/>
            <wp:docPr id="160922264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22642" name="Picture 9"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9020" cy="2105660"/>
                    </a:xfrm>
                    <a:prstGeom prst="rect">
                      <a:avLst/>
                    </a:prstGeom>
                  </pic:spPr>
                </pic:pic>
              </a:graphicData>
            </a:graphic>
          </wp:inline>
        </w:drawing>
      </w:r>
    </w:p>
    <w:p w14:paraId="06A9BD23" w14:textId="77777777" w:rsidR="008029D7" w:rsidRPr="000F5944" w:rsidRDefault="008029D7" w:rsidP="000F5944">
      <w:pPr>
        <w:pStyle w:val="Caption"/>
      </w:pPr>
      <w:r w:rsidRPr="000F5944">
        <w:t xml:space="preserve">Figure 29: Dropping the in-memory </w:t>
      </w:r>
      <w:proofErr w:type="spellStart"/>
      <w:r w:rsidRPr="000F5944">
        <w:t>coHold</w:t>
      </w:r>
      <w:proofErr w:type="spellEnd"/>
      <w:r w:rsidRPr="000F5944">
        <w:t xml:space="preserve"> projection to release memory resources after similarity analysis.</w:t>
      </w:r>
    </w:p>
    <w:p w14:paraId="38C99E0A" w14:textId="77777777" w:rsidR="008029D7" w:rsidRPr="008029D7" w:rsidRDefault="008029D7" w:rsidP="008F4FE5">
      <w:pPr>
        <w:spacing w:after="0" w:line="360" w:lineRule="auto"/>
        <w:rPr>
          <w:rFonts w:ascii="Arial" w:hAnsi="Arial" w:cs="Arial"/>
          <w:sz w:val="22"/>
          <w:szCs w:val="22"/>
        </w:rPr>
      </w:pPr>
    </w:p>
    <w:p w14:paraId="29C0B38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figure shows the execution of the CALL </w:t>
      </w:r>
      <w:proofErr w:type="spellStart"/>
      <w:proofErr w:type="gramStart"/>
      <w:r w:rsidRPr="008029D7">
        <w:rPr>
          <w:rFonts w:ascii="Arial" w:hAnsi="Arial" w:cs="Arial"/>
          <w:sz w:val="22"/>
          <w:szCs w:val="22"/>
        </w:rPr>
        <w:t>gds.graph</w:t>
      </w:r>
      <w:proofErr w:type="gramEnd"/>
      <w:r w:rsidRPr="008029D7">
        <w:rPr>
          <w:rFonts w:ascii="Arial" w:hAnsi="Arial" w:cs="Arial"/>
          <w:sz w:val="22"/>
          <w:szCs w:val="22"/>
        </w:rPr>
        <w:t>.drop</w:t>
      </w:r>
      <w:proofErr w:type="spellEnd"/>
      <w:r w:rsidRPr="008029D7">
        <w:rPr>
          <w:rFonts w:ascii="Arial" w:hAnsi="Arial" w:cs="Arial"/>
          <w:sz w:val="22"/>
          <w:szCs w:val="22"/>
        </w:rPr>
        <w:t>('</w:t>
      </w:r>
      <w:proofErr w:type="spellStart"/>
      <w:r w:rsidRPr="008029D7">
        <w:rPr>
          <w:rFonts w:ascii="Arial" w:hAnsi="Arial" w:cs="Arial"/>
          <w:sz w:val="22"/>
          <w:szCs w:val="22"/>
        </w:rPr>
        <w:t>coHold</w:t>
      </w:r>
      <w:proofErr w:type="spellEnd"/>
      <w:r w:rsidRPr="008029D7">
        <w:rPr>
          <w:rFonts w:ascii="Arial" w:hAnsi="Arial" w:cs="Arial"/>
          <w:sz w:val="22"/>
          <w:szCs w:val="22"/>
        </w:rPr>
        <w:t xml:space="preserve">'); command, which removes the temporary in-memory graph projection after analysis. The table confirms that </w:t>
      </w:r>
      <w:r w:rsidRPr="008029D7">
        <w:rPr>
          <w:rFonts w:ascii="Arial" w:hAnsi="Arial" w:cs="Arial"/>
          <w:sz w:val="22"/>
          <w:szCs w:val="22"/>
        </w:rPr>
        <w:lastRenderedPageBreak/>
        <w:t xml:space="preserve">the </w:t>
      </w:r>
      <w:proofErr w:type="spellStart"/>
      <w:r w:rsidRPr="008029D7">
        <w:rPr>
          <w:rFonts w:ascii="Arial" w:hAnsi="Arial" w:cs="Arial"/>
          <w:sz w:val="22"/>
          <w:szCs w:val="22"/>
        </w:rPr>
        <w:t>coHold</w:t>
      </w:r>
      <w:proofErr w:type="spellEnd"/>
      <w:r w:rsidRPr="008029D7">
        <w:rPr>
          <w:rFonts w:ascii="Arial" w:hAnsi="Arial" w:cs="Arial"/>
          <w:sz w:val="22"/>
          <w:szCs w:val="22"/>
        </w:rPr>
        <w:t xml:space="preserve"> graph—previously used for the PageRank centrality and similarity computations—was successfully dropped from the GDS workspace, freeing system memory for subsequent tasks.</w:t>
      </w:r>
    </w:p>
    <w:p w14:paraId="60B54B31" w14:textId="77777777" w:rsidR="008029D7" w:rsidRPr="008029D7" w:rsidRDefault="008029D7" w:rsidP="008F4FE5">
      <w:pPr>
        <w:spacing w:after="0" w:line="360" w:lineRule="auto"/>
        <w:rPr>
          <w:rFonts w:ascii="Arial" w:hAnsi="Arial" w:cs="Arial"/>
          <w:sz w:val="22"/>
          <w:szCs w:val="22"/>
        </w:rPr>
      </w:pPr>
    </w:p>
    <w:p w14:paraId="2612734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In Neo4j's Graph Data Science (GDS) workflow, temporary in-memory graphs such as </w:t>
      </w:r>
      <w:proofErr w:type="spellStart"/>
      <w:r w:rsidRPr="008029D7">
        <w:rPr>
          <w:rFonts w:ascii="Arial" w:hAnsi="Arial" w:cs="Arial"/>
          <w:sz w:val="22"/>
          <w:szCs w:val="22"/>
        </w:rPr>
        <w:t>coHold</w:t>
      </w:r>
      <w:proofErr w:type="spellEnd"/>
      <w:r w:rsidRPr="008029D7">
        <w:rPr>
          <w:rFonts w:ascii="Arial" w:hAnsi="Arial" w:cs="Arial"/>
          <w:sz w:val="22"/>
          <w:szCs w:val="22"/>
        </w:rPr>
        <w:t xml:space="preserve"> are used to perform complex analytics without altering the underlying stored data.</w:t>
      </w:r>
    </w:p>
    <w:p w14:paraId="2CDCB0BA" w14:textId="77777777" w:rsidR="008029D7" w:rsidRPr="008029D7" w:rsidRDefault="008029D7" w:rsidP="008F4FE5">
      <w:pPr>
        <w:spacing w:after="0" w:line="360" w:lineRule="auto"/>
        <w:rPr>
          <w:rFonts w:ascii="Arial" w:hAnsi="Arial" w:cs="Arial"/>
          <w:sz w:val="22"/>
          <w:szCs w:val="22"/>
        </w:rPr>
      </w:pPr>
    </w:p>
    <w:p w14:paraId="29748BD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Dropping the projection once analysis is complete ensures resource efficiency and data isolation, maintaining database performance and integrity.</w:t>
      </w:r>
    </w:p>
    <w:p w14:paraId="772485E6" w14:textId="77777777" w:rsidR="008029D7" w:rsidRPr="008029D7" w:rsidRDefault="008029D7" w:rsidP="008F4FE5">
      <w:pPr>
        <w:spacing w:after="0" w:line="360" w:lineRule="auto"/>
        <w:rPr>
          <w:rFonts w:ascii="Arial" w:hAnsi="Arial" w:cs="Arial"/>
          <w:sz w:val="22"/>
          <w:szCs w:val="22"/>
        </w:rPr>
      </w:pPr>
    </w:p>
    <w:p w14:paraId="4F31B28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From an analytical standpoint, this step signifies the end of a successful graph processing cycle—PageRank and similarity measures have been computed, recorded, and stored where necessary, and the system is now ready for further queries or model iterations.</w:t>
      </w:r>
    </w:p>
    <w:p w14:paraId="4099D28F" w14:textId="77777777" w:rsidR="008029D7" w:rsidRPr="008029D7" w:rsidRDefault="008029D7" w:rsidP="008F4FE5">
      <w:pPr>
        <w:spacing w:after="0" w:line="360" w:lineRule="auto"/>
        <w:rPr>
          <w:rFonts w:ascii="Arial" w:hAnsi="Arial" w:cs="Arial"/>
          <w:sz w:val="22"/>
          <w:szCs w:val="22"/>
        </w:rPr>
      </w:pPr>
    </w:p>
    <w:p w14:paraId="682F8DA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It highlights good graph data management practices, especially when handling multiple GDS algorithms or working with large-scale ESG or financial datasets, where memory optimization and workflow hygiene are critical for reproducibility and accuracy.</w:t>
      </w:r>
    </w:p>
    <w:p w14:paraId="035AAB2C" w14:textId="77777777" w:rsidR="008029D7" w:rsidRPr="008029D7" w:rsidRDefault="008029D7" w:rsidP="008F4FE5">
      <w:pPr>
        <w:spacing w:after="0" w:line="360" w:lineRule="auto"/>
        <w:rPr>
          <w:rFonts w:ascii="Arial" w:hAnsi="Arial" w:cs="Arial"/>
          <w:sz w:val="22"/>
          <w:szCs w:val="22"/>
        </w:rPr>
      </w:pPr>
    </w:p>
    <w:p w14:paraId="4865667D" w14:textId="77777777" w:rsidR="008029D7" w:rsidRPr="008029D7" w:rsidRDefault="008029D7" w:rsidP="008F4FE5">
      <w:pPr>
        <w:spacing w:after="0" w:line="360" w:lineRule="auto"/>
        <w:rPr>
          <w:rFonts w:ascii="Arial" w:hAnsi="Arial" w:cs="Arial"/>
          <w:sz w:val="22"/>
          <w:szCs w:val="22"/>
        </w:rPr>
      </w:pPr>
    </w:p>
    <w:p w14:paraId="7519A964" w14:textId="77777777" w:rsidR="008029D7" w:rsidRPr="00F876F3" w:rsidRDefault="008029D7" w:rsidP="008F4FE5">
      <w:pPr>
        <w:spacing w:after="0" w:line="360" w:lineRule="auto"/>
        <w:rPr>
          <w:rFonts w:ascii="Arial" w:hAnsi="Arial" w:cs="Arial"/>
          <w:b/>
          <w:bCs/>
          <w:sz w:val="28"/>
          <w:szCs w:val="28"/>
        </w:rPr>
      </w:pPr>
      <w:r w:rsidRPr="00F876F3">
        <w:rPr>
          <w:rFonts w:ascii="Arial" w:hAnsi="Arial" w:cs="Arial"/>
          <w:b/>
          <w:bCs/>
          <w:sz w:val="28"/>
          <w:szCs w:val="28"/>
        </w:rPr>
        <w:t>6. SIMILARITY ALGORITHMS</w:t>
      </w:r>
    </w:p>
    <w:p w14:paraId="74845550" w14:textId="77777777" w:rsidR="008029D7" w:rsidRPr="008029D7" w:rsidRDefault="008029D7" w:rsidP="008F4FE5">
      <w:pPr>
        <w:spacing w:after="0" w:line="360" w:lineRule="auto"/>
        <w:rPr>
          <w:rFonts w:ascii="Arial" w:hAnsi="Arial" w:cs="Arial"/>
          <w:sz w:val="22"/>
          <w:szCs w:val="22"/>
        </w:rPr>
      </w:pPr>
    </w:p>
    <w:p w14:paraId="13C9E529"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section demonstrates the application of Neo4j's Node Similarity algorithm to identify companies with overlapping investor bases.</w:t>
      </w:r>
    </w:p>
    <w:p w14:paraId="43691C8D" w14:textId="77777777" w:rsidR="008029D7" w:rsidRPr="008029D7" w:rsidRDefault="008029D7" w:rsidP="008F4FE5">
      <w:pPr>
        <w:spacing w:after="0" w:line="360" w:lineRule="auto"/>
        <w:rPr>
          <w:rFonts w:ascii="Arial" w:hAnsi="Arial" w:cs="Arial"/>
          <w:sz w:val="22"/>
          <w:szCs w:val="22"/>
        </w:rPr>
      </w:pPr>
    </w:p>
    <w:p w14:paraId="32793214" w14:textId="77777777" w:rsidR="008029D7" w:rsidRPr="00AB4451" w:rsidRDefault="008029D7" w:rsidP="008F4FE5">
      <w:pPr>
        <w:spacing w:after="0" w:line="360" w:lineRule="auto"/>
        <w:rPr>
          <w:rFonts w:ascii="Arial" w:hAnsi="Arial" w:cs="Arial"/>
          <w:b/>
          <w:bCs/>
          <w:sz w:val="22"/>
          <w:szCs w:val="22"/>
        </w:rPr>
      </w:pPr>
      <w:r w:rsidRPr="00AB4451">
        <w:rPr>
          <w:rFonts w:ascii="Arial" w:hAnsi="Arial" w:cs="Arial"/>
          <w:b/>
          <w:bCs/>
          <w:sz w:val="22"/>
          <w:szCs w:val="22"/>
        </w:rPr>
        <w:t>6.1 Similarity Analysis Overview</w:t>
      </w:r>
    </w:p>
    <w:p w14:paraId="6E82EF79" w14:textId="77777777" w:rsidR="008029D7" w:rsidRPr="008029D7" w:rsidRDefault="008029D7" w:rsidP="008F4FE5">
      <w:pPr>
        <w:spacing w:after="0" w:line="360" w:lineRule="auto"/>
        <w:rPr>
          <w:rFonts w:ascii="Arial" w:hAnsi="Arial" w:cs="Arial"/>
          <w:sz w:val="22"/>
          <w:szCs w:val="22"/>
        </w:rPr>
      </w:pPr>
    </w:p>
    <w:p w14:paraId="3029D65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The Node Similarity algorithm from Neo4j's GDS library was used to identify companies with overlapping investor bases. A bipartite graph consisting of Company and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nodes connected via the HOLDS relationship was projected in memory. By running the similarity algorithm, the system calculated cosine similarity between node vectors representing fund ownership patterns. Higher similarity scores indicate companies that share similar institutional investors, which could suggest comparable ESG profiles or industry alignment.</w:t>
      </w:r>
    </w:p>
    <w:p w14:paraId="50118CB8" w14:textId="77777777" w:rsidR="008029D7" w:rsidRPr="008029D7" w:rsidRDefault="008029D7" w:rsidP="008F4FE5">
      <w:pPr>
        <w:spacing w:after="0" w:line="360" w:lineRule="auto"/>
        <w:rPr>
          <w:rFonts w:ascii="Arial" w:hAnsi="Arial" w:cs="Arial"/>
          <w:sz w:val="22"/>
          <w:szCs w:val="22"/>
        </w:rPr>
      </w:pPr>
    </w:p>
    <w:p w14:paraId="3FCD4A10" w14:textId="66845F31" w:rsidR="008029D7" w:rsidRPr="008029D7" w:rsidRDefault="00CF0E7C" w:rsidP="008F4FE5">
      <w:pPr>
        <w:spacing w:after="0" w:line="360" w:lineRule="auto"/>
        <w:rPr>
          <w:rFonts w:ascii="Arial" w:hAnsi="Arial" w:cs="Arial"/>
          <w:sz w:val="22"/>
          <w:szCs w:val="22"/>
        </w:rPr>
      </w:pPr>
      <w:r w:rsidRPr="005B41B5">
        <w:rPr>
          <w:b/>
          <w:bCs/>
          <w:noProof/>
        </w:rPr>
        <w:lastRenderedPageBreak/>
        <w:drawing>
          <wp:inline distT="0" distB="0" distL="0" distR="0" wp14:anchorId="7F44BA2E" wp14:editId="0AA77FAF">
            <wp:extent cx="4859020" cy="1031240"/>
            <wp:effectExtent l="0" t="0" r="0" b="0"/>
            <wp:docPr id="4033959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5966" name="Picture 1" descr="A screenshot of a computer program&#10;&#10;AI-generated content may be incorrect."/>
                    <pic:cNvPicPr/>
                  </pic:nvPicPr>
                  <pic:blipFill>
                    <a:blip r:embed="rId34"/>
                    <a:stretch>
                      <a:fillRect/>
                    </a:stretch>
                  </pic:blipFill>
                  <pic:spPr>
                    <a:xfrm>
                      <a:off x="0" y="0"/>
                      <a:ext cx="4859020" cy="1031240"/>
                    </a:xfrm>
                    <a:prstGeom prst="rect">
                      <a:avLst/>
                    </a:prstGeom>
                  </pic:spPr>
                </pic:pic>
              </a:graphicData>
            </a:graphic>
          </wp:inline>
        </w:drawing>
      </w:r>
    </w:p>
    <w:p w14:paraId="419F2F83" w14:textId="77777777" w:rsidR="008029D7" w:rsidRPr="000F5944" w:rsidRDefault="008029D7" w:rsidP="000F5944">
      <w:pPr>
        <w:pStyle w:val="Caption"/>
      </w:pPr>
      <w:r w:rsidRPr="000F5944">
        <w:t xml:space="preserve">Figure 30: Projection of the </w:t>
      </w:r>
      <w:proofErr w:type="spellStart"/>
      <w:r w:rsidRPr="000F5944">
        <w:t>companyFund</w:t>
      </w:r>
      <w:proofErr w:type="spellEnd"/>
      <w:r w:rsidRPr="000F5944">
        <w:t xml:space="preserve"> in-memory graph. The graph connects companies and investment funds via the HOLDS relationship (undirected orientation) to enable similarity analysis based on shared fund holders.</w:t>
      </w:r>
    </w:p>
    <w:p w14:paraId="12EE9D6B" w14:textId="77777777" w:rsidR="008029D7" w:rsidRPr="008029D7" w:rsidRDefault="008029D7" w:rsidP="008F4FE5">
      <w:pPr>
        <w:spacing w:after="0" w:line="360" w:lineRule="auto"/>
        <w:rPr>
          <w:rFonts w:ascii="Arial" w:hAnsi="Arial" w:cs="Arial"/>
          <w:sz w:val="22"/>
          <w:szCs w:val="22"/>
        </w:rPr>
      </w:pPr>
    </w:p>
    <w:p w14:paraId="6719C9C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figure shows the use of Neo4j's Graph Data Science (GDS) Node Similarity algorithm to identify companies that share similar investment fund holders. The in-memory graph (</w:t>
      </w:r>
      <w:proofErr w:type="spellStart"/>
      <w:r w:rsidRPr="008029D7">
        <w:rPr>
          <w:rFonts w:ascii="Arial" w:hAnsi="Arial" w:cs="Arial"/>
          <w:sz w:val="22"/>
          <w:szCs w:val="22"/>
        </w:rPr>
        <w:t>companyFund</w:t>
      </w:r>
      <w:proofErr w:type="spellEnd"/>
      <w:r w:rsidRPr="008029D7">
        <w:rPr>
          <w:rFonts w:ascii="Arial" w:hAnsi="Arial" w:cs="Arial"/>
          <w:sz w:val="22"/>
          <w:szCs w:val="22"/>
        </w:rPr>
        <w:t xml:space="preserve">) models the undirected "HOLDS" relationships between companies and investment funds, and the </w:t>
      </w:r>
      <w:proofErr w:type="spellStart"/>
      <w:proofErr w:type="gramStart"/>
      <w:r w:rsidRPr="008029D7">
        <w:rPr>
          <w:rFonts w:ascii="Arial" w:hAnsi="Arial" w:cs="Arial"/>
          <w:sz w:val="22"/>
          <w:szCs w:val="22"/>
        </w:rPr>
        <w:t>gds.nodeSimilarity.stream</w:t>
      </w:r>
      <w:proofErr w:type="spellEnd"/>
      <w:proofErr w:type="gramEnd"/>
      <w:r w:rsidRPr="008029D7">
        <w:rPr>
          <w:rFonts w:ascii="Arial" w:hAnsi="Arial" w:cs="Arial"/>
          <w:sz w:val="22"/>
          <w:szCs w:val="22"/>
        </w:rPr>
        <w:t xml:space="preserve"> function calculates similarity scores based on shared connections.</w:t>
      </w:r>
    </w:p>
    <w:p w14:paraId="635E515F" w14:textId="77777777" w:rsidR="008029D7" w:rsidRPr="008029D7" w:rsidRDefault="008029D7" w:rsidP="008F4FE5">
      <w:pPr>
        <w:spacing w:after="0" w:line="360" w:lineRule="auto"/>
        <w:rPr>
          <w:rFonts w:ascii="Arial" w:hAnsi="Arial" w:cs="Arial"/>
          <w:sz w:val="22"/>
          <w:szCs w:val="22"/>
        </w:rPr>
      </w:pPr>
    </w:p>
    <w:p w14:paraId="34649C4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12CD1A4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Node Similarity algorithm measures how closely companies are related through common investors, using metrics such as cosine similarity or Jaccard index under the hood. In this case, companies that share more mutual investment funds will yield higher similarity scores.</w:t>
      </w:r>
    </w:p>
    <w:p w14:paraId="6176DE21" w14:textId="77777777" w:rsidR="008029D7" w:rsidRPr="008029D7" w:rsidRDefault="008029D7" w:rsidP="008F4FE5">
      <w:pPr>
        <w:spacing w:after="0" w:line="360" w:lineRule="auto"/>
        <w:rPr>
          <w:rFonts w:ascii="Arial" w:hAnsi="Arial" w:cs="Arial"/>
          <w:sz w:val="22"/>
          <w:szCs w:val="22"/>
        </w:rPr>
      </w:pPr>
    </w:p>
    <w:p w14:paraId="28346FE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analysis is particularly useful for identifying investment clustering and portfolio diversification patterns.</w:t>
      </w:r>
    </w:p>
    <w:p w14:paraId="7EB4E70C" w14:textId="77777777" w:rsidR="008029D7" w:rsidRPr="008029D7" w:rsidRDefault="008029D7" w:rsidP="008F4FE5">
      <w:pPr>
        <w:spacing w:after="0" w:line="360" w:lineRule="auto"/>
        <w:rPr>
          <w:rFonts w:ascii="Arial" w:hAnsi="Arial" w:cs="Arial"/>
          <w:sz w:val="22"/>
          <w:szCs w:val="22"/>
        </w:rPr>
      </w:pPr>
    </w:p>
    <w:p w14:paraId="7D10AF2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Insights derived include:</w:t>
      </w:r>
    </w:p>
    <w:p w14:paraId="041CEF8C" w14:textId="77777777" w:rsidR="008029D7" w:rsidRPr="008029D7" w:rsidRDefault="008029D7" w:rsidP="008F4FE5">
      <w:pPr>
        <w:spacing w:after="0" w:line="360" w:lineRule="auto"/>
        <w:rPr>
          <w:rFonts w:ascii="Arial" w:hAnsi="Arial" w:cs="Arial"/>
          <w:sz w:val="22"/>
          <w:szCs w:val="22"/>
        </w:rPr>
      </w:pPr>
    </w:p>
    <w:p w14:paraId="651E8920" w14:textId="157AB69C" w:rsidR="008029D7" w:rsidRPr="00AB4451" w:rsidRDefault="008029D7" w:rsidP="00AB4451">
      <w:pPr>
        <w:pStyle w:val="ListParagraph"/>
        <w:numPr>
          <w:ilvl w:val="0"/>
          <w:numId w:val="10"/>
        </w:numPr>
        <w:spacing w:after="0" w:line="360" w:lineRule="auto"/>
        <w:rPr>
          <w:rFonts w:ascii="Arial" w:hAnsi="Arial" w:cs="Arial"/>
          <w:sz w:val="22"/>
          <w:szCs w:val="22"/>
        </w:rPr>
      </w:pPr>
      <w:r w:rsidRPr="00AB4451">
        <w:rPr>
          <w:rFonts w:ascii="Arial" w:hAnsi="Arial" w:cs="Arial"/>
          <w:sz w:val="22"/>
          <w:szCs w:val="22"/>
        </w:rPr>
        <w:t>Companies with high similarity scores likely operate in comparable industries or ESG profiles, attracting similar types of investors</w:t>
      </w:r>
    </w:p>
    <w:p w14:paraId="5F7F8476" w14:textId="39F307CF" w:rsidR="008029D7" w:rsidRPr="00AB4451" w:rsidRDefault="008029D7" w:rsidP="00AB4451">
      <w:pPr>
        <w:pStyle w:val="ListParagraph"/>
        <w:numPr>
          <w:ilvl w:val="0"/>
          <w:numId w:val="10"/>
        </w:numPr>
        <w:spacing w:after="0" w:line="360" w:lineRule="auto"/>
        <w:rPr>
          <w:rFonts w:ascii="Arial" w:hAnsi="Arial" w:cs="Arial"/>
          <w:sz w:val="22"/>
          <w:szCs w:val="22"/>
        </w:rPr>
      </w:pPr>
      <w:r w:rsidRPr="00AB4451">
        <w:rPr>
          <w:rFonts w:ascii="Arial" w:hAnsi="Arial" w:cs="Arial"/>
          <w:sz w:val="22"/>
          <w:szCs w:val="22"/>
        </w:rPr>
        <w:t>Funds may exhibit sectoral bias, preferring companies with aligned sustainability goals or risk profiles</w:t>
      </w:r>
    </w:p>
    <w:p w14:paraId="3A099C07" w14:textId="45DF7F30" w:rsidR="008029D7" w:rsidRPr="00AB4451" w:rsidRDefault="008029D7" w:rsidP="00AB4451">
      <w:pPr>
        <w:pStyle w:val="ListParagraph"/>
        <w:numPr>
          <w:ilvl w:val="0"/>
          <w:numId w:val="10"/>
        </w:numPr>
        <w:spacing w:after="0" w:line="360" w:lineRule="auto"/>
        <w:rPr>
          <w:rFonts w:ascii="Arial" w:hAnsi="Arial" w:cs="Arial"/>
          <w:sz w:val="22"/>
          <w:szCs w:val="22"/>
        </w:rPr>
      </w:pPr>
      <w:r w:rsidRPr="00AB4451">
        <w:rPr>
          <w:rFonts w:ascii="Arial" w:hAnsi="Arial" w:cs="Arial"/>
          <w:sz w:val="22"/>
          <w:szCs w:val="22"/>
        </w:rPr>
        <w:t>Identifying these patterns helps portfolio managers and analysts detect overlapping exposure, ensuring better diversification and avoiding redundant investments</w:t>
      </w:r>
    </w:p>
    <w:p w14:paraId="1DB3875F" w14:textId="77777777" w:rsidR="008029D7" w:rsidRPr="008029D7" w:rsidRDefault="008029D7" w:rsidP="008F4FE5">
      <w:pPr>
        <w:spacing w:after="0" w:line="360" w:lineRule="auto"/>
        <w:rPr>
          <w:rFonts w:ascii="Arial" w:hAnsi="Arial" w:cs="Arial"/>
          <w:sz w:val="22"/>
          <w:szCs w:val="22"/>
        </w:rPr>
      </w:pPr>
    </w:p>
    <w:p w14:paraId="0B5CFE4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Overall, this similarity </w:t>
      </w:r>
      <w:proofErr w:type="spellStart"/>
      <w:r w:rsidRPr="008029D7">
        <w:rPr>
          <w:rFonts w:ascii="Arial" w:hAnsi="Arial" w:cs="Arial"/>
          <w:sz w:val="22"/>
          <w:szCs w:val="22"/>
        </w:rPr>
        <w:t>modeling</w:t>
      </w:r>
      <w:proofErr w:type="spellEnd"/>
      <w:r w:rsidRPr="008029D7">
        <w:rPr>
          <w:rFonts w:ascii="Arial" w:hAnsi="Arial" w:cs="Arial"/>
          <w:sz w:val="22"/>
          <w:szCs w:val="22"/>
        </w:rPr>
        <w:t xml:space="preserve"> enhances ESG portfolio optimization by revealing inter-company relationships that might not be immediately visible through direct ownership data alone.</w:t>
      </w:r>
    </w:p>
    <w:p w14:paraId="099407E5" w14:textId="77777777" w:rsidR="008029D7" w:rsidRPr="008029D7" w:rsidRDefault="008029D7" w:rsidP="008F4FE5">
      <w:pPr>
        <w:spacing w:after="0" w:line="360" w:lineRule="auto"/>
        <w:rPr>
          <w:rFonts w:ascii="Arial" w:hAnsi="Arial" w:cs="Arial"/>
          <w:sz w:val="22"/>
          <w:szCs w:val="22"/>
        </w:rPr>
      </w:pPr>
    </w:p>
    <w:p w14:paraId="7EB89376" w14:textId="17B01B36" w:rsidR="008029D7" w:rsidRPr="008029D7" w:rsidRDefault="00CF0E7C" w:rsidP="008F4FE5">
      <w:pPr>
        <w:spacing w:after="0" w:line="360" w:lineRule="auto"/>
        <w:rPr>
          <w:rFonts w:ascii="Arial" w:hAnsi="Arial" w:cs="Arial"/>
          <w:sz w:val="22"/>
          <w:szCs w:val="22"/>
        </w:rPr>
      </w:pPr>
      <w:r w:rsidRPr="005B41B5">
        <w:rPr>
          <w:b/>
          <w:bCs/>
          <w:noProof/>
        </w:rPr>
        <w:lastRenderedPageBreak/>
        <w:drawing>
          <wp:inline distT="0" distB="0" distL="0" distR="0" wp14:anchorId="5A1099F1" wp14:editId="49EE9CA6">
            <wp:extent cx="4859020" cy="2106295"/>
            <wp:effectExtent l="0" t="0" r="0" b="8255"/>
            <wp:docPr id="15005147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4727" name="Picture 1" descr="A screenshot of a computer program&#10;&#10;AI-generated content may be incorrect."/>
                    <pic:cNvPicPr/>
                  </pic:nvPicPr>
                  <pic:blipFill>
                    <a:blip r:embed="rId35"/>
                    <a:stretch>
                      <a:fillRect/>
                    </a:stretch>
                  </pic:blipFill>
                  <pic:spPr>
                    <a:xfrm>
                      <a:off x="0" y="0"/>
                      <a:ext cx="4859020" cy="2106295"/>
                    </a:xfrm>
                    <a:prstGeom prst="rect">
                      <a:avLst/>
                    </a:prstGeom>
                  </pic:spPr>
                </pic:pic>
              </a:graphicData>
            </a:graphic>
          </wp:inline>
        </w:drawing>
      </w:r>
    </w:p>
    <w:p w14:paraId="09FE067D" w14:textId="77777777" w:rsidR="008029D7" w:rsidRPr="000F5944" w:rsidRDefault="008029D7" w:rsidP="000F5944">
      <w:pPr>
        <w:pStyle w:val="Caption"/>
      </w:pPr>
      <w:r w:rsidRPr="000F5944">
        <w:t xml:space="preserve">Figure 31: Execution of the Node Similarity algorithm using the </w:t>
      </w:r>
      <w:proofErr w:type="spellStart"/>
      <w:r w:rsidRPr="000F5944">
        <w:t>companyFund</w:t>
      </w:r>
      <w:proofErr w:type="spellEnd"/>
      <w:r w:rsidRPr="000F5944">
        <w:t xml:space="preserve"> projection. The algorithm computes similarity scores between pairs of companies based on shared investment fund connections (e.g., co-investments).</w:t>
      </w:r>
    </w:p>
    <w:p w14:paraId="714B9D2F" w14:textId="77777777" w:rsidR="008029D7" w:rsidRPr="008029D7" w:rsidRDefault="008029D7" w:rsidP="008F4FE5">
      <w:pPr>
        <w:spacing w:after="0" w:line="360" w:lineRule="auto"/>
        <w:rPr>
          <w:rFonts w:ascii="Arial" w:hAnsi="Arial" w:cs="Arial"/>
          <w:sz w:val="22"/>
          <w:szCs w:val="22"/>
        </w:rPr>
      </w:pPr>
    </w:p>
    <w:p w14:paraId="7CDA019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screenshot depicts the execution of Neo4j's Node Similarity algorithm using the Graph Data Science (GDS) library to identify pairs of companies with the most overlapping investment fund holders. The script builds a temporary in-memory graph (</w:t>
      </w:r>
      <w:proofErr w:type="spellStart"/>
      <w:r w:rsidRPr="008029D7">
        <w:rPr>
          <w:rFonts w:ascii="Arial" w:hAnsi="Arial" w:cs="Arial"/>
          <w:sz w:val="22"/>
          <w:szCs w:val="22"/>
        </w:rPr>
        <w:t>companyFund</w:t>
      </w:r>
      <w:proofErr w:type="spellEnd"/>
      <w:r w:rsidRPr="008029D7">
        <w:rPr>
          <w:rFonts w:ascii="Arial" w:hAnsi="Arial" w:cs="Arial"/>
          <w:sz w:val="22"/>
          <w:szCs w:val="22"/>
        </w:rPr>
        <w:t>), computes the top five most similar company pairs based on shared "HOLDS" relationships, and then drops the temporary projection after computation.</w:t>
      </w:r>
    </w:p>
    <w:p w14:paraId="527CF9AB" w14:textId="77777777" w:rsidR="008029D7" w:rsidRPr="008029D7" w:rsidRDefault="008029D7" w:rsidP="008F4FE5">
      <w:pPr>
        <w:spacing w:after="0" w:line="360" w:lineRule="auto"/>
        <w:rPr>
          <w:rFonts w:ascii="Arial" w:hAnsi="Arial" w:cs="Arial"/>
          <w:sz w:val="22"/>
          <w:szCs w:val="22"/>
        </w:rPr>
      </w:pPr>
    </w:p>
    <w:p w14:paraId="1F82E4E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Explanation:</w:t>
      </w:r>
    </w:p>
    <w:p w14:paraId="7B94F65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Node Similarity algorithm evaluates how closely connected two companies are based on their shared investors, effectively uncovering hidden associations between entities in the investment ecosystem.</w:t>
      </w:r>
    </w:p>
    <w:p w14:paraId="1CBC5CAD" w14:textId="77777777" w:rsidR="008029D7" w:rsidRPr="008029D7" w:rsidRDefault="008029D7" w:rsidP="008F4FE5">
      <w:pPr>
        <w:spacing w:after="0" w:line="360" w:lineRule="auto"/>
        <w:rPr>
          <w:rFonts w:ascii="Arial" w:hAnsi="Arial" w:cs="Arial"/>
          <w:sz w:val="22"/>
          <w:szCs w:val="22"/>
        </w:rPr>
      </w:pPr>
    </w:p>
    <w:p w14:paraId="013C1B5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resulting similarity scores represent the degree of co-investment overlap, allowing analysts to identify clusters of companies frequently invested in together.</w:t>
      </w:r>
    </w:p>
    <w:p w14:paraId="79F083F5" w14:textId="77777777" w:rsidR="008029D7" w:rsidRPr="008029D7" w:rsidRDefault="008029D7" w:rsidP="008F4FE5">
      <w:pPr>
        <w:spacing w:after="0" w:line="360" w:lineRule="auto"/>
        <w:rPr>
          <w:rFonts w:ascii="Arial" w:hAnsi="Arial" w:cs="Arial"/>
          <w:sz w:val="22"/>
          <w:szCs w:val="22"/>
        </w:rPr>
      </w:pPr>
    </w:p>
    <w:p w14:paraId="1B033B2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Analytical insights include:</w:t>
      </w:r>
    </w:p>
    <w:p w14:paraId="6602053D" w14:textId="77777777" w:rsidR="008029D7" w:rsidRPr="008029D7" w:rsidRDefault="008029D7" w:rsidP="008F4FE5">
      <w:pPr>
        <w:spacing w:after="0" w:line="360" w:lineRule="auto"/>
        <w:rPr>
          <w:rFonts w:ascii="Arial" w:hAnsi="Arial" w:cs="Arial"/>
          <w:sz w:val="22"/>
          <w:szCs w:val="22"/>
        </w:rPr>
      </w:pPr>
    </w:p>
    <w:p w14:paraId="768FD178" w14:textId="460D1CBD" w:rsidR="008029D7" w:rsidRPr="00AB4451" w:rsidRDefault="008029D7" w:rsidP="00AB4451">
      <w:pPr>
        <w:pStyle w:val="ListParagraph"/>
        <w:numPr>
          <w:ilvl w:val="0"/>
          <w:numId w:val="11"/>
        </w:numPr>
        <w:spacing w:after="0" w:line="360" w:lineRule="auto"/>
        <w:rPr>
          <w:rFonts w:ascii="Arial" w:hAnsi="Arial" w:cs="Arial"/>
          <w:sz w:val="22"/>
          <w:szCs w:val="22"/>
        </w:rPr>
      </w:pPr>
      <w:r w:rsidRPr="00AB4451">
        <w:rPr>
          <w:rFonts w:ascii="Arial" w:hAnsi="Arial" w:cs="Arial"/>
          <w:sz w:val="22"/>
          <w:szCs w:val="22"/>
        </w:rPr>
        <w:t>High-similarity pairs indicate companies that attract the same investors—often due to similar ESG performance, sector alignment, or comparable financial stability</w:t>
      </w:r>
    </w:p>
    <w:p w14:paraId="0663E068" w14:textId="33B71884" w:rsidR="008029D7" w:rsidRPr="00AB4451" w:rsidRDefault="008029D7" w:rsidP="00AB4451">
      <w:pPr>
        <w:pStyle w:val="ListParagraph"/>
        <w:numPr>
          <w:ilvl w:val="0"/>
          <w:numId w:val="11"/>
        </w:numPr>
        <w:spacing w:after="0" w:line="360" w:lineRule="auto"/>
        <w:rPr>
          <w:rFonts w:ascii="Arial" w:hAnsi="Arial" w:cs="Arial"/>
          <w:sz w:val="22"/>
          <w:szCs w:val="22"/>
        </w:rPr>
      </w:pPr>
      <w:r w:rsidRPr="00AB4451">
        <w:rPr>
          <w:rFonts w:ascii="Arial" w:hAnsi="Arial" w:cs="Arial"/>
          <w:sz w:val="22"/>
          <w:szCs w:val="22"/>
        </w:rPr>
        <w:t>This clustering can be used to detect portfolio concentration, where multiple companies compete for investment from the same funds</w:t>
      </w:r>
    </w:p>
    <w:p w14:paraId="40A4BA57" w14:textId="2378E301" w:rsidR="008029D7" w:rsidRPr="00AB4451" w:rsidRDefault="008029D7" w:rsidP="00AB4451">
      <w:pPr>
        <w:pStyle w:val="ListParagraph"/>
        <w:numPr>
          <w:ilvl w:val="0"/>
          <w:numId w:val="11"/>
        </w:numPr>
        <w:spacing w:after="0" w:line="360" w:lineRule="auto"/>
        <w:rPr>
          <w:rFonts w:ascii="Arial" w:hAnsi="Arial" w:cs="Arial"/>
          <w:sz w:val="22"/>
          <w:szCs w:val="22"/>
        </w:rPr>
      </w:pPr>
      <w:r w:rsidRPr="00AB4451">
        <w:rPr>
          <w:rFonts w:ascii="Arial" w:hAnsi="Arial" w:cs="Arial"/>
          <w:sz w:val="22"/>
          <w:szCs w:val="22"/>
        </w:rPr>
        <w:t>From an ESG standpoint, such analysis can reveal correlated sustainability profiles or shared operational risks, providing valuable guidance for fund diversification and impact analysis</w:t>
      </w:r>
    </w:p>
    <w:p w14:paraId="0A8D7D2A" w14:textId="77777777" w:rsidR="008029D7" w:rsidRPr="008029D7" w:rsidRDefault="008029D7" w:rsidP="008F4FE5">
      <w:pPr>
        <w:spacing w:after="0" w:line="360" w:lineRule="auto"/>
        <w:rPr>
          <w:rFonts w:ascii="Arial" w:hAnsi="Arial" w:cs="Arial"/>
          <w:sz w:val="22"/>
          <w:szCs w:val="22"/>
        </w:rPr>
      </w:pPr>
    </w:p>
    <w:p w14:paraId="71077AC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In summary, this approach enables a data-driven view of investment interconnectivity, making it easier to identify patterns of shared ownership, potential collaboration opportunities, or areas of systemic investment risk.</w:t>
      </w:r>
    </w:p>
    <w:p w14:paraId="46FD881F" w14:textId="77777777" w:rsidR="008029D7" w:rsidRPr="008029D7" w:rsidRDefault="008029D7" w:rsidP="008F4FE5">
      <w:pPr>
        <w:spacing w:after="0" w:line="360" w:lineRule="auto"/>
        <w:rPr>
          <w:rFonts w:ascii="Arial" w:hAnsi="Arial" w:cs="Arial"/>
          <w:sz w:val="22"/>
          <w:szCs w:val="22"/>
        </w:rPr>
      </w:pPr>
    </w:p>
    <w:p w14:paraId="075BDBB7" w14:textId="77777777" w:rsidR="008029D7" w:rsidRPr="008029D7" w:rsidRDefault="008029D7" w:rsidP="008F4FE5">
      <w:pPr>
        <w:spacing w:after="0" w:line="360" w:lineRule="auto"/>
        <w:rPr>
          <w:rFonts w:ascii="Arial" w:hAnsi="Arial" w:cs="Arial"/>
          <w:sz w:val="22"/>
          <w:szCs w:val="22"/>
        </w:rPr>
      </w:pPr>
    </w:p>
    <w:p w14:paraId="6A08B5C6" w14:textId="77777777" w:rsidR="008029D7" w:rsidRPr="00F876F3" w:rsidRDefault="008029D7" w:rsidP="008F4FE5">
      <w:pPr>
        <w:spacing w:after="0" w:line="360" w:lineRule="auto"/>
        <w:rPr>
          <w:rFonts w:ascii="Arial" w:hAnsi="Arial" w:cs="Arial"/>
          <w:b/>
          <w:bCs/>
          <w:sz w:val="28"/>
          <w:szCs w:val="28"/>
        </w:rPr>
      </w:pPr>
      <w:r w:rsidRPr="00F876F3">
        <w:rPr>
          <w:rFonts w:ascii="Arial" w:hAnsi="Arial" w:cs="Arial"/>
          <w:b/>
          <w:bCs/>
          <w:sz w:val="28"/>
          <w:szCs w:val="28"/>
        </w:rPr>
        <w:t>7. INTEGRATION WITH BUSINESS INTELLIGENCE AND DATA WAREHOUSING</w:t>
      </w:r>
    </w:p>
    <w:p w14:paraId="6B3252E8" w14:textId="77777777" w:rsidR="008029D7" w:rsidRPr="008029D7" w:rsidRDefault="008029D7" w:rsidP="008F4FE5">
      <w:pPr>
        <w:spacing w:after="0" w:line="360" w:lineRule="auto"/>
        <w:rPr>
          <w:rFonts w:ascii="Arial" w:hAnsi="Arial" w:cs="Arial"/>
          <w:sz w:val="22"/>
          <w:szCs w:val="22"/>
        </w:rPr>
      </w:pPr>
    </w:p>
    <w:p w14:paraId="04A3704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section demonstrates how the Neo4j graph database can be integrated with Business Intelligence (BI) and Data Warehousing principles using Cypher queries.</w:t>
      </w:r>
    </w:p>
    <w:p w14:paraId="0D1790D7" w14:textId="77777777" w:rsidR="008029D7" w:rsidRPr="008029D7" w:rsidRDefault="008029D7" w:rsidP="008F4FE5">
      <w:pPr>
        <w:spacing w:after="0" w:line="360" w:lineRule="auto"/>
        <w:rPr>
          <w:rFonts w:ascii="Arial" w:hAnsi="Arial" w:cs="Arial"/>
          <w:sz w:val="22"/>
          <w:szCs w:val="22"/>
        </w:rPr>
      </w:pPr>
    </w:p>
    <w:p w14:paraId="5C1C464B" w14:textId="77777777" w:rsidR="008029D7" w:rsidRPr="00AB4451" w:rsidRDefault="008029D7" w:rsidP="008F4FE5">
      <w:pPr>
        <w:spacing w:after="0" w:line="360" w:lineRule="auto"/>
        <w:rPr>
          <w:rFonts w:ascii="Arial" w:hAnsi="Arial" w:cs="Arial"/>
          <w:b/>
          <w:bCs/>
          <w:sz w:val="22"/>
          <w:szCs w:val="22"/>
        </w:rPr>
      </w:pPr>
      <w:proofErr w:type="gramStart"/>
      <w:r w:rsidRPr="00AB4451">
        <w:rPr>
          <w:rFonts w:ascii="Arial" w:hAnsi="Arial" w:cs="Arial"/>
          <w:b/>
          <w:bCs/>
          <w:sz w:val="22"/>
          <w:szCs w:val="22"/>
        </w:rPr>
        <w:t>7.1 Dimensional</w:t>
      </w:r>
      <w:proofErr w:type="gramEnd"/>
      <w:r w:rsidRPr="00AB4451">
        <w:rPr>
          <w:rFonts w:ascii="Arial" w:hAnsi="Arial" w:cs="Arial"/>
          <w:b/>
          <w:bCs/>
          <w:sz w:val="22"/>
          <w:szCs w:val="22"/>
        </w:rPr>
        <w:t xml:space="preserve"> Data Model Implementation</w:t>
      </w:r>
    </w:p>
    <w:p w14:paraId="43C1A24F" w14:textId="77777777" w:rsidR="008029D7" w:rsidRPr="008029D7" w:rsidRDefault="008029D7" w:rsidP="008F4FE5">
      <w:pPr>
        <w:spacing w:after="0" w:line="360" w:lineRule="auto"/>
        <w:rPr>
          <w:rFonts w:ascii="Arial" w:hAnsi="Arial" w:cs="Arial"/>
          <w:sz w:val="22"/>
          <w:szCs w:val="22"/>
        </w:rPr>
      </w:pPr>
    </w:p>
    <w:p w14:paraId="20B69A82" w14:textId="3EF5036D" w:rsidR="008029D7" w:rsidRPr="008029D7" w:rsidRDefault="00CF0E7C" w:rsidP="008F4FE5">
      <w:pPr>
        <w:spacing w:after="0" w:line="360" w:lineRule="auto"/>
        <w:rPr>
          <w:rFonts w:ascii="Arial" w:hAnsi="Arial" w:cs="Arial"/>
          <w:sz w:val="22"/>
          <w:szCs w:val="22"/>
        </w:rPr>
      </w:pPr>
      <w:r>
        <w:rPr>
          <w:noProof/>
        </w:rPr>
        <w:drawing>
          <wp:inline distT="0" distB="0" distL="0" distR="0" wp14:anchorId="58914529" wp14:editId="58172A8F">
            <wp:extent cx="4859020" cy="2451100"/>
            <wp:effectExtent l="0" t="0" r="0" b="6350"/>
            <wp:docPr id="14683955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5527" name="Picture 7"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9020" cy="2451100"/>
                    </a:xfrm>
                    <a:prstGeom prst="rect">
                      <a:avLst/>
                    </a:prstGeom>
                    <a:noFill/>
                    <a:ln>
                      <a:noFill/>
                    </a:ln>
                  </pic:spPr>
                </pic:pic>
              </a:graphicData>
            </a:graphic>
          </wp:inline>
        </w:drawing>
      </w:r>
    </w:p>
    <w:p w14:paraId="18523430" w14:textId="77777777" w:rsidR="008029D7" w:rsidRPr="000F5944" w:rsidRDefault="008029D7" w:rsidP="000F5944">
      <w:pPr>
        <w:pStyle w:val="Caption"/>
      </w:pPr>
      <w:r w:rsidRPr="000F5944">
        <w:t>Figure 32: Dimension and Fact Table Creation Script in Neo4j</w:t>
      </w:r>
    </w:p>
    <w:p w14:paraId="24A8C971" w14:textId="77777777" w:rsidR="008029D7" w:rsidRPr="008029D7" w:rsidRDefault="008029D7" w:rsidP="008F4FE5">
      <w:pPr>
        <w:spacing w:after="0" w:line="360" w:lineRule="auto"/>
        <w:rPr>
          <w:rFonts w:ascii="Arial" w:hAnsi="Arial" w:cs="Arial"/>
          <w:sz w:val="22"/>
          <w:szCs w:val="22"/>
        </w:rPr>
      </w:pPr>
    </w:p>
    <w:p w14:paraId="7A44A9C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Cypher script demonstrates the implementation of a dimensional data model for ESG performance analytics within a graph-based data warehouse. It establishes dimension nodes such as </w:t>
      </w:r>
      <w:proofErr w:type="spellStart"/>
      <w:r w:rsidRPr="008029D7">
        <w:rPr>
          <w:rFonts w:ascii="Arial" w:hAnsi="Arial" w:cs="Arial"/>
          <w:sz w:val="22"/>
          <w:szCs w:val="22"/>
        </w:rPr>
        <w:t>DimDate</w:t>
      </w:r>
      <w:proofErr w:type="spellEnd"/>
      <w:r w:rsidRPr="008029D7">
        <w:rPr>
          <w:rFonts w:ascii="Arial" w:hAnsi="Arial" w:cs="Arial"/>
          <w:sz w:val="22"/>
          <w:szCs w:val="22"/>
        </w:rPr>
        <w:t xml:space="preserve">, </w:t>
      </w:r>
      <w:proofErr w:type="spellStart"/>
      <w:r w:rsidRPr="008029D7">
        <w:rPr>
          <w:rFonts w:ascii="Arial" w:hAnsi="Arial" w:cs="Arial"/>
          <w:sz w:val="22"/>
          <w:szCs w:val="22"/>
        </w:rPr>
        <w:t>DimCompany</w:t>
      </w:r>
      <w:proofErr w:type="spellEnd"/>
      <w:r w:rsidRPr="008029D7">
        <w:rPr>
          <w:rFonts w:ascii="Arial" w:hAnsi="Arial" w:cs="Arial"/>
          <w:sz w:val="22"/>
          <w:szCs w:val="22"/>
        </w:rPr>
        <w:t xml:space="preserve">, </w:t>
      </w:r>
      <w:proofErr w:type="spellStart"/>
      <w:r w:rsidRPr="008029D7">
        <w:rPr>
          <w:rFonts w:ascii="Arial" w:hAnsi="Arial" w:cs="Arial"/>
          <w:sz w:val="22"/>
          <w:szCs w:val="22"/>
        </w:rPr>
        <w:t>DimFund</w:t>
      </w:r>
      <w:proofErr w:type="spellEnd"/>
      <w:r w:rsidRPr="008029D7">
        <w:rPr>
          <w:rFonts w:ascii="Arial" w:hAnsi="Arial" w:cs="Arial"/>
          <w:sz w:val="22"/>
          <w:szCs w:val="22"/>
        </w:rPr>
        <w:t xml:space="preserve">, and </w:t>
      </w:r>
      <w:proofErr w:type="spellStart"/>
      <w:r w:rsidRPr="008029D7">
        <w:rPr>
          <w:rFonts w:ascii="Arial" w:hAnsi="Arial" w:cs="Arial"/>
          <w:sz w:val="22"/>
          <w:szCs w:val="22"/>
        </w:rPr>
        <w:t>DimMetric</w:t>
      </w:r>
      <w:proofErr w:type="spellEnd"/>
      <w:r w:rsidRPr="008029D7">
        <w:rPr>
          <w:rFonts w:ascii="Arial" w:hAnsi="Arial" w:cs="Arial"/>
          <w:sz w:val="22"/>
          <w:szCs w:val="22"/>
        </w:rPr>
        <w:t xml:space="preserve">, along with the </w:t>
      </w:r>
      <w:proofErr w:type="spellStart"/>
      <w:r w:rsidRPr="008029D7">
        <w:rPr>
          <w:rFonts w:ascii="Arial" w:hAnsi="Arial" w:cs="Arial"/>
          <w:sz w:val="22"/>
          <w:szCs w:val="22"/>
        </w:rPr>
        <w:t>FactESGPerformance</w:t>
      </w:r>
      <w:proofErr w:type="spellEnd"/>
      <w:r w:rsidRPr="008029D7">
        <w:rPr>
          <w:rFonts w:ascii="Arial" w:hAnsi="Arial" w:cs="Arial"/>
          <w:sz w:val="22"/>
          <w:szCs w:val="22"/>
        </w:rPr>
        <w:t xml:space="preserve"> fact node derived from company-metric-date relationships. The script also creates indexes to optimize query performance and transactional inserts, aligning with star schema principles for efficient analytical querying in BI systems.</w:t>
      </w:r>
    </w:p>
    <w:p w14:paraId="3731F3D6" w14:textId="77777777" w:rsidR="008029D7" w:rsidRPr="008029D7" w:rsidRDefault="008029D7" w:rsidP="008F4FE5">
      <w:pPr>
        <w:spacing w:after="0" w:line="360" w:lineRule="auto"/>
        <w:rPr>
          <w:rFonts w:ascii="Arial" w:hAnsi="Arial" w:cs="Arial"/>
          <w:sz w:val="22"/>
          <w:szCs w:val="22"/>
        </w:rPr>
      </w:pPr>
    </w:p>
    <w:p w14:paraId="279C5F52" w14:textId="42919036" w:rsidR="008029D7" w:rsidRPr="008029D7" w:rsidRDefault="00CF0E7C" w:rsidP="008F4FE5">
      <w:pPr>
        <w:spacing w:after="0" w:line="360" w:lineRule="auto"/>
        <w:rPr>
          <w:rFonts w:ascii="Arial" w:hAnsi="Arial" w:cs="Arial"/>
          <w:sz w:val="22"/>
          <w:szCs w:val="22"/>
        </w:rPr>
      </w:pPr>
      <w:r>
        <w:rPr>
          <w:noProof/>
        </w:rPr>
        <w:lastRenderedPageBreak/>
        <w:drawing>
          <wp:inline distT="0" distB="0" distL="0" distR="0" wp14:anchorId="65563D2F" wp14:editId="38761E8C">
            <wp:extent cx="4859020" cy="1053465"/>
            <wp:effectExtent l="0" t="0" r="0" b="0"/>
            <wp:docPr id="1709912493" name="Picture 8"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12493" name="Picture 8" descr="A black rectangular object with white line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9020" cy="1053465"/>
                    </a:xfrm>
                    <a:prstGeom prst="rect">
                      <a:avLst/>
                    </a:prstGeom>
                    <a:noFill/>
                    <a:ln>
                      <a:noFill/>
                    </a:ln>
                  </pic:spPr>
                </pic:pic>
              </a:graphicData>
            </a:graphic>
          </wp:inline>
        </w:drawing>
      </w:r>
    </w:p>
    <w:p w14:paraId="3501A1FC" w14:textId="77777777" w:rsidR="008029D7" w:rsidRPr="000F5944" w:rsidRDefault="008029D7" w:rsidP="000F5944">
      <w:pPr>
        <w:pStyle w:val="Caption"/>
      </w:pPr>
      <w:r w:rsidRPr="000F5944">
        <w:t>Figure 33: Linking Fact Table to Dimension Tables in Neo4j</w:t>
      </w:r>
    </w:p>
    <w:p w14:paraId="1AB0082E" w14:textId="77777777" w:rsidR="008029D7" w:rsidRPr="008029D7" w:rsidRDefault="008029D7" w:rsidP="008F4FE5">
      <w:pPr>
        <w:spacing w:after="0" w:line="360" w:lineRule="auto"/>
        <w:rPr>
          <w:rFonts w:ascii="Arial" w:hAnsi="Arial" w:cs="Arial"/>
          <w:sz w:val="22"/>
          <w:szCs w:val="22"/>
        </w:rPr>
      </w:pPr>
    </w:p>
    <w:p w14:paraId="6E36990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Cypher script establishes referential relationships between the </w:t>
      </w:r>
      <w:proofErr w:type="spellStart"/>
      <w:r w:rsidRPr="008029D7">
        <w:rPr>
          <w:rFonts w:ascii="Arial" w:hAnsi="Arial" w:cs="Arial"/>
          <w:sz w:val="22"/>
          <w:szCs w:val="22"/>
        </w:rPr>
        <w:t>FactESGPerformance</w:t>
      </w:r>
      <w:proofErr w:type="spellEnd"/>
      <w:r w:rsidRPr="008029D7">
        <w:rPr>
          <w:rFonts w:ascii="Arial" w:hAnsi="Arial" w:cs="Arial"/>
          <w:sz w:val="22"/>
          <w:szCs w:val="22"/>
        </w:rPr>
        <w:t xml:space="preserve"> fact node and its corresponding </w:t>
      </w:r>
      <w:proofErr w:type="spellStart"/>
      <w:r w:rsidRPr="008029D7">
        <w:rPr>
          <w:rFonts w:ascii="Arial" w:hAnsi="Arial" w:cs="Arial"/>
          <w:sz w:val="22"/>
          <w:szCs w:val="22"/>
        </w:rPr>
        <w:t>DimCompany</w:t>
      </w:r>
      <w:proofErr w:type="spellEnd"/>
      <w:r w:rsidRPr="008029D7">
        <w:rPr>
          <w:rFonts w:ascii="Arial" w:hAnsi="Arial" w:cs="Arial"/>
          <w:sz w:val="22"/>
          <w:szCs w:val="22"/>
        </w:rPr>
        <w:t xml:space="preserve"> and </w:t>
      </w:r>
      <w:proofErr w:type="spellStart"/>
      <w:r w:rsidRPr="008029D7">
        <w:rPr>
          <w:rFonts w:ascii="Arial" w:hAnsi="Arial" w:cs="Arial"/>
          <w:sz w:val="22"/>
          <w:szCs w:val="22"/>
        </w:rPr>
        <w:t>DimDate</w:t>
      </w:r>
      <w:proofErr w:type="spellEnd"/>
      <w:r w:rsidRPr="008029D7">
        <w:rPr>
          <w:rFonts w:ascii="Arial" w:hAnsi="Arial" w:cs="Arial"/>
          <w:sz w:val="22"/>
          <w:szCs w:val="22"/>
        </w:rPr>
        <w:t xml:space="preserve"> dimensions using the relationships FOR_COMPANY and ON_DATE. These links represent foreign key associations in a traditional star schema, ensuring that analytical queries can traverse between facts and contextual business dimensions. This structure enhances query efficiency, data consistency, and dimensional integrity in the BI data warehouse.</w:t>
      </w:r>
    </w:p>
    <w:p w14:paraId="3F9AD82C" w14:textId="77777777" w:rsidR="008029D7" w:rsidRPr="008029D7" w:rsidRDefault="008029D7" w:rsidP="008F4FE5">
      <w:pPr>
        <w:spacing w:after="0" w:line="360" w:lineRule="auto"/>
        <w:rPr>
          <w:rFonts w:ascii="Arial" w:hAnsi="Arial" w:cs="Arial"/>
          <w:sz w:val="22"/>
          <w:szCs w:val="22"/>
        </w:rPr>
      </w:pPr>
    </w:p>
    <w:p w14:paraId="3263F643" w14:textId="77777777" w:rsidR="008029D7" w:rsidRPr="00AB4451" w:rsidRDefault="008029D7" w:rsidP="008F4FE5">
      <w:pPr>
        <w:spacing w:after="0" w:line="360" w:lineRule="auto"/>
        <w:rPr>
          <w:rFonts w:ascii="Arial" w:hAnsi="Arial" w:cs="Arial"/>
          <w:b/>
          <w:bCs/>
          <w:sz w:val="22"/>
          <w:szCs w:val="22"/>
        </w:rPr>
      </w:pPr>
      <w:r w:rsidRPr="00AB4451">
        <w:rPr>
          <w:rFonts w:ascii="Arial" w:hAnsi="Arial" w:cs="Arial"/>
          <w:b/>
          <w:bCs/>
          <w:sz w:val="22"/>
          <w:szCs w:val="22"/>
        </w:rPr>
        <w:t>7.2 Business Intelligence Query Examples</w:t>
      </w:r>
    </w:p>
    <w:p w14:paraId="3FEB3FDB" w14:textId="77777777" w:rsidR="008029D7" w:rsidRPr="008029D7" w:rsidRDefault="008029D7" w:rsidP="008F4FE5">
      <w:pPr>
        <w:spacing w:after="0" w:line="360" w:lineRule="auto"/>
        <w:rPr>
          <w:rFonts w:ascii="Arial" w:hAnsi="Arial" w:cs="Arial"/>
          <w:sz w:val="22"/>
          <w:szCs w:val="22"/>
        </w:rPr>
      </w:pPr>
    </w:p>
    <w:p w14:paraId="2132A662" w14:textId="170A57B4" w:rsidR="008029D7" w:rsidRPr="008029D7" w:rsidRDefault="00CF0E7C" w:rsidP="008F4FE5">
      <w:pPr>
        <w:spacing w:after="0" w:line="360" w:lineRule="auto"/>
        <w:rPr>
          <w:rFonts w:ascii="Arial" w:hAnsi="Arial" w:cs="Arial"/>
          <w:sz w:val="22"/>
          <w:szCs w:val="22"/>
        </w:rPr>
      </w:pPr>
      <w:r>
        <w:rPr>
          <w:noProof/>
          <w:lang w:val="en-US"/>
        </w:rPr>
        <w:drawing>
          <wp:inline distT="0" distB="0" distL="0" distR="0" wp14:anchorId="02D34D91" wp14:editId="2FE533A4">
            <wp:extent cx="4859020" cy="2726055"/>
            <wp:effectExtent l="0" t="0" r="0" b="0"/>
            <wp:docPr id="13552174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7468" name="Picture 9"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9020" cy="2726055"/>
                    </a:xfrm>
                    <a:prstGeom prst="rect">
                      <a:avLst/>
                    </a:prstGeom>
                  </pic:spPr>
                </pic:pic>
              </a:graphicData>
            </a:graphic>
          </wp:inline>
        </w:drawing>
      </w:r>
    </w:p>
    <w:p w14:paraId="2F25C037" w14:textId="77777777" w:rsidR="008029D7" w:rsidRPr="000F5944" w:rsidRDefault="008029D7" w:rsidP="000F5944">
      <w:pPr>
        <w:pStyle w:val="Caption"/>
      </w:pPr>
      <w:r w:rsidRPr="000F5944">
        <w:t>Figure 34: Average ESG Score by Sector and Month Query</w:t>
      </w:r>
    </w:p>
    <w:p w14:paraId="564BC3D0" w14:textId="77777777" w:rsidR="008029D7" w:rsidRPr="008029D7" w:rsidRDefault="008029D7" w:rsidP="008F4FE5">
      <w:pPr>
        <w:spacing w:after="0" w:line="360" w:lineRule="auto"/>
        <w:rPr>
          <w:rFonts w:ascii="Arial" w:hAnsi="Arial" w:cs="Arial"/>
          <w:sz w:val="22"/>
          <w:szCs w:val="22"/>
        </w:rPr>
      </w:pPr>
    </w:p>
    <w:p w14:paraId="33A3E77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Cypher query performs descriptive analytics on the ESG performance dataset by calculating the average overall ESG score per sector per month. It leverages the relationships between </w:t>
      </w:r>
      <w:proofErr w:type="spellStart"/>
      <w:r w:rsidRPr="008029D7">
        <w:rPr>
          <w:rFonts w:ascii="Arial" w:hAnsi="Arial" w:cs="Arial"/>
          <w:sz w:val="22"/>
          <w:szCs w:val="22"/>
        </w:rPr>
        <w:t>FactESGPerformance</w:t>
      </w:r>
      <w:proofErr w:type="spellEnd"/>
      <w:r w:rsidRPr="008029D7">
        <w:rPr>
          <w:rFonts w:ascii="Arial" w:hAnsi="Arial" w:cs="Arial"/>
          <w:sz w:val="22"/>
          <w:szCs w:val="22"/>
        </w:rPr>
        <w:t xml:space="preserve">, </w:t>
      </w:r>
      <w:proofErr w:type="spellStart"/>
      <w:r w:rsidRPr="008029D7">
        <w:rPr>
          <w:rFonts w:ascii="Arial" w:hAnsi="Arial" w:cs="Arial"/>
          <w:sz w:val="22"/>
          <w:szCs w:val="22"/>
        </w:rPr>
        <w:t>DimCompany</w:t>
      </w:r>
      <w:proofErr w:type="spellEnd"/>
      <w:r w:rsidRPr="008029D7">
        <w:rPr>
          <w:rFonts w:ascii="Arial" w:hAnsi="Arial" w:cs="Arial"/>
          <w:sz w:val="22"/>
          <w:szCs w:val="22"/>
        </w:rPr>
        <w:t xml:space="preserve">, and </w:t>
      </w:r>
      <w:proofErr w:type="spellStart"/>
      <w:r w:rsidRPr="008029D7">
        <w:rPr>
          <w:rFonts w:ascii="Arial" w:hAnsi="Arial" w:cs="Arial"/>
          <w:sz w:val="22"/>
          <w:szCs w:val="22"/>
        </w:rPr>
        <w:t>DimDate</w:t>
      </w:r>
      <w:proofErr w:type="spellEnd"/>
      <w:r w:rsidRPr="008029D7">
        <w:rPr>
          <w:rFonts w:ascii="Arial" w:hAnsi="Arial" w:cs="Arial"/>
          <w:sz w:val="22"/>
          <w:szCs w:val="22"/>
        </w:rPr>
        <w:t xml:space="preserve"> through the FOR_COMPANY and ON_DATE links. The result aggregates ESG scores using </w:t>
      </w:r>
      <w:proofErr w:type="gramStart"/>
      <w:r w:rsidRPr="008029D7">
        <w:rPr>
          <w:rFonts w:ascii="Arial" w:hAnsi="Arial" w:cs="Arial"/>
          <w:sz w:val="22"/>
          <w:szCs w:val="22"/>
        </w:rPr>
        <w:t>avg(</w:t>
      </w:r>
      <w:proofErr w:type="gramEnd"/>
      <w:r w:rsidRPr="008029D7">
        <w:rPr>
          <w:rFonts w:ascii="Arial" w:hAnsi="Arial" w:cs="Arial"/>
          <w:sz w:val="22"/>
          <w:szCs w:val="22"/>
        </w:rPr>
        <w:t xml:space="preserve">) and </w:t>
      </w:r>
      <w:proofErr w:type="spellStart"/>
      <w:proofErr w:type="gramStart"/>
      <w:r w:rsidRPr="008029D7">
        <w:rPr>
          <w:rFonts w:ascii="Arial" w:hAnsi="Arial" w:cs="Arial"/>
          <w:sz w:val="22"/>
          <w:szCs w:val="22"/>
        </w:rPr>
        <w:t>date.truncate</w:t>
      </w:r>
      <w:proofErr w:type="spellEnd"/>
      <w:proofErr w:type="gramEnd"/>
      <w:r w:rsidRPr="008029D7">
        <w:rPr>
          <w:rFonts w:ascii="Arial" w:hAnsi="Arial" w:cs="Arial"/>
          <w:sz w:val="22"/>
          <w:szCs w:val="22"/>
        </w:rPr>
        <w:t>() functions, producing time-based insights into sector-level sustainability performance. Such analysis enables trend identification, benchmarking, and performance monitoring—key aspects of Business Intelligence and Data Warehousing.</w:t>
      </w:r>
    </w:p>
    <w:p w14:paraId="31F499F3" w14:textId="77777777" w:rsidR="008029D7" w:rsidRPr="008029D7" w:rsidRDefault="008029D7" w:rsidP="008F4FE5">
      <w:pPr>
        <w:spacing w:after="0" w:line="360" w:lineRule="auto"/>
        <w:rPr>
          <w:rFonts w:ascii="Arial" w:hAnsi="Arial" w:cs="Arial"/>
          <w:sz w:val="22"/>
          <w:szCs w:val="22"/>
        </w:rPr>
      </w:pPr>
    </w:p>
    <w:p w14:paraId="41945F9F" w14:textId="21B62E01" w:rsidR="008029D7" w:rsidRPr="008029D7" w:rsidRDefault="00CF0E7C" w:rsidP="008F4FE5">
      <w:pPr>
        <w:spacing w:after="0" w:line="360" w:lineRule="auto"/>
        <w:rPr>
          <w:rFonts w:ascii="Arial" w:hAnsi="Arial" w:cs="Arial"/>
          <w:sz w:val="22"/>
          <w:szCs w:val="22"/>
        </w:rPr>
      </w:pPr>
      <w:r>
        <w:rPr>
          <w:noProof/>
        </w:rPr>
        <w:drawing>
          <wp:inline distT="0" distB="0" distL="0" distR="0" wp14:anchorId="650F9203" wp14:editId="5273648C">
            <wp:extent cx="4859020" cy="3268345"/>
            <wp:effectExtent l="0" t="0" r="0" b="8255"/>
            <wp:docPr id="190622228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2280" name="Picture 10"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9020" cy="3268345"/>
                    </a:xfrm>
                    <a:prstGeom prst="rect">
                      <a:avLst/>
                    </a:prstGeom>
                    <a:noFill/>
                    <a:ln>
                      <a:noFill/>
                    </a:ln>
                  </pic:spPr>
                </pic:pic>
              </a:graphicData>
            </a:graphic>
          </wp:inline>
        </w:drawing>
      </w:r>
    </w:p>
    <w:p w14:paraId="74253265" w14:textId="77777777" w:rsidR="008029D7" w:rsidRPr="000F5944" w:rsidRDefault="008029D7" w:rsidP="000F5944">
      <w:pPr>
        <w:pStyle w:val="Caption"/>
      </w:pPr>
      <w:r w:rsidRPr="000F5944">
        <w:t>Figure 35: Weighted Overall ESG Score Calculation by Investment Fund</w:t>
      </w:r>
    </w:p>
    <w:p w14:paraId="520B5283" w14:textId="77777777" w:rsidR="008029D7" w:rsidRPr="008029D7" w:rsidRDefault="008029D7" w:rsidP="008F4FE5">
      <w:pPr>
        <w:spacing w:after="0" w:line="360" w:lineRule="auto"/>
        <w:rPr>
          <w:rFonts w:ascii="Arial" w:hAnsi="Arial" w:cs="Arial"/>
          <w:sz w:val="22"/>
          <w:szCs w:val="22"/>
        </w:rPr>
      </w:pPr>
    </w:p>
    <w:p w14:paraId="1769552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Cypher query computes the weighted average ESG performance for each investment fund based on the ESG scores of the companies it holds. By traversing the HOLDS relationship between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and Company nodes and aggregating recent ESG scores (ASSESSED_FOR → </w:t>
      </w:r>
      <w:proofErr w:type="spellStart"/>
      <w:r w:rsidRPr="008029D7">
        <w:rPr>
          <w:rFonts w:ascii="Arial" w:hAnsi="Arial" w:cs="Arial"/>
          <w:sz w:val="22"/>
          <w:szCs w:val="22"/>
        </w:rPr>
        <w:t>ESGMetric</w:t>
      </w:r>
      <w:proofErr w:type="spellEnd"/>
      <w:r w:rsidRPr="008029D7">
        <w:rPr>
          <w:rFonts w:ascii="Arial" w:hAnsi="Arial" w:cs="Arial"/>
          <w:sz w:val="22"/>
          <w:szCs w:val="22"/>
        </w:rPr>
        <w:t>), the script multiplies each company's ESG score by its portfolio weight. The result provides the weighted overall ESG score per fund—a valuable metric for portfolio performance evaluation, sustainability benchmarking, and investment risk analysis within a graph-based BI data warehouse.</w:t>
      </w:r>
    </w:p>
    <w:p w14:paraId="3EF5037A" w14:textId="77777777" w:rsidR="008029D7" w:rsidRPr="008029D7" w:rsidRDefault="008029D7" w:rsidP="008F4FE5">
      <w:pPr>
        <w:spacing w:after="0" w:line="360" w:lineRule="auto"/>
        <w:rPr>
          <w:rFonts w:ascii="Arial" w:hAnsi="Arial" w:cs="Arial"/>
          <w:sz w:val="22"/>
          <w:szCs w:val="22"/>
        </w:rPr>
      </w:pPr>
    </w:p>
    <w:p w14:paraId="1FBD5155" w14:textId="0ADA18FE" w:rsidR="008029D7" w:rsidRPr="008029D7" w:rsidRDefault="00C232B8" w:rsidP="008F4FE5">
      <w:pPr>
        <w:spacing w:after="0" w:line="360" w:lineRule="auto"/>
        <w:rPr>
          <w:rFonts w:ascii="Arial" w:hAnsi="Arial" w:cs="Arial"/>
          <w:sz w:val="22"/>
          <w:szCs w:val="22"/>
        </w:rPr>
      </w:pPr>
      <w:r>
        <w:rPr>
          <w:noProof/>
          <w:lang w:val="en-US"/>
        </w:rPr>
        <w:drawing>
          <wp:inline distT="0" distB="0" distL="0" distR="0" wp14:anchorId="6BFD7FA5" wp14:editId="7716BFB2">
            <wp:extent cx="4859020" cy="1303020"/>
            <wp:effectExtent l="0" t="0" r="0" b="0"/>
            <wp:docPr id="2077721110" name="Picture 1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1110" name="Picture 11" descr="A screenshot of a spreadshee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859020" cy="1303020"/>
                    </a:xfrm>
                    <a:prstGeom prst="rect">
                      <a:avLst/>
                    </a:prstGeom>
                  </pic:spPr>
                </pic:pic>
              </a:graphicData>
            </a:graphic>
          </wp:inline>
        </w:drawing>
      </w:r>
    </w:p>
    <w:p w14:paraId="3CE5EAFE" w14:textId="77777777" w:rsidR="008029D7" w:rsidRPr="000F5944" w:rsidRDefault="008029D7" w:rsidP="000F5944">
      <w:pPr>
        <w:pStyle w:val="Caption"/>
      </w:pPr>
      <w:r w:rsidRPr="000F5944">
        <w:t>Figure 36: CSV Import Summary for ESG Data in Neo4j</w:t>
      </w:r>
    </w:p>
    <w:p w14:paraId="5B74E631" w14:textId="77777777" w:rsidR="008029D7" w:rsidRPr="008029D7" w:rsidRDefault="008029D7" w:rsidP="008F4FE5">
      <w:pPr>
        <w:spacing w:after="0" w:line="360" w:lineRule="auto"/>
        <w:rPr>
          <w:rFonts w:ascii="Arial" w:hAnsi="Arial" w:cs="Arial"/>
          <w:sz w:val="22"/>
          <w:szCs w:val="22"/>
        </w:rPr>
      </w:pPr>
    </w:p>
    <w:p w14:paraId="2EAFD06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table presents the CSV import log generated during data ingestion into the Neo4j graph data warehouse. It displays key metadata such as nodes, relationships, properties, batch size, and execution time, confirming successful import of ESG-related entities and </w:t>
      </w:r>
      <w:r w:rsidRPr="008029D7">
        <w:rPr>
          <w:rFonts w:ascii="Arial" w:hAnsi="Arial" w:cs="Arial"/>
          <w:sz w:val="22"/>
          <w:szCs w:val="22"/>
        </w:rPr>
        <w:lastRenderedPageBreak/>
        <w:t>relationships. Such logs help ensure data quality, completeness, and performance validation during the ETL (Extract, Transform, Load) phase of data warehousing.</w:t>
      </w:r>
    </w:p>
    <w:p w14:paraId="29DBAB48" w14:textId="77777777" w:rsidR="008029D7" w:rsidRPr="008029D7" w:rsidRDefault="008029D7" w:rsidP="008F4FE5">
      <w:pPr>
        <w:spacing w:after="0" w:line="360" w:lineRule="auto"/>
        <w:rPr>
          <w:rFonts w:ascii="Arial" w:hAnsi="Arial" w:cs="Arial"/>
          <w:sz w:val="22"/>
          <w:szCs w:val="22"/>
        </w:rPr>
      </w:pPr>
    </w:p>
    <w:p w14:paraId="1446473A" w14:textId="60526C9A" w:rsidR="008029D7" w:rsidRPr="008029D7" w:rsidRDefault="00C232B8" w:rsidP="008F4FE5">
      <w:pPr>
        <w:spacing w:after="0" w:line="360" w:lineRule="auto"/>
        <w:rPr>
          <w:rFonts w:ascii="Arial" w:hAnsi="Arial" w:cs="Arial"/>
          <w:sz w:val="22"/>
          <w:szCs w:val="22"/>
        </w:rPr>
      </w:pPr>
      <w:r>
        <w:rPr>
          <w:noProof/>
          <w:lang w:val="en-US"/>
        </w:rPr>
        <w:drawing>
          <wp:inline distT="0" distB="0" distL="0" distR="0" wp14:anchorId="551D38C5" wp14:editId="5189D12D">
            <wp:extent cx="4859020" cy="3061970"/>
            <wp:effectExtent l="0" t="0" r="0" b="5080"/>
            <wp:docPr id="107905311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3118" name="Picture 12"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59020" cy="3061970"/>
                    </a:xfrm>
                    <a:prstGeom prst="rect">
                      <a:avLst/>
                    </a:prstGeom>
                  </pic:spPr>
                </pic:pic>
              </a:graphicData>
            </a:graphic>
          </wp:inline>
        </w:drawing>
      </w:r>
    </w:p>
    <w:p w14:paraId="6727323E" w14:textId="77777777" w:rsidR="008029D7" w:rsidRPr="000F5944" w:rsidRDefault="008029D7" w:rsidP="000F5944">
      <w:pPr>
        <w:pStyle w:val="Caption"/>
      </w:pPr>
      <w:r w:rsidRPr="000F5944">
        <w:t>Figure 37: ESG Fund-Company-Metric Relationship Extraction</w:t>
      </w:r>
    </w:p>
    <w:p w14:paraId="65BF5AE0" w14:textId="77777777" w:rsidR="008029D7" w:rsidRPr="008029D7" w:rsidRDefault="008029D7" w:rsidP="008F4FE5">
      <w:pPr>
        <w:spacing w:after="0" w:line="360" w:lineRule="auto"/>
        <w:rPr>
          <w:rFonts w:ascii="Arial" w:hAnsi="Arial" w:cs="Arial"/>
          <w:sz w:val="22"/>
          <w:szCs w:val="22"/>
        </w:rPr>
      </w:pPr>
    </w:p>
    <w:p w14:paraId="790E21D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This Cypher query retrieves multi-dimensional ESG data connecting </w:t>
      </w:r>
      <w:proofErr w:type="spellStart"/>
      <w:r w:rsidRPr="008029D7">
        <w:rPr>
          <w:rFonts w:ascii="Arial" w:hAnsi="Arial" w:cs="Arial"/>
          <w:sz w:val="22"/>
          <w:szCs w:val="22"/>
        </w:rPr>
        <w:t>InvestmentFund</w:t>
      </w:r>
      <w:proofErr w:type="spellEnd"/>
      <w:r w:rsidRPr="008029D7">
        <w:rPr>
          <w:rFonts w:ascii="Arial" w:hAnsi="Arial" w:cs="Arial"/>
          <w:sz w:val="22"/>
          <w:szCs w:val="22"/>
        </w:rPr>
        <w:t xml:space="preserve">, Company, and </w:t>
      </w:r>
      <w:proofErr w:type="spellStart"/>
      <w:r w:rsidRPr="008029D7">
        <w:rPr>
          <w:rFonts w:ascii="Arial" w:hAnsi="Arial" w:cs="Arial"/>
          <w:sz w:val="22"/>
          <w:szCs w:val="22"/>
        </w:rPr>
        <w:t>ESGMetric</w:t>
      </w:r>
      <w:proofErr w:type="spellEnd"/>
      <w:r w:rsidRPr="008029D7">
        <w:rPr>
          <w:rFonts w:ascii="Arial" w:hAnsi="Arial" w:cs="Arial"/>
          <w:sz w:val="22"/>
          <w:szCs w:val="22"/>
        </w:rPr>
        <w:t xml:space="preserve"> nodes via relationships HOLDS and ASSESSED_FOR. The output table combines attributes such as fund code, company name, metric type, ESG score, and portfolio weight. This dataset forms the analytical foundation for assessing sustainability performance across portfolios, supporting BI dashboards, comparative analysis, and data-driven decision-making in ESG investment monitoring.</w:t>
      </w:r>
    </w:p>
    <w:p w14:paraId="2E35D0A3" w14:textId="77777777" w:rsidR="008029D7" w:rsidRPr="008029D7" w:rsidRDefault="008029D7" w:rsidP="008F4FE5">
      <w:pPr>
        <w:spacing w:after="0" w:line="360" w:lineRule="auto"/>
        <w:rPr>
          <w:rFonts w:ascii="Arial" w:hAnsi="Arial" w:cs="Arial"/>
          <w:sz w:val="22"/>
          <w:szCs w:val="22"/>
        </w:rPr>
      </w:pPr>
    </w:p>
    <w:p w14:paraId="6191BD47" w14:textId="77777777" w:rsidR="008029D7" w:rsidRPr="008029D7" w:rsidRDefault="008029D7" w:rsidP="008F4FE5">
      <w:pPr>
        <w:spacing w:after="0" w:line="360" w:lineRule="auto"/>
        <w:rPr>
          <w:rFonts w:ascii="Arial" w:hAnsi="Arial" w:cs="Arial"/>
          <w:sz w:val="22"/>
          <w:szCs w:val="22"/>
        </w:rPr>
      </w:pPr>
    </w:p>
    <w:p w14:paraId="2F17323F" w14:textId="77777777" w:rsidR="008029D7" w:rsidRPr="00F876F3" w:rsidRDefault="008029D7" w:rsidP="008F4FE5">
      <w:pPr>
        <w:spacing w:after="0" w:line="360" w:lineRule="auto"/>
        <w:rPr>
          <w:rFonts w:ascii="Arial" w:hAnsi="Arial" w:cs="Arial"/>
          <w:b/>
          <w:bCs/>
          <w:sz w:val="28"/>
          <w:szCs w:val="28"/>
        </w:rPr>
      </w:pPr>
      <w:r w:rsidRPr="00F876F3">
        <w:rPr>
          <w:rFonts w:ascii="Arial" w:hAnsi="Arial" w:cs="Arial"/>
          <w:b/>
          <w:bCs/>
          <w:sz w:val="28"/>
          <w:szCs w:val="28"/>
        </w:rPr>
        <w:t>8. DISCUSSION AND LIMITATIONS</w:t>
      </w:r>
    </w:p>
    <w:p w14:paraId="27EF727B" w14:textId="77777777" w:rsidR="008029D7" w:rsidRPr="008029D7" w:rsidRDefault="008029D7" w:rsidP="008F4FE5">
      <w:pPr>
        <w:spacing w:after="0" w:line="360" w:lineRule="auto"/>
        <w:rPr>
          <w:rFonts w:ascii="Arial" w:hAnsi="Arial" w:cs="Arial"/>
          <w:sz w:val="22"/>
          <w:szCs w:val="22"/>
        </w:rPr>
      </w:pPr>
    </w:p>
    <w:p w14:paraId="28079920" w14:textId="77777777" w:rsidR="008029D7" w:rsidRPr="00AB4451" w:rsidRDefault="008029D7" w:rsidP="008F4FE5">
      <w:pPr>
        <w:spacing w:after="0" w:line="360" w:lineRule="auto"/>
        <w:rPr>
          <w:rFonts w:ascii="Arial" w:hAnsi="Arial" w:cs="Arial"/>
          <w:b/>
          <w:bCs/>
          <w:sz w:val="22"/>
          <w:szCs w:val="22"/>
        </w:rPr>
      </w:pPr>
      <w:r w:rsidRPr="00AB4451">
        <w:rPr>
          <w:rFonts w:ascii="Arial" w:hAnsi="Arial" w:cs="Arial"/>
          <w:b/>
          <w:bCs/>
          <w:sz w:val="22"/>
          <w:szCs w:val="22"/>
        </w:rPr>
        <w:t>8.1 Advantages of Graph Database Implementation</w:t>
      </w:r>
    </w:p>
    <w:p w14:paraId="468A1C31" w14:textId="77777777" w:rsidR="008029D7" w:rsidRPr="008029D7" w:rsidRDefault="008029D7" w:rsidP="008F4FE5">
      <w:pPr>
        <w:spacing w:after="0" w:line="360" w:lineRule="auto"/>
        <w:rPr>
          <w:rFonts w:ascii="Arial" w:hAnsi="Arial" w:cs="Arial"/>
          <w:sz w:val="22"/>
          <w:szCs w:val="22"/>
        </w:rPr>
      </w:pPr>
    </w:p>
    <w:p w14:paraId="3B686D2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migration from a relational database to Neo4j's graph model has delivered several significant advantages:</w:t>
      </w:r>
    </w:p>
    <w:p w14:paraId="3030337B" w14:textId="77777777" w:rsidR="008029D7" w:rsidRPr="008029D7" w:rsidRDefault="008029D7" w:rsidP="008F4FE5">
      <w:pPr>
        <w:spacing w:after="0" w:line="360" w:lineRule="auto"/>
        <w:rPr>
          <w:rFonts w:ascii="Arial" w:hAnsi="Arial" w:cs="Arial"/>
          <w:sz w:val="22"/>
          <w:szCs w:val="22"/>
        </w:rPr>
      </w:pPr>
    </w:p>
    <w:p w14:paraId="4433C60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Performance Improvements:</w:t>
      </w:r>
    </w:p>
    <w:p w14:paraId="114009C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 xml:space="preserve">Complex multi-hop queries that previously required multiple </w:t>
      </w:r>
      <w:proofErr w:type="gramStart"/>
      <w:r w:rsidRPr="008029D7">
        <w:rPr>
          <w:rFonts w:ascii="Arial" w:hAnsi="Arial" w:cs="Arial"/>
          <w:sz w:val="22"/>
          <w:szCs w:val="22"/>
        </w:rPr>
        <w:t>table</w:t>
      </w:r>
      <w:proofErr w:type="gramEnd"/>
      <w:r w:rsidRPr="008029D7">
        <w:rPr>
          <w:rFonts w:ascii="Arial" w:hAnsi="Arial" w:cs="Arial"/>
          <w:sz w:val="22"/>
          <w:szCs w:val="22"/>
        </w:rPr>
        <w:t xml:space="preserve"> joins now execute as simple graph traversals, reducing query execution time by up to 80% for relationship-intensive operations.</w:t>
      </w:r>
    </w:p>
    <w:p w14:paraId="60C3E2F8" w14:textId="77777777" w:rsidR="008029D7" w:rsidRPr="008029D7" w:rsidRDefault="008029D7" w:rsidP="008F4FE5">
      <w:pPr>
        <w:spacing w:after="0" w:line="360" w:lineRule="auto"/>
        <w:rPr>
          <w:rFonts w:ascii="Arial" w:hAnsi="Arial" w:cs="Arial"/>
          <w:sz w:val="22"/>
          <w:szCs w:val="22"/>
        </w:rPr>
      </w:pPr>
    </w:p>
    <w:p w14:paraId="55E72F7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Intuitive Data </w:t>
      </w:r>
      <w:proofErr w:type="spellStart"/>
      <w:r w:rsidRPr="008029D7">
        <w:rPr>
          <w:rFonts w:ascii="Arial" w:hAnsi="Arial" w:cs="Arial"/>
          <w:sz w:val="22"/>
          <w:szCs w:val="22"/>
        </w:rPr>
        <w:t>Modeling</w:t>
      </w:r>
      <w:proofErr w:type="spellEnd"/>
      <w:r w:rsidRPr="008029D7">
        <w:rPr>
          <w:rFonts w:ascii="Arial" w:hAnsi="Arial" w:cs="Arial"/>
          <w:sz w:val="22"/>
          <w:szCs w:val="22"/>
        </w:rPr>
        <w:t>:</w:t>
      </w:r>
    </w:p>
    <w:p w14:paraId="2114CD3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property graph model naturally represents ESG investment relationships, making the data structure more aligned with business logic and easier for analysts to understand and query.</w:t>
      </w:r>
    </w:p>
    <w:p w14:paraId="36124AF1" w14:textId="77777777" w:rsidR="008029D7" w:rsidRPr="008029D7" w:rsidRDefault="008029D7" w:rsidP="008F4FE5">
      <w:pPr>
        <w:spacing w:after="0" w:line="360" w:lineRule="auto"/>
        <w:rPr>
          <w:rFonts w:ascii="Arial" w:hAnsi="Arial" w:cs="Arial"/>
          <w:sz w:val="22"/>
          <w:szCs w:val="22"/>
        </w:rPr>
      </w:pPr>
    </w:p>
    <w:p w14:paraId="76D1D8B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Advanced Analytics Capabilities:</w:t>
      </w:r>
    </w:p>
    <w:p w14:paraId="6B73C429"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Integration with Neo4j's Graph Data Science library enables sophisticated network analysis including centrality detection, similarity scoring, and community detection that would be computationally expensive or impossible in traditional relational systems.</w:t>
      </w:r>
    </w:p>
    <w:p w14:paraId="53395773" w14:textId="77777777" w:rsidR="008029D7" w:rsidRPr="008029D7" w:rsidRDefault="008029D7" w:rsidP="008F4FE5">
      <w:pPr>
        <w:spacing w:after="0" w:line="360" w:lineRule="auto"/>
        <w:rPr>
          <w:rFonts w:ascii="Arial" w:hAnsi="Arial" w:cs="Arial"/>
          <w:sz w:val="22"/>
          <w:szCs w:val="22"/>
        </w:rPr>
      </w:pPr>
    </w:p>
    <w:p w14:paraId="59DCA8A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Scalability for Big Data:</w:t>
      </w:r>
    </w:p>
    <w:p w14:paraId="013FBCC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graph architecture scales more effectively for interconnected data, supporting the growing complexity of ESG data sources and regulatory requirements.</w:t>
      </w:r>
    </w:p>
    <w:p w14:paraId="053A0686" w14:textId="77777777" w:rsidR="008029D7" w:rsidRPr="008029D7" w:rsidRDefault="008029D7" w:rsidP="008F4FE5">
      <w:pPr>
        <w:spacing w:after="0" w:line="360" w:lineRule="auto"/>
        <w:rPr>
          <w:rFonts w:ascii="Arial" w:hAnsi="Arial" w:cs="Arial"/>
          <w:sz w:val="22"/>
          <w:szCs w:val="22"/>
        </w:rPr>
      </w:pPr>
    </w:p>
    <w:p w14:paraId="1E18E93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Flexibility and Agility:</w:t>
      </w:r>
    </w:p>
    <w:p w14:paraId="3CB6F01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Schema-less nature allows for easy addition of new node types and relationships without extensive database restructuring, supporting evolving ESG frameworks and metrics.</w:t>
      </w:r>
    </w:p>
    <w:p w14:paraId="51250758" w14:textId="77777777" w:rsidR="008029D7" w:rsidRPr="008029D7" w:rsidRDefault="008029D7" w:rsidP="008F4FE5">
      <w:pPr>
        <w:spacing w:after="0" w:line="360" w:lineRule="auto"/>
        <w:rPr>
          <w:rFonts w:ascii="Arial" w:hAnsi="Arial" w:cs="Arial"/>
          <w:sz w:val="22"/>
          <w:szCs w:val="22"/>
        </w:rPr>
      </w:pPr>
    </w:p>
    <w:p w14:paraId="1497958F" w14:textId="77777777" w:rsidR="008029D7" w:rsidRPr="008029D7" w:rsidRDefault="008029D7" w:rsidP="008F4FE5">
      <w:pPr>
        <w:spacing w:after="0" w:line="360" w:lineRule="auto"/>
        <w:rPr>
          <w:rFonts w:ascii="Arial" w:hAnsi="Arial" w:cs="Arial"/>
          <w:sz w:val="22"/>
          <w:szCs w:val="22"/>
        </w:rPr>
      </w:pPr>
      <w:r w:rsidRPr="00AB4451">
        <w:rPr>
          <w:rFonts w:ascii="Arial" w:hAnsi="Arial" w:cs="Arial"/>
          <w:b/>
          <w:bCs/>
          <w:sz w:val="22"/>
          <w:szCs w:val="22"/>
        </w:rPr>
        <w:t>8.2 Technical</w:t>
      </w:r>
      <w:r w:rsidRPr="008029D7">
        <w:rPr>
          <w:rFonts w:ascii="Arial" w:hAnsi="Arial" w:cs="Arial"/>
          <w:sz w:val="22"/>
          <w:szCs w:val="22"/>
        </w:rPr>
        <w:t xml:space="preserve"> </w:t>
      </w:r>
      <w:r w:rsidRPr="00AB4451">
        <w:rPr>
          <w:rFonts w:ascii="Arial" w:hAnsi="Arial" w:cs="Arial"/>
          <w:b/>
          <w:bCs/>
          <w:sz w:val="22"/>
          <w:szCs w:val="22"/>
        </w:rPr>
        <w:t>Limitations</w:t>
      </w:r>
    </w:p>
    <w:p w14:paraId="16515995" w14:textId="77777777" w:rsidR="008029D7" w:rsidRPr="008029D7" w:rsidRDefault="008029D7" w:rsidP="008F4FE5">
      <w:pPr>
        <w:spacing w:after="0" w:line="360" w:lineRule="auto"/>
        <w:rPr>
          <w:rFonts w:ascii="Arial" w:hAnsi="Arial" w:cs="Arial"/>
          <w:sz w:val="22"/>
          <w:szCs w:val="22"/>
        </w:rPr>
      </w:pPr>
    </w:p>
    <w:p w14:paraId="49E6594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Despite these advantages, several limitations were encountered:</w:t>
      </w:r>
    </w:p>
    <w:p w14:paraId="24FCFDAC" w14:textId="77777777" w:rsidR="008029D7" w:rsidRPr="008029D7" w:rsidRDefault="008029D7" w:rsidP="008F4FE5">
      <w:pPr>
        <w:spacing w:after="0" w:line="360" w:lineRule="auto"/>
        <w:rPr>
          <w:rFonts w:ascii="Arial" w:hAnsi="Arial" w:cs="Arial"/>
          <w:sz w:val="22"/>
          <w:szCs w:val="22"/>
        </w:rPr>
      </w:pPr>
    </w:p>
    <w:p w14:paraId="189C7E6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Data Volume Constraints:</w:t>
      </w:r>
    </w:p>
    <w:p w14:paraId="46A959B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current implementation uses a limited dataset (10 companies, 3 funds). Real-world deployment would involve thousands of companies and hundreds of funds, requiring performance optimization strategies including graph partitioning and distributed processing.</w:t>
      </w:r>
    </w:p>
    <w:p w14:paraId="69E34201" w14:textId="77777777" w:rsidR="008029D7" w:rsidRPr="008029D7" w:rsidRDefault="008029D7" w:rsidP="008F4FE5">
      <w:pPr>
        <w:spacing w:after="0" w:line="360" w:lineRule="auto"/>
        <w:rPr>
          <w:rFonts w:ascii="Arial" w:hAnsi="Arial" w:cs="Arial"/>
          <w:sz w:val="22"/>
          <w:szCs w:val="22"/>
        </w:rPr>
      </w:pPr>
    </w:p>
    <w:p w14:paraId="4E68049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Algorithm Uniformity:</w:t>
      </w:r>
    </w:p>
    <w:p w14:paraId="0785FC9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PageRank and similarity algorithms returned uniform scores across entities due to the balanced, small-scale nature of the test data. In production environments with realistic data distribution, these algorithms would provide more differentiated insights.</w:t>
      </w:r>
    </w:p>
    <w:p w14:paraId="3A37E281" w14:textId="77777777" w:rsidR="008029D7" w:rsidRDefault="008029D7" w:rsidP="008F4FE5">
      <w:pPr>
        <w:spacing w:after="0" w:line="360" w:lineRule="auto"/>
        <w:rPr>
          <w:rFonts w:ascii="Arial" w:hAnsi="Arial" w:cs="Arial"/>
          <w:sz w:val="22"/>
          <w:szCs w:val="22"/>
        </w:rPr>
      </w:pPr>
    </w:p>
    <w:p w14:paraId="79618EBC" w14:textId="77777777" w:rsidR="000F5944" w:rsidRPr="008029D7" w:rsidRDefault="000F5944" w:rsidP="008F4FE5">
      <w:pPr>
        <w:spacing w:after="0" w:line="360" w:lineRule="auto"/>
        <w:rPr>
          <w:rFonts w:ascii="Arial" w:hAnsi="Arial" w:cs="Arial"/>
          <w:sz w:val="22"/>
          <w:szCs w:val="22"/>
        </w:rPr>
      </w:pPr>
    </w:p>
    <w:p w14:paraId="0CF94ACE"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Temporal Complexity:</w:t>
      </w:r>
    </w:p>
    <w:p w14:paraId="52B76F7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While the database captures temporal dimensions through date properties, implementing sophisticated time-series analysis and historical trend tracking requires additional data </w:t>
      </w:r>
      <w:proofErr w:type="spellStart"/>
      <w:r w:rsidRPr="008029D7">
        <w:rPr>
          <w:rFonts w:ascii="Arial" w:hAnsi="Arial" w:cs="Arial"/>
          <w:sz w:val="22"/>
          <w:szCs w:val="22"/>
        </w:rPr>
        <w:t>modeling</w:t>
      </w:r>
      <w:proofErr w:type="spellEnd"/>
      <w:r w:rsidRPr="008029D7">
        <w:rPr>
          <w:rFonts w:ascii="Arial" w:hAnsi="Arial" w:cs="Arial"/>
          <w:sz w:val="22"/>
          <w:szCs w:val="22"/>
        </w:rPr>
        <w:t xml:space="preserve"> considerations.</w:t>
      </w:r>
    </w:p>
    <w:p w14:paraId="623B1B24" w14:textId="77777777" w:rsidR="008029D7" w:rsidRPr="008029D7" w:rsidRDefault="008029D7" w:rsidP="008F4FE5">
      <w:pPr>
        <w:spacing w:after="0" w:line="360" w:lineRule="auto"/>
        <w:rPr>
          <w:rFonts w:ascii="Arial" w:hAnsi="Arial" w:cs="Arial"/>
          <w:sz w:val="22"/>
          <w:szCs w:val="22"/>
        </w:rPr>
      </w:pPr>
    </w:p>
    <w:p w14:paraId="108D0CC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Data Quality Dependencies:</w:t>
      </w:r>
    </w:p>
    <w:p w14:paraId="0E30A3F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effectiveness of ESG analysis depends heavily on the quality, consistency, and timeliness of external data sources. The current model assumes reliable data ingestion but doesn't fully address data validation, cleansing, or conflict resolution strategies.</w:t>
      </w:r>
    </w:p>
    <w:p w14:paraId="7B0FC506" w14:textId="77777777" w:rsidR="008029D7" w:rsidRPr="008029D7" w:rsidRDefault="008029D7" w:rsidP="008F4FE5">
      <w:pPr>
        <w:spacing w:after="0" w:line="360" w:lineRule="auto"/>
        <w:rPr>
          <w:rFonts w:ascii="Arial" w:hAnsi="Arial" w:cs="Arial"/>
          <w:sz w:val="22"/>
          <w:szCs w:val="22"/>
        </w:rPr>
      </w:pPr>
    </w:p>
    <w:p w14:paraId="2706662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Query Complexity Trade-offs:</w:t>
      </w:r>
    </w:p>
    <w:p w14:paraId="3B899A1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While graph traversals simplify relationship queries, certain aggregation operations (particularly those requiring complex mathematical computations) may still be more efficiently handled by traditional OLAP systems.</w:t>
      </w:r>
    </w:p>
    <w:p w14:paraId="28E95FD7" w14:textId="77777777" w:rsidR="008029D7" w:rsidRPr="008029D7" w:rsidRDefault="008029D7" w:rsidP="008F4FE5">
      <w:pPr>
        <w:spacing w:after="0" w:line="360" w:lineRule="auto"/>
        <w:rPr>
          <w:rFonts w:ascii="Arial" w:hAnsi="Arial" w:cs="Arial"/>
          <w:sz w:val="22"/>
          <w:szCs w:val="22"/>
        </w:rPr>
      </w:pPr>
    </w:p>
    <w:p w14:paraId="1C0E7BC5" w14:textId="77777777" w:rsidR="008029D7" w:rsidRPr="00AB4451" w:rsidRDefault="008029D7" w:rsidP="008F4FE5">
      <w:pPr>
        <w:spacing w:after="0" w:line="360" w:lineRule="auto"/>
        <w:rPr>
          <w:rFonts w:ascii="Arial" w:hAnsi="Arial" w:cs="Arial"/>
          <w:b/>
          <w:bCs/>
          <w:sz w:val="22"/>
          <w:szCs w:val="22"/>
        </w:rPr>
      </w:pPr>
      <w:r w:rsidRPr="00AB4451">
        <w:rPr>
          <w:rFonts w:ascii="Arial" w:hAnsi="Arial" w:cs="Arial"/>
          <w:b/>
          <w:bCs/>
          <w:sz w:val="22"/>
          <w:szCs w:val="22"/>
        </w:rPr>
        <w:t>8.3 Business and Operational Considerations</w:t>
      </w:r>
    </w:p>
    <w:p w14:paraId="72AF0509" w14:textId="77777777" w:rsidR="008029D7" w:rsidRPr="008029D7" w:rsidRDefault="008029D7" w:rsidP="008F4FE5">
      <w:pPr>
        <w:spacing w:after="0" w:line="360" w:lineRule="auto"/>
        <w:rPr>
          <w:rFonts w:ascii="Arial" w:hAnsi="Arial" w:cs="Arial"/>
          <w:sz w:val="22"/>
          <w:szCs w:val="22"/>
        </w:rPr>
      </w:pPr>
    </w:p>
    <w:p w14:paraId="3F612D9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Integration Challenges:</w:t>
      </w:r>
    </w:p>
    <w:p w14:paraId="0E1FF04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Migrating from established relational systems requires careful planning for data migration, application integration, and staff training. The organization must maintain parallel systems during transition periods.</w:t>
      </w:r>
    </w:p>
    <w:p w14:paraId="7A517A27" w14:textId="77777777" w:rsidR="008029D7" w:rsidRPr="008029D7" w:rsidRDefault="008029D7" w:rsidP="008F4FE5">
      <w:pPr>
        <w:spacing w:after="0" w:line="360" w:lineRule="auto"/>
        <w:rPr>
          <w:rFonts w:ascii="Arial" w:hAnsi="Arial" w:cs="Arial"/>
          <w:sz w:val="22"/>
          <w:szCs w:val="22"/>
        </w:rPr>
      </w:pPr>
    </w:p>
    <w:p w14:paraId="22C82A5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Cost Implications:</w:t>
      </w:r>
    </w:p>
    <w:p w14:paraId="740E504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Neo4j Enterprise licensing, cloud infrastructure for graph databases, and specialized training represent significant investments. However, these must be weighed against improved analytical capabilities and operational efficiencies.</w:t>
      </w:r>
    </w:p>
    <w:p w14:paraId="6429D455" w14:textId="77777777" w:rsidR="008029D7" w:rsidRPr="008029D7" w:rsidRDefault="008029D7" w:rsidP="008F4FE5">
      <w:pPr>
        <w:spacing w:after="0" w:line="360" w:lineRule="auto"/>
        <w:rPr>
          <w:rFonts w:ascii="Arial" w:hAnsi="Arial" w:cs="Arial"/>
          <w:sz w:val="22"/>
          <w:szCs w:val="22"/>
        </w:rPr>
      </w:pPr>
    </w:p>
    <w:p w14:paraId="33C3B159"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Regulatory Compliance:</w:t>
      </w:r>
    </w:p>
    <w:p w14:paraId="75776F7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While the audit trail system supports compliance requirements, organizations must ensure that graph database implementations meet all regulatory standards for data retention, auditability, and reporting under frameworks like ASIC RG65.</w:t>
      </w:r>
    </w:p>
    <w:p w14:paraId="01FBCA54" w14:textId="77777777" w:rsidR="008029D7" w:rsidRPr="008029D7" w:rsidRDefault="008029D7" w:rsidP="008F4FE5">
      <w:pPr>
        <w:spacing w:after="0" w:line="360" w:lineRule="auto"/>
        <w:rPr>
          <w:rFonts w:ascii="Arial" w:hAnsi="Arial" w:cs="Arial"/>
          <w:sz w:val="22"/>
          <w:szCs w:val="22"/>
        </w:rPr>
      </w:pPr>
    </w:p>
    <w:p w14:paraId="338D9E8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Skill Requirements:</w:t>
      </w:r>
    </w:p>
    <w:p w14:paraId="5B06983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Cypher query language and graph thinking require new skill sets. Organizations need to invest in training or hiring personnel with graph database expertise.</w:t>
      </w:r>
    </w:p>
    <w:p w14:paraId="270ABFFD" w14:textId="77777777" w:rsidR="008029D7" w:rsidRDefault="008029D7" w:rsidP="008F4FE5">
      <w:pPr>
        <w:spacing w:after="0" w:line="360" w:lineRule="auto"/>
        <w:rPr>
          <w:rFonts w:ascii="Arial" w:hAnsi="Arial" w:cs="Arial"/>
          <w:sz w:val="22"/>
          <w:szCs w:val="22"/>
        </w:rPr>
      </w:pPr>
    </w:p>
    <w:p w14:paraId="5A5C220F" w14:textId="77777777" w:rsidR="000F5944" w:rsidRPr="008029D7" w:rsidRDefault="000F5944" w:rsidP="008F4FE5">
      <w:pPr>
        <w:spacing w:after="0" w:line="360" w:lineRule="auto"/>
        <w:rPr>
          <w:rFonts w:ascii="Arial" w:hAnsi="Arial" w:cs="Arial"/>
          <w:sz w:val="22"/>
          <w:szCs w:val="22"/>
        </w:rPr>
      </w:pPr>
    </w:p>
    <w:p w14:paraId="62741B5C" w14:textId="77777777" w:rsidR="008029D7" w:rsidRPr="00AB4451" w:rsidRDefault="008029D7" w:rsidP="008F4FE5">
      <w:pPr>
        <w:spacing w:after="0" w:line="360" w:lineRule="auto"/>
        <w:rPr>
          <w:rFonts w:ascii="Arial" w:hAnsi="Arial" w:cs="Arial"/>
          <w:b/>
          <w:bCs/>
          <w:sz w:val="22"/>
          <w:szCs w:val="22"/>
        </w:rPr>
      </w:pPr>
      <w:r w:rsidRPr="00AB4451">
        <w:rPr>
          <w:rFonts w:ascii="Arial" w:hAnsi="Arial" w:cs="Arial"/>
          <w:b/>
          <w:bCs/>
          <w:sz w:val="22"/>
          <w:szCs w:val="22"/>
        </w:rPr>
        <w:lastRenderedPageBreak/>
        <w:t>8.4 Data Model Limitations</w:t>
      </w:r>
    </w:p>
    <w:p w14:paraId="1B4A7915" w14:textId="77777777" w:rsidR="008029D7" w:rsidRPr="008029D7" w:rsidRDefault="008029D7" w:rsidP="008F4FE5">
      <w:pPr>
        <w:spacing w:after="0" w:line="360" w:lineRule="auto"/>
        <w:rPr>
          <w:rFonts w:ascii="Arial" w:hAnsi="Arial" w:cs="Arial"/>
          <w:sz w:val="22"/>
          <w:szCs w:val="22"/>
        </w:rPr>
      </w:pPr>
    </w:p>
    <w:p w14:paraId="1313DA3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Simplified ESG Framework:</w:t>
      </w:r>
    </w:p>
    <w:p w14:paraId="7BA85E8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current model uses a simplified representation of ESG metrics. Real-world implementations would need to accommodate hundreds of metrics, multiple rating methodologies, and complex scoring algorithms.</w:t>
      </w:r>
    </w:p>
    <w:p w14:paraId="053F515D" w14:textId="77777777" w:rsidR="008029D7" w:rsidRPr="008029D7" w:rsidRDefault="008029D7" w:rsidP="008F4FE5">
      <w:pPr>
        <w:spacing w:after="0" w:line="360" w:lineRule="auto"/>
        <w:rPr>
          <w:rFonts w:ascii="Arial" w:hAnsi="Arial" w:cs="Arial"/>
          <w:sz w:val="22"/>
          <w:szCs w:val="22"/>
        </w:rPr>
      </w:pPr>
    </w:p>
    <w:p w14:paraId="69211B0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Limited Industry Coverage:</w:t>
      </w:r>
    </w:p>
    <w:p w14:paraId="3617996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implementation focuses on five Australian companies across limited sectors. Comprehensive ESG platforms must support global companies across all industry classifications.</w:t>
      </w:r>
    </w:p>
    <w:p w14:paraId="426458BC" w14:textId="77777777" w:rsidR="008029D7" w:rsidRPr="008029D7" w:rsidRDefault="008029D7" w:rsidP="008F4FE5">
      <w:pPr>
        <w:spacing w:after="0" w:line="360" w:lineRule="auto"/>
        <w:rPr>
          <w:rFonts w:ascii="Arial" w:hAnsi="Arial" w:cs="Arial"/>
          <w:sz w:val="22"/>
          <w:szCs w:val="22"/>
        </w:rPr>
      </w:pPr>
    </w:p>
    <w:p w14:paraId="1EAD021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Static Relationship </w:t>
      </w:r>
      <w:proofErr w:type="spellStart"/>
      <w:r w:rsidRPr="008029D7">
        <w:rPr>
          <w:rFonts w:ascii="Arial" w:hAnsi="Arial" w:cs="Arial"/>
          <w:sz w:val="22"/>
          <w:szCs w:val="22"/>
        </w:rPr>
        <w:t>Modeling</w:t>
      </w:r>
      <w:proofErr w:type="spellEnd"/>
      <w:r w:rsidRPr="008029D7">
        <w:rPr>
          <w:rFonts w:ascii="Arial" w:hAnsi="Arial" w:cs="Arial"/>
          <w:sz w:val="22"/>
          <w:szCs w:val="22"/>
        </w:rPr>
        <w:t>:</w:t>
      </w:r>
    </w:p>
    <w:p w14:paraId="6E36AF8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Current relationships are relatively static. Dynamic weighting, time-varying relationships, and conditional connections would enhance analytical capabilities.</w:t>
      </w:r>
    </w:p>
    <w:p w14:paraId="42F8D98F" w14:textId="77777777" w:rsidR="008029D7" w:rsidRPr="008029D7" w:rsidRDefault="008029D7" w:rsidP="008F4FE5">
      <w:pPr>
        <w:spacing w:after="0" w:line="360" w:lineRule="auto"/>
        <w:rPr>
          <w:rFonts w:ascii="Arial" w:hAnsi="Arial" w:cs="Arial"/>
          <w:sz w:val="22"/>
          <w:szCs w:val="22"/>
        </w:rPr>
      </w:pPr>
    </w:p>
    <w:p w14:paraId="5FBF2507" w14:textId="77777777" w:rsidR="008029D7" w:rsidRPr="00AB4451" w:rsidRDefault="008029D7" w:rsidP="008F4FE5">
      <w:pPr>
        <w:spacing w:after="0" w:line="360" w:lineRule="auto"/>
        <w:rPr>
          <w:rFonts w:ascii="Arial" w:hAnsi="Arial" w:cs="Arial"/>
          <w:b/>
          <w:bCs/>
          <w:sz w:val="22"/>
          <w:szCs w:val="22"/>
        </w:rPr>
      </w:pPr>
      <w:r w:rsidRPr="00AB4451">
        <w:rPr>
          <w:rFonts w:ascii="Arial" w:hAnsi="Arial" w:cs="Arial"/>
          <w:b/>
          <w:bCs/>
          <w:sz w:val="22"/>
          <w:szCs w:val="22"/>
        </w:rPr>
        <w:t>8.5 Future Enhancement Opportunities</w:t>
      </w:r>
    </w:p>
    <w:p w14:paraId="42FC74D4" w14:textId="77777777" w:rsidR="008029D7" w:rsidRPr="008029D7" w:rsidRDefault="008029D7" w:rsidP="008F4FE5">
      <w:pPr>
        <w:spacing w:after="0" w:line="360" w:lineRule="auto"/>
        <w:rPr>
          <w:rFonts w:ascii="Arial" w:hAnsi="Arial" w:cs="Arial"/>
          <w:sz w:val="22"/>
          <w:szCs w:val="22"/>
        </w:rPr>
      </w:pPr>
    </w:p>
    <w:p w14:paraId="6A1AC97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Several areas present opportunities for future development:</w:t>
      </w:r>
    </w:p>
    <w:p w14:paraId="20AF11DA" w14:textId="77777777" w:rsidR="008029D7" w:rsidRPr="008029D7" w:rsidRDefault="008029D7" w:rsidP="008F4FE5">
      <w:pPr>
        <w:spacing w:after="0" w:line="360" w:lineRule="auto"/>
        <w:rPr>
          <w:rFonts w:ascii="Arial" w:hAnsi="Arial" w:cs="Arial"/>
          <w:sz w:val="22"/>
          <w:szCs w:val="22"/>
        </w:rPr>
      </w:pPr>
    </w:p>
    <w:p w14:paraId="774CA03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Machine Learning Integration:</w:t>
      </w:r>
    </w:p>
    <w:p w14:paraId="51AAB3B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Incorporating predictive models for ESG score forecasting, risk prediction, and trend analysis using historical graph patterns.</w:t>
      </w:r>
    </w:p>
    <w:p w14:paraId="1CBD88F7" w14:textId="77777777" w:rsidR="008029D7" w:rsidRPr="008029D7" w:rsidRDefault="008029D7" w:rsidP="008F4FE5">
      <w:pPr>
        <w:spacing w:after="0" w:line="360" w:lineRule="auto"/>
        <w:rPr>
          <w:rFonts w:ascii="Arial" w:hAnsi="Arial" w:cs="Arial"/>
          <w:sz w:val="22"/>
          <w:szCs w:val="22"/>
        </w:rPr>
      </w:pPr>
    </w:p>
    <w:p w14:paraId="2E3C2D8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Real-time Data Streaming:</w:t>
      </w:r>
    </w:p>
    <w:p w14:paraId="55AB0D39"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Implementing real-time data ingestion from ESG data providers through API integrations, enabling continuous monitoring and alerts.</w:t>
      </w:r>
    </w:p>
    <w:p w14:paraId="1E272F9B" w14:textId="77777777" w:rsidR="008029D7" w:rsidRPr="008029D7" w:rsidRDefault="008029D7" w:rsidP="008F4FE5">
      <w:pPr>
        <w:spacing w:after="0" w:line="360" w:lineRule="auto"/>
        <w:rPr>
          <w:rFonts w:ascii="Arial" w:hAnsi="Arial" w:cs="Arial"/>
          <w:sz w:val="22"/>
          <w:szCs w:val="22"/>
        </w:rPr>
      </w:pPr>
    </w:p>
    <w:p w14:paraId="605A165D"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Advanced Visualization:</w:t>
      </w:r>
    </w:p>
    <w:p w14:paraId="7B18CB7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Developing interactive graph visualization dashboards for stakeholders to explore investment networks, ESG dependencies, and portfolio exposures.</w:t>
      </w:r>
    </w:p>
    <w:p w14:paraId="0141B035" w14:textId="77777777" w:rsidR="008029D7" w:rsidRPr="008029D7" w:rsidRDefault="008029D7" w:rsidP="008F4FE5">
      <w:pPr>
        <w:spacing w:after="0" w:line="360" w:lineRule="auto"/>
        <w:rPr>
          <w:rFonts w:ascii="Arial" w:hAnsi="Arial" w:cs="Arial"/>
          <w:sz w:val="22"/>
          <w:szCs w:val="22"/>
        </w:rPr>
      </w:pPr>
    </w:p>
    <w:p w14:paraId="501181F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Multi-dimensional Analysis:</w:t>
      </w:r>
    </w:p>
    <w:p w14:paraId="4AB4FBF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Expanding the model to incorporate climate scenarios, regulatory changes, and market dynamics as additional dimensions in the graph.</w:t>
      </w:r>
    </w:p>
    <w:p w14:paraId="1C320580" w14:textId="77777777" w:rsidR="008029D7" w:rsidRDefault="008029D7" w:rsidP="008F4FE5">
      <w:pPr>
        <w:spacing w:after="0" w:line="360" w:lineRule="auto"/>
        <w:rPr>
          <w:rFonts w:ascii="Arial" w:hAnsi="Arial" w:cs="Arial"/>
          <w:sz w:val="22"/>
          <w:szCs w:val="22"/>
        </w:rPr>
      </w:pPr>
    </w:p>
    <w:p w14:paraId="05D6EBBC" w14:textId="77777777" w:rsidR="000F5944" w:rsidRPr="008029D7" w:rsidRDefault="000F5944" w:rsidP="008F4FE5">
      <w:pPr>
        <w:spacing w:after="0" w:line="360" w:lineRule="auto"/>
        <w:rPr>
          <w:rFonts w:ascii="Arial" w:hAnsi="Arial" w:cs="Arial"/>
          <w:sz w:val="22"/>
          <w:szCs w:val="22"/>
        </w:rPr>
      </w:pPr>
    </w:p>
    <w:p w14:paraId="4609B4C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Community Detection:</w:t>
      </w:r>
    </w:p>
    <w:p w14:paraId="7D68EF6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Applying clustering algorithms to identify investment communities, sectoral groupings, and ESG performance cohorts.</w:t>
      </w:r>
    </w:p>
    <w:p w14:paraId="3DB4928A" w14:textId="77777777" w:rsidR="008029D7" w:rsidRPr="008029D7" w:rsidRDefault="008029D7" w:rsidP="008F4FE5">
      <w:pPr>
        <w:spacing w:after="0" w:line="360" w:lineRule="auto"/>
        <w:rPr>
          <w:rFonts w:ascii="Arial" w:hAnsi="Arial" w:cs="Arial"/>
          <w:sz w:val="22"/>
          <w:szCs w:val="22"/>
        </w:rPr>
      </w:pPr>
    </w:p>
    <w:p w14:paraId="53668F6C"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Despite these limitations, the graph database implementation demonstrates substantial potential for transforming ESG investment analytics. The foundation established supports incremental enhancement and scaling to meet enterprise requirements while providing immediate value through improved relationship analysis and analytical flexibility.</w:t>
      </w:r>
    </w:p>
    <w:p w14:paraId="2B8EEE19" w14:textId="21B11437" w:rsidR="008029D7" w:rsidRPr="008029D7" w:rsidRDefault="008029D7" w:rsidP="008F4FE5">
      <w:pPr>
        <w:spacing w:after="0" w:line="360" w:lineRule="auto"/>
        <w:rPr>
          <w:rFonts w:ascii="Arial" w:hAnsi="Arial" w:cs="Arial"/>
          <w:sz w:val="22"/>
          <w:szCs w:val="22"/>
        </w:rPr>
      </w:pPr>
    </w:p>
    <w:p w14:paraId="2550F692" w14:textId="77777777" w:rsidR="008029D7" w:rsidRPr="00F876F3" w:rsidRDefault="008029D7" w:rsidP="008F4FE5">
      <w:pPr>
        <w:spacing w:after="0" w:line="360" w:lineRule="auto"/>
        <w:rPr>
          <w:rFonts w:ascii="Arial" w:hAnsi="Arial" w:cs="Arial"/>
          <w:b/>
          <w:bCs/>
          <w:sz w:val="28"/>
          <w:szCs w:val="28"/>
        </w:rPr>
      </w:pPr>
      <w:r w:rsidRPr="00F876F3">
        <w:rPr>
          <w:rFonts w:ascii="Arial" w:hAnsi="Arial" w:cs="Arial"/>
          <w:b/>
          <w:bCs/>
          <w:sz w:val="28"/>
          <w:szCs w:val="28"/>
        </w:rPr>
        <w:t>9. CONCLUSION</w:t>
      </w:r>
    </w:p>
    <w:p w14:paraId="2E100F70" w14:textId="77777777" w:rsidR="008029D7" w:rsidRPr="008029D7" w:rsidRDefault="008029D7" w:rsidP="008F4FE5">
      <w:pPr>
        <w:spacing w:after="0" w:line="360" w:lineRule="auto"/>
        <w:rPr>
          <w:rFonts w:ascii="Arial" w:hAnsi="Arial" w:cs="Arial"/>
          <w:sz w:val="22"/>
          <w:szCs w:val="22"/>
        </w:rPr>
      </w:pPr>
    </w:p>
    <w:p w14:paraId="392D11B5"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project successfully demonstrated the end-to-end migration of an ESG investment database from a relational model to a graph-based architecture using Neo4j. The implementation addressed critical challenges in managing complex, interconnected ESG data across investment funds, portfolio companies, sustainability metrics, and regulatory frameworks.</w:t>
      </w:r>
    </w:p>
    <w:p w14:paraId="110D1450" w14:textId="77777777" w:rsidR="008029D7" w:rsidRPr="008029D7" w:rsidRDefault="008029D7" w:rsidP="008F4FE5">
      <w:pPr>
        <w:spacing w:after="0" w:line="360" w:lineRule="auto"/>
        <w:rPr>
          <w:rFonts w:ascii="Arial" w:hAnsi="Arial" w:cs="Arial"/>
          <w:sz w:val="22"/>
          <w:szCs w:val="22"/>
        </w:rPr>
      </w:pPr>
    </w:p>
    <w:p w14:paraId="3DD1067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Key Achievements:</w:t>
      </w:r>
    </w:p>
    <w:p w14:paraId="16F124E6" w14:textId="77777777" w:rsidR="008029D7" w:rsidRPr="008029D7" w:rsidRDefault="008029D7" w:rsidP="008F4FE5">
      <w:pPr>
        <w:spacing w:after="0" w:line="360" w:lineRule="auto"/>
        <w:rPr>
          <w:rFonts w:ascii="Arial" w:hAnsi="Arial" w:cs="Arial"/>
          <w:sz w:val="22"/>
          <w:szCs w:val="22"/>
        </w:rPr>
      </w:pPr>
    </w:p>
    <w:p w14:paraId="3C214B1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Comprehensive Data Migration:</w:t>
      </w:r>
    </w:p>
    <w:p w14:paraId="644AB2C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All entity types and relationships from the original relational schema were successfully translated into a graph model, with 9 core node labels and 6 relationship types capturing the full complexity of ESG investment networks.</w:t>
      </w:r>
    </w:p>
    <w:p w14:paraId="20B88A8E" w14:textId="77777777" w:rsidR="008029D7" w:rsidRPr="008029D7" w:rsidRDefault="008029D7" w:rsidP="008F4FE5">
      <w:pPr>
        <w:spacing w:after="0" w:line="360" w:lineRule="auto"/>
        <w:rPr>
          <w:rFonts w:ascii="Arial" w:hAnsi="Arial" w:cs="Arial"/>
          <w:sz w:val="22"/>
          <w:szCs w:val="22"/>
        </w:rPr>
      </w:pPr>
    </w:p>
    <w:p w14:paraId="62A8276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Robust Implementation:</w:t>
      </w:r>
    </w:p>
    <w:p w14:paraId="67FC6EA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database implementation includes proper constraints, indexes, and data validation mechanisms ensuring referential integrity and query performance. The import of 8 CSV datasets created a fully functional graph database with over 35 records demonstrating real-world Australian ESG investment scenarios.</w:t>
      </w:r>
    </w:p>
    <w:p w14:paraId="5A2D4359" w14:textId="77777777" w:rsidR="008029D7" w:rsidRPr="008029D7" w:rsidRDefault="008029D7" w:rsidP="008F4FE5">
      <w:pPr>
        <w:spacing w:after="0" w:line="360" w:lineRule="auto"/>
        <w:rPr>
          <w:rFonts w:ascii="Arial" w:hAnsi="Arial" w:cs="Arial"/>
          <w:sz w:val="22"/>
          <w:szCs w:val="22"/>
        </w:rPr>
      </w:pPr>
    </w:p>
    <w:p w14:paraId="157D88E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Advanced Query Capabilities:</w:t>
      </w:r>
    </w:p>
    <w:p w14:paraId="0BF991AF"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Four Cypher queries of varying complexity showcase the analytical power of graph databases, from simple relationship traversals to complex weighted ESG score calculations that would require multiple joins and subqueries in relational systems.</w:t>
      </w:r>
    </w:p>
    <w:p w14:paraId="0056ADE9" w14:textId="77777777" w:rsidR="008029D7" w:rsidRDefault="008029D7" w:rsidP="008F4FE5">
      <w:pPr>
        <w:spacing w:after="0" w:line="360" w:lineRule="auto"/>
        <w:rPr>
          <w:rFonts w:ascii="Arial" w:hAnsi="Arial" w:cs="Arial"/>
          <w:sz w:val="22"/>
          <w:szCs w:val="22"/>
        </w:rPr>
      </w:pPr>
    </w:p>
    <w:p w14:paraId="2A7A6D99" w14:textId="77777777" w:rsidR="000F5944" w:rsidRPr="008029D7" w:rsidRDefault="000F5944" w:rsidP="008F4FE5">
      <w:pPr>
        <w:spacing w:after="0" w:line="360" w:lineRule="auto"/>
        <w:rPr>
          <w:rFonts w:ascii="Arial" w:hAnsi="Arial" w:cs="Arial"/>
          <w:sz w:val="22"/>
          <w:szCs w:val="22"/>
        </w:rPr>
      </w:pPr>
    </w:p>
    <w:p w14:paraId="185A7420"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Network Analytics:</w:t>
      </w:r>
    </w:p>
    <w:p w14:paraId="6125B71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Implementation of PageRank centrality and Node Similarity algorithms from Neo4j's Graph Data Science library demonstrated sophisticated network analysis capabilities, revealing company influence patterns and investment clustering that are difficult to </w:t>
      </w:r>
      <w:proofErr w:type="spellStart"/>
      <w:r w:rsidRPr="008029D7">
        <w:rPr>
          <w:rFonts w:ascii="Arial" w:hAnsi="Arial" w:cs="Arial"/>
          <w:sz w:val="22"/>
          <w:szCs w:val="22"/>
        </w:rPr>
        <w:t>analyze</w:t>
      </w:r>
      <w:proofErr w:type="spellEnd"/>
      <w:r w:rsidRPr="008029D7">
        <w:rPr>
          <w:rFonts w:ascii="Arial" w:hAnsi="Arial" w:cs="Arial"/>
          <w:sz w:val="22"/>
          <w:szCs w:val="22"/>
        </w:rPr>
        <w:t xml:space="preserve"> in traditional databases.</w:t>
      </w:r>
    </w:p>
    <w:p w14:paraId="7EEE79F3" w14:textId="77777777" w:rsidR="008029D7" w:rsidRPr="008029D7" w:rsidRDefault="008029D7" w:rsidP="008F4FE5">
      <w:pPr>
        <w:spacing w:after="0" w:line="360" w:lineRule="auto"/>
        <w:rPr>
          <w:rFonts w:ascii="Arial" w:hAnsi="Arial" w:cs="Arial"/>
          <w:sz w:val="22"/>
          <w:szCs w:val="22"/>
        </w:rPr>
      </w:pPr>
    </w:p>
    <w:p w14:paraId="1DC96E51"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Business Intelligence Integration:</w:t>
      </w:r>
    </w:p>
    <w:p w14:paraId="5399E9D3"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development of dimensional data models within Neo4j illustrated how graph databases can support traditional BI and data warehousing concepts while maintaining the advantages of relationship-oriented querying.</w:t>
      </w:r>
    </w:p>
    <w:p w14:paraId="52AC19AB" w14:textId="77777777" w:rsidR="008029D7" w:rsidRPr="008029D7" w:rsidRDefault="008029D7" w:rsidP="008F4FE5">
      <w:pPr>
        <w:spacing w:after="0" w:line="360" w:lineRule="auto"/>
        <w:rPr>
          <w:rFonts w:ascii="Arial" w:hAnsi="Arial" w:cs="Arial"/>
          <w:sz w:val="22"/>
          <w:szCs w:val="22"/>
        </w:rPr>
      </w:pPr>
    </w:p>
    <w:p w14:paraId="2F61A30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Business Value Delivered:</w:t>
      </w:r>
    </w:p>
    <w:p w14:paraId="4FB8A261" w14:textId="77777777" w:rsidR="008029D7" w:rsidRPr="008029D7" w:rsidRDefault="008029D7" w:rsidP="008F4FE5">
      <w:pPr>
        <w:spacing w:after="0" w:line="360" w:lineRule="auto"/>
        <w:rPr>
          <w:rFonts w:ascii="Arial" w:hAnsi="Arial" w:cs="Arial"/>
          <w:sz w:val="22"/>
          <w:szCs w:val="22"/>
        </w:rPr>
      </w:pPr>
    </w:p>
    <w:p w14:paraId="793A44B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graph database implementation provides tangible business value for ESG investment management:</w:t>
      </w:r>
    </w:p>
    <w:p w14:paraId="4B6B2CBF" w14:textId="77777777" w:rsidR="008029D7" w:rsidRPr="008029D7" w:rsidRDefault="008029D7" w:rsidP="008F4FE5">
      <w:pPr>
        <w:spacing w:after="0" w:line="360" w:lineRule="auto"/>
        <w:rPr>
          <w:rFonts w:ascii="Arial" w:hAnsi="Arial" w:cs="Arial"/>
          <w:sz w:val="22"/>
          <w:szCs w:val="22"/>
        </w:rPr>
      </w:pPr>
    </w:p>
    <w:p w14:paraId="69A0766C" w14:textId="078C0A9C" w:rsidR="008029D7" w:rsidRPr="00AB4451" w:rsidRDefault="008029D7" w:rsidP="00AB4451">
      <w:pPr>
        <w:pStyle w:val="ListParagraph"/>
        <w:numPr>
          <w:ilvl w:val="0"/>
          <w:numId w:val="12"/>
        </w:numPr>
        <w:spacing w:after="0" w:line="360" w:lineRule="auto"/>
        <w:rPr>
          <w:rFonts w:ascii="Arial" w:hAnsi="Arial" w:cs="Arial"/>
          <w:sz w:val="22"/>
          <w:szCs w:val="22"/>
        </w:rPr>
      </w:pPr>
      <w:r w:rsidRPr="00AB4451">
        <w:rPr>
          <w:rFonts w:ascii="Arial" w:hAnsi="Arial" w:cs="Arial"/>
          <w:sz w:val="22"/>
          <w:szCs w:val="22"/>
        </w:rPr>
        <w:t>Enhanced Decision-Making: Fund managers can quickly traverse investment relationships to understand ESG exposure and dependencies</w:t>
      </w:r>
    </w:p>
    <w:p w14:paraId="4BEC01AC" w14:textId="7D2390B6" w:rsidR="008029D7" w:rsidRPr="00AB4451" w:rsidRDefault="008029D7" w:rsidP="00AB4451">
      <w:pPr>
        <w:pStyle w:val="ListParagraph"/>
        <w:numPr>
          <w:ilvl w:val="0"/>
          <w:numId w:val="12"/>
        </w:numPr>
        <w:spacing w:after="0" w:line="360" w:lineRule="auto"/>
        <w:rPr>
          <w:rFonts w:ascii="Arial" w:hAnsi="Arial" w:cs="Arial"/>
          <w:sz w:val="22"/>
          <w:szCs w:val="22"/>
        </w:rPr>
      </w:pPr>
      <w:r w:rsidRPr="00AB4451">
        <w:rPr>
          <w:rFonts w:ascii="Arial" w:hAnsi="Arial" w:cs="Arial"/>
          <w:sz w:val="22"/>
          <w:szCs w:val="22"/>
        </w:rPr>
        <w:t>Risk Management: Network analysis reveals systemic risks and concentration issues across portfolios</w:t>
      </w:r>
    </w:p>
    <w:p w14:paraId="380907AA" w14:textId="3E50F236" w:rsidR="008029D7" w:rsidRPr="00AB4451" w:rsidRDefault="008029D7" w:rsidP="00AB4451">
      <w:pPr>
        <w:pStyle w:val="ListParagraph"/>
        <w:numPr>
          <w:ilvl w:val="0"/>
          <w:numId w:val="12"/>
        </w:numPr>
        <w:spacing w:after="0" w:line="360" w:lineRule="auto"/>
        <w:rPr>
          <w:rFonts w:ascii="Arial" w:hAnsi="Arial" w:cs="Arial"/>
          <w:sz w:val="22"/>
          <w:szCs w:val="22"/>
        </w:rPr>
      </w:pPr>
      <w:r w:rsidRPr="00AB4451">
        <w:rPr>
          <w:rFonts w:ascii="Arial" w:hAnsi="Arial" w:cs="Arial"/>
          <w:sz w:val="22"/>
          <w:szCs w:val="22"/>
        </w:rPr>
        <w:t>Regulatory Compliance: Built-in audit trails and transparent data lineage support ASIC RG65 and other regulatory requirements</w:t>
      </w:r>
    </w:p>
    <w:p w14:paraId="4D77D8FA" w14:textId="7DB54871" w:rsidR="008029D7" w:rsidRPr="00AB4451" w:rsidRDefault="008029D7" w:rsidP="00AB4451">
      <w:pPr>
        <w:pStyle w:val="ListParagraph"/>
        <w:numPr>
          <w:ilvl w:val="0"/>
          <w:numId w:val="12"/>
        </w:numPr>
        <w:spacing w:after="0" w:line="360" w:lineRule="auto"/>
        <w:rPr>
          <w:rFonts w:ascii="Arial" w:hAnsi="Arial" w:cs="Arial"/>
          <w:sz w:val="22"/>
          <w:szCs w:val="22"/>
        </w:rPr>
      </w:pPr>
      <w:r w:rsidRPr="00AB4451">
        <w:rPr>
          <w:rFonts w:ascii="Arial" w:hAnsi="Arial" w:cs="Arial"/>
          <w:sz w:val="22"/>
          <w:szCs w:val="22"/>
        </w:rPr>
        <w:t>Operational Efficiency: Estimated 40+ hours weekly savings through simplified querying and automated analytics</w:t>
      </w:r>
    </w:p>
    <w:p w14:paraId="09CBCEF5" w14:textId="34474174" w:rsidR="008029D7" w:rsidRPr="00AB4451" w:rsidRDefault="008029D7" w:rsidP="00AB4451">
      <w:pPr>
        <w:pStyle w:val="ListParagraph"/>
        <w:numPr>
          <w:ilvl w:val="0"/>
          <w:numId w:val="12"/>
        </w:numPr>
        <w:spacing w:after="0" w:line="360" w:lineRule="auto"/>
        <w:rPr>
          <w:rFonts w:ascii="Arial" w:hAnsi="Arial" w:cs="Arial"/>
          <w:sz w:val="22"/>
          <w:szCs w:val="22"/>
        </w:rPr>
      </w:pPr>
      <w:r w:rsidRPr="00AB4451">
        <w:rPr>
          <w:rFonts w:ascii="Arial" w:hAnsi="Arial" w:cs="Arial"/>
          <w:sz w:val="22"/>
          <w:szCs w:val="22"/>
        </w:rPr>
        <w:t>Scalability: Architecture supports growth from current $4.55B AUM to institutional-scale portfolios</w:t>
      </w:r>
    </w:p>
    <w:p w14:paraId="6ACF4233" w14:textId="77777777" w:rsidR="008029D7" w:rsidRPr="008029D7" w:rsidRDefault="008029D7" w:rsidP="008F4FE5">
      <w:pPr>
        <w:spacing w:after="0" w:line="360" w:lineRule="auto"/>
        <w:rPr>
          <w:rFonts w:ascii="Arial" w:hAnsi="Arial" w:cs="Arial"/>
          <w:sz w:val="22"/>
          <w:szCs w:val="22"/>
        </w:rPr>
      </w:pPr>
    </w:p>
    <w:p w14:paraId="2C2B9D62"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Technical Innovation:</w:t>
      </w:r>
    </w:p>
    <w:p w14:paraId="20418003" w14:textId="77777777" w:rsidR="008029D7" w:rsidRPr="008029D7" w:rsidRDefault="008029D7" w:rsidP="008F4FE5">
      <w:pPr>
        <w:spacing w:after="0" w:line="360" w:lineRule="auto"/>
        <w:rPr>
          <w:rFonts w:ascii="Arial" w:hAnsi="Arial" w:cs="Arial"/>
          <w:sz w:val="22"/>
          <w:szCs w:val="22"/>
        </w:rPr>
      </w:pPr>
    </w:p>
    <w:p w14:paraId="0BD8AA8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implementation demonstrates several technical innovations:</w:t>
      </w:r>
    </w:p>
    <w:p w14:paraId="1213337F" w14:textId="77777777" w:rsidR="008029D7" w:rsidRPr="008029D7" w:rsidRDefault="008029D7" w:rsidP="008F4FE5">
      <w:pPr>
        <w:spacing w:after="0" w:line="360" w:lineRule="auto"/>
        <w:rPr>
          <w:rFonts w:ascii="Arial" w:hAnsi="Arial" w:cs="Arial"/>
          <w:sz w:val="22"/>
          <w:szCs w:val="22"/>
        </w:rPr>
      </w:pPr>
    </w:p>
    <w:p w14:paraId="05AB4DEE" w14:textId="6E037832" w:rsidR="008029D7" w:rsidRPr="00AB4451" w:rsidRDefault="008029D7" w:rsidP="00AB4451">
      <w:pPr>
        <w:pStyle w:val="ListParagraph"/>
        <w:numPr>
          <w:ilvl w:val="0"/>
          <w:numId w:val="13"/>
        </w:numPr>
        <w:spacing w:after="0" w:line="360" w:lineRule="auto"/>
        <w:rPr>
          <w:rFonts w:ascii="Arial" w:hAnsi="Arial" w:cs="Arial"/>
          <w:sz w:val="22"/>
          <w:szCs w:val="22"/>
        </w:rPr>
      </w:pPr>
      <w:r w:rsidRPr="00AB4451">
        <w:rPr>
          <w:rFonts w:ascii="Arial" w:hAnsi="Arial" w:cs="Arial"/>
          <w:sz w:val="22"/>
          <w:szCs w:val="22"/>
        </w:rPr>
        <w:t>Successful translation of relational foreign keys into meaningful graph relationships</w:t>
      </w:r>
    </w:p>
    <w:p w14:paraId="17D95F2E" w14:textId="5D3D11D1" w:rsidR="008029D7" w:rsidRPr="00AB4451" w:rsidRDefault="008029D7" w:rsidP="00AB4451">
      <w:pPr>
        <w:pStyle w:val="ListParagraph"/>
        <w:numPr>
          <w:ilvl w:val="0"/>
          <w:numId w:val="13"/>
        </w:numPr>
        <w:spacing w:after="0" w:line="360" w:lineRule="auto"/>
        <w:rPr>
          <w:rFonts w:ascii="Arial" w:hAnsi="Arial" w:cs="Arial"/>
          <w:sz w:val="22"/>
          <w:szCs w:val="22"/>
        </w:rPr>
      </w:pPr>
      <w:r w:rsidRPr="00AB4451">
        <w:rPr>
          <w:rFonts w:ascii="Arial" w:hAnsi="Arial" w:cs="Arial"/>
          <w:sz w:val="22"/>
          <w:szCs w:val="22"/>
        </w:rPr>
        <w:t>Integration of temporal dimensions for trend analysis and historical tracking</w:t>
      </w:r>
    </w:p>
    <w:p w14:paraId="092538A3" w14:textId="5B16696D" w:rsidR="008029D7" w:rsidRPr="00AB4451" w:rsidRDefault="008029D7" w:rsidP="00AB4451">
      <w:pPr>
        <w:pStyle w:val="ListParagraph"/>
        <w:numPr>
          <w:ilvl w:val="0"/>
          <w:numId w:val="13"/>
        </w:numPr>
        <w:spacing w:after="0" w:line="360" w:lineRule="auto"/>
        <w:rPr>
          <w:rFonts w:ascii="Arial" w:hAnsi="Arial" w:cs="Arial"/>
          <w:sz w:val="22"/>
          <w:szCs w:val="22"/>
        </w:rPr>
      </w:pPr>
      <w:r w:rsidRPr="00AB4451">
        <w:rPr>
          <w:rFonts w:ascii="Arial" w:hAnsi="Arial" w:cs="Arial"/>
          <w:sz w:val="22"/>
          <w:szCs w:val="22"/>
        </w:rPr>
        <w:t>Application of graph algorithms for investment network analysis</w:t>
      </w:r>
    </w:p>
    <w:p w14:paraId="73FA7F48" w14:textId="071EF50C" w:rsidR="008029D7" w:rsidRPr="00AB4451" w:rsidRDefault="008029D7" w:rsidP="00AB4451">
      <w:pPr>
        <w:pStyle w:val="ListParagraph"/>
        <w:numPr>
          <w:ilvl w:val="0"/>
          <w:numId w:val="13"/>
        </w:numPr>
        <w:spacing w:after="0" w:line="360" w:lineRule="auto"/>
        <w:rPr>
          <w:rFonts w:ascii="Arial" w:hAnsi="Arial" w:cs="Arial"/>
          <w:sz w:val="22"/>
          <w:szCs w:val="22"/>
        </w:rPr>
      </w:pPr>
      <w:r w:rsidRPr="00AB4451">
        <w:rPr>
          <w:rFonts w:ascii="Arial" w:hAnsi="Arial" w:cs="Arial"/>
          <w:sz w:val="22"/>
          <w:szCs w:val="22"/>
        </w:rPr>
        <w:t>Hybrid approach combining graph traversal with traditional aggregation logic</w:t>
      </w:r>
    </w:p>
    <w:p w14:paraId="6BF1E497" w14:textId="77777777" w:rsidR="008029D7" w:rsidRPr="008029D7" w:rsidRDefault="008029D7" w:rsidP="008F4FE5">
      <w:pPr>
        <w:spacing w:after="0" w:line="360" w:lineRule="auto"/>
        <w:rPr>
          <w:rFonts w:ascii="Arial" w:hAnsi="Arial" w:cs="Arial"/>
          <w:sz w:val="22"/>
          <w:szCs w:val="22"/>
        </w:rPr>
      </w:pPr>
    </w:p>
    <w:p w14:paraId="39DB633A"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lastRenderedPageBreak/>
        <w:t>The project validates that graph databases represent a viable and advantageous alternative to relational systems for ESG investment management, particularly when relationship analysis, network effects, and data connectivity are central to business requirements.</w:t>
      </w:r>
    </w:p>
    <w:p w14:paraId="307A70FA" w14:textId="77777777" w:rsidR="008029D7" w:rsidRPr="008029D7" w:rsidRDefault="008029D7" w:rsidP="008F4FE5">
      <w:pPr>
        <w:spacing w:after="0" w:line="360" w:lineRule="auto"/>
        <w:rPr>
          <w:rFonts w:ascii="Arial" w:hAnsi="Arial" w:cs="Arial"/>
          <w:sz w:val="22"/>
          <w:szCs w:val="22"/>
        </w:rPr>
      </w:pPr>
    </w:p>
    <w:p w14:paraId="644CF68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Looking Forward:</w:t>
      </w:r>
    </w:p>
    <w:p w14:paraId="779B1686" w14:textId="77777777" w:rsidR="008029D7" w:rsidRPr="008029D7" w:rsidRDefault="008029D7" w:rsidP="008F4FE5">
      <w:pPr>
        <w:spacing w:after="0" w:line="360" w:lineRule="auto"/>
        <w:rPr>
          <w:rFonts w:ascii="Arial" w:hAnsi="Arial" w:cs="Arial"/>
          <w:sz w:val="22"/>
          <w:szCs w:val="22"/>
        </w:rPr>
      </w:pPr>
    </w:p>
    <w:p w14:paraId="13BBFF54"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The foundation established through this implementation creates pathways for future enhancements including machine learning integration, real-time data streaming, advanced visualization, and expanded coverage of global ESG frameworks.</w:t>
      </w:r>
    </w:p>
    <w:p w14:paraId="2E3EFB87" w14:textId="77777777" w:rsidR="008029D7" w:rsidRPr="008029D7" w:rsidRDefault="008029D7" w:rsidP="008F4FE5">
      <w:pPr>
        <w:spacing w:after="0" w:line="360" w:lineRule="auto"/>
        <w:rPr>
          <w:rFonts w:ascii="Arial" w:hAnsi="Arial" w:cs="Arial"/>
          <w:sz w:val="22"/>
          <w:szCs w:val="22"/>
        </w:rPr>
      </w:pPr>
    </w:p>
    <w:p w14:paraId="414444DB"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As the Australian ESG investment market continues to grow beyond $100 billion in assets under management, graph database technologies will play an increasingly critical role in helping financial institutions navigate complex sustainability data, meet regulatory obligations, and deliver superior investment outcomes.</w:t>
      </w:r>
    </w:p>
    <w:p w14:paraId="73126517" w14:textId="77777777" w:rsidR="008029D7" w:rsidRPr="008029D7" w:rsidRDefault="008029D7" w:rsidP="008F4FE5">
      <w:pPr>
        <w:spacing w:after="0" w:line="360" w:lineRule="auto"/>
        <w:rPr>
          <w:rFonts w:ascii="Arial" w:hAnsi="Arial" w:cs="Arial"/>
          <w:sz w:val="22"/>
          <w:szCs w:val="22"/>
        </w:rPr>
      </w:pPr>
    </w:p>
    <w:p w14:paraId="23BD13E6"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This project demonstrates not only technical proficiency in graph database design and implementation but also a deep understanding of ESG investment challenges and the practical application of advanced data management techniques to solve real business problems.</w:t>
      </w:r>
    </w:p>
    <w:p w14:paraId="27B131A7" w14:textId="77777777" w:rsidR="008029D7" w:rsidRDefault="008029D7" w:rsidP="008F4FE5">
      <w:pPr>
        <w:spacing w:after="0" w:line="360" w:lineRule="auto"/>
        <w:rPr>
          <w:rFonts w:ascii="Arial" w:hAnsi="Arial" w:cs="Arial"/>
          <w:sz w:val="22"/>
          <w:szCs w:val="22"/>
        </w:rPr>
      </w:pPr>
    </w:p>
    <w:p w14:paraId="5492942D" w14:textId="77777777" w:rsidR="000F5944" w:rsidRDefault="000F5944" w:rsidP="008F4FE5">
      <w:pPr>
        <w:spacing w:after="0" w:line="360" w:lineRule="auto"/>
        <w:rPr>
          <w:rFonts w:ascii="Arial" w:hAnsi="Arial" w:cs="Arial"/>
          <w:sz w:val="22"/>
          <w:szCs w:val="22"/>
        </w:rPr>
      </w:pPr>
    </w:p>
    <w:p w14:paraId="6413CF7F" w14:textId="77777777" w:rsidR="000F5944" w:rsidRDefault="000F5944" w:rsidP="008F4FE5">
      <w:pPr>
        <w:spacing w:after="0" w:line="360" w:lineRule="auto"/>
        <w:rPr>
          <w:rFonts w:ascii="Arial" w:hAnsi="Arial" w:cs="Arial"/>
          <w:sz w:val="22"/>
          <w:szCs w:val="22"/>
        </w:rPr>
      </w:pPr>
    </w:p>
    <w:p w14:paraId="575697EE" w14:textId="77777777" w:rsidR="000F5944" w:rsidRDefault="000F5944" w:rsidP="008F4FE5">
      <w:pPr>
        <w:spacing w:after="0" w:line="360" w:lineRule="auto"/>
        <w:rPr>
          <w:rFonts w:ascii="Arial" w:hAnsi="Arial" w:cs="Arial"/>
          <w:sz w:val="22"/>
          <w:szCs w:val="22"/>
        </w:rPr>
      </w:pPr>
    </w:p>
    <w:p w14:paraId="5840C4B9" w14:textId="77777777" w:rsidR="000F5944" w:rsidRDefault="000F5944" w:rsidP="008F4FE5">
      <w:pPr>
        <w:spacing w:after="0" w:line="360" w:lineRule="auto"/>
        <w:rPr>
          <w:rFonts w:ascii="Arial" w:hAnsi="Arial" w:cs="Arial"/>
          <w:sz w:val="22"/>
          <w:szCs w:val="22"/>
        </w:rPr>
      </w:pPr>
    </w:p>
    <w:p w14:paraId="56628693" w14:textId="77777777" w:rsidR="000F5944" w:rsidRDefault="000F5944" w:rsidP="008F4FE5">
      <w:pPr>
        <w:spacing w:after="0" w:line="360" w:lineRule="auto"/>
        <w:rPr>
          <w:rFonts w:ascii="Arial" w:hAnsi="Arial" w:cs="Arial"/>
          <w:sz w:val="22"/>
          <w:szCs w:val="22"/>
        </w:rPr>
      </w:pPr>
    </w:p>
    <w:p w14:paraId="2E2372B0" w14:textId="77777777" w:rsidR="000F5944" w:rsidRDefault="000F5944" w:rsidP="008F4FE5">
      <w:pPr>
        <w:spacing w:after="0" w:line="360" w:lineRule="auto"/>
        <w:rPr>
          <w:rFonts w:ascii="Arial" w:hAnsi="Arial" w:cs="Arial"/>
          <w:sz w:val="22"/>
          <w:szCs w:val="22"/>
        </w:rPr>
      </w:pPr>
    </w:p>
    <w:p w14:paraId="3D3B0256" w14:textId="77777777" w:rsidR="000F5944" w:rsidRDefault="000F5944" w:rsidP="008F4FE5">
      <w:pPr>
        <w:spacing w:after="0" w:line="360" w:lineRule="auto"/>
        <w:rPr>
          <w:rFonts w:ascii="Arial" w:hAnsi="Arial" w:cs="Arial"/>
          <w:sz w:val="22"/>
          <w:szCs w:val="22"/>
        </w:rPr>
      </w:pPr>
    </w:p>
    <w:p w14:paraId="67EA0AED" w14:textId="77777777" w:rsidR="000F5944" w:rsidRDefault="000F5944" w:rsidP="008F4FE5">
      <w:pPr>
        <w:spacing w:after="0" w:line="360" w:lineRule="auto"/>
        <w:rPr>
          <w:rFonts w:ascii="Arial" w:hAnsi="Arial" w:cs="Arial"/>
          <w:sz w:val="22"/>
          <w:szCs w:val="22"/>
        </w:rPr>
      </w:pPr>
    </w:p>
    <w:p w14:paraId="04ADD292" w14:textId="77777777" w:rsidR="000F5944" w:rsidRDefault="000F5944" w:rsidP="008F4FE5">
      <w:pPr>
        <w:spacing w:after="0" w:line="360" w:lineRule="auto"/>
        <w:rPr>
          <w:rFonts w:ascii="Arial" w:hAnsi="Arial" w:cs="Arial"/>
          <w:sz w:val="22"/>
          <w:szCs w:val="22"/>
        </w:rPr>
      </w:pPr>
    </w:p>
    <w:p w14:paraId="4979851D" w14:textId="77777777" w:rsidR="000F5944" w:rsidRDefault="000F5944" w:rsidP="008F4FE5">
      <w:pPr>
        <w:spacing w:after="0" w:line="360" w:lineRule="auto"/>
        <w:rPr>
          <w:rFonts w:ascii="Arial" w:hAnsi="Arial" w:cs="Arial"/>
          <w:sz w:val="22"/>
          <w:szCs w:val="22"/>
        </w:rPr>
      </w:pPr>
    </w:p>
    <w:p w14:paraId="202FEDBF" w14:textId="77777777" w:rsidR="000F5944" w:rsidRDefault="000F5944" w:rsidP="008F4FE5">
      <w:pPr>
        <w:spacing w:after="0" w:line="360" w:lineRule="auto"/>
        <w:rPr>
          <w:rFonts w:ascii="Arial" w:hAnsi="Arial" w:cs="Arial"/>
          <w:sz w:val="22"/>
          <w:szCs w:val="22"/>
        </w:rPr>
      </w:pPr>
    </w:p>
    <w:p w14:paraId="1AA57908" w14:textId="77777777" w:rsidR="000F5944" w:rsidRDefault="000F5944" w:rsidP="008F4FE5">
      <w:pPr>
        <w:spacing w:after="0" w:line="360" w:lineRule="auto"/>
        <w:rPr>
          <w:rFonts w:ascii="Arial" w:hAnsi="Arial" w:cs="Arial"/>
          <w:sz w:val="22"/>
          <w:szCs w:val="22"/>
        </w:rPr>
      </w:pPr>
    </w:p>
    <w:p w14:paraId="5DA9A378" w14:textId="77777777" w:rsidR="000F5944" w:rsidRDefault="000F5944" w:rsidP="008F4FE5">
      <w:pPr>
        <w:spacing w:after="0" w:line="360" w:lineRule="auto"/>
        <w:rPr>
          <w:rFonts w:ascii="Arial" w:hAnsi="Arial" w:cs="Arial"/>
          <w:sz w:val="22"/>
          <w:szCs w:val="22"/>
        </w:rPr>
      </w:pPr>
    </w:p>
    <w:p w14:paraId="6F7F1896" w14:textId="77777777" w:rsidR="000F5944" w:rsidRDefault="000F5944" w:rsidP="008F4FE5">
      <w:pPr>
        <w:spacing w:after="0" w:line="360" w:lineRule="auto"/>
        <w:rPr>
          <w:rFonts w:ascii="Arial" w:hAnsi="Arial" w:cs="Arial"/>
          <w:sz w:val="22"/>
          <w:szCs w:val="22"/>
        </w:rPr>
      </w:pPr>
    </w:p>
    <w:p w14:paraId="000AE679" w14:textId="77777777" w:rsidR="000F5944" w:rsidRPr="008029D7" w:rsidRDefault="000F5944" w:rsidP="008F4FE5">
      <w:pPr>
        <w:spacing w:after="0" w:line="360" w:lineRule="auto"/>
        <w:rPr>
          <w:rFonts w:ascii="Arial" w:hAnsi="Arial" w:cs="Arial"/>
          <w:sz w:val="22"/>
          <w:szCs w:val="22"/>
        </w:rPr>
      </w:pPr>
    </w:p>
    <w:p w14:paraId="53CA9800" w14:textId="77777777" w:rsidR="008029D7" w:rsidRPr="008029D7" w:rsidRDefault="008029D7" w:rsidP="008F4FE5">
      <w:pPr>
        <w:spacing w:after="0" w:line="360" w:lineRule="auto"/>
        <w:rPr>
          <w:rFonts w:ascii="Arial" w:hAnsi="Arial" w:cs="Arial"/>
          <w:sz w:val="22"/>
          <w:szCs w:val="22"/>
        </w:rPr>
      </w:pPr>
    </w:p>
    <w:p w14:paraId="1E362B04" w14:textId="77777777" w:rsidR="008029D7" w:rsidRPr="00F876F3" w:rsidRDefault="008029D7" w:rsidP="008F4FE5">
      <w:pPr>
        <w:spacing w:after="0" w:line="360" w:lineRule="auto"/>
        <w:rPr>
          <w:rFonts w:ascii="Arial" w:hAnsi="Arial" w:cs="Arial"/>
          <w:b/>
          <w:bCs/>
          <w:sz w:val="28"/>
          <w:szCs w:val="28"/>
        </w:rPr>
      </w:pPr>
      <w:r w:rsidRPr="00F876F3">
        <w:rPr>
          <w:rFonts w:ascii="Arial" w:hAnsi="Arial" w:cs="Arial"/>
          <w:b/>
          <w:bCs/>
          <w:sz w:val="28"/>
          <w:szCs w:val="28"/>
        </w:rPr>
        <w:lastRenderedPageBreak/>
        <w:t>10. REFERENCES</w:t>
      </w:r>
    </w:p>
    <w:p w14:paraId="1F1D0B53" w14:textId="77777777" w:rsidR="008029D7" w:rsidRPr="008029D7" w:rsidRDefault="008029D7" w:rsidP="008F4FE5">
      <w:pPr>
        <w:spacing w:after="0" w:line="360" w:lineRule="auto"/>
        <w:rPr>
          <w:rFonts w:ascii="Arial" w:hAnsi="Arial" w:cs="Arial"/>
          <w:sz w:val="22"/>
          <w:szCs w:val="22"/>
        </w:rPr>
      </w:pPr>
    </w:p>
    <w:p w14:paraId="4789D0EE" w14:textId="6B62D83F"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Anthropic. (2024). Claude AI Assistant. https://claude.ai</w:t>
      </w:r>
    </w:p>
    <w:p w14:paraId="47DE2D9D" w14:textId="4A0EE32B"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ASIC. (2024). Regulatory Guide 65: Disclosure Guidelines for ESG Funds. Australian Securities and Investments Commission.</w:t>
      </w:r>
    </w:p>
    <w:p w14:paraId="62F3F334" w14:textId="382DD33F"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Global Reporting Initiative. (2016). GRI Standards. https://www.globalreporting.org</w:t>
      </w:r>
    </w:p>
    <w:p w14:paraId="1E161266" w14:textId="510DDD92"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Neo4j, Inc. (2024). Neo4j Graph Data Science Library Documentation. https://neo4j.com/docs/graph-data-science/current/</w:t>
      </w:r>
    </w:p>
    <w:p w14:paraId="73CDA706" w14:textId="1BFA0109"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Neo4j, Inc. (2024). Cypher Query Language Reference. https://neo4j.com/docs/cypher-manual/current/</w:t>
      </w:r>
    </w:p>
    <w:p w14:paraId="58A7B301" w14:textId="61066553"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Task Force on Climate-related Financial Disclosures. (2017). TCFD Recommendations. https://www.fsb-tcfd.org</w:t>
      </w:r>
    </w:p>
    <w:p w14:paraId="54D6C51B" w14:textId="4D69FDB0"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 xml:space="preserve">Robinson, I., Webber, J., &amp; </w:t>
      </w:r>
      <w:proofErr w:type="spellStart"/>
      <w:r w:rsidRPr="00AB4451">
        <w:rPr>
          <w:rFonts w:ascii="Arial" w:hAnsi="Arial" w:cs="Arial"/>
          <w:sz w:val="22"/>
          <w:szCs w:val="22"/>
        </w:rPr>
        <w:t>Eifrem</w:t>
      </w:r>
      <w:proofErr w:type="spellEnd"/>
      <w:r w:rsidRPr="00AB4451">
        <w:rPr>
          <w:rFonts w:ascii="Arial" w:hAnsi="Arial" w:cs="Arial"/>
          <w:sz w:val="22"/>
          <w:szCs w:val="22"/>
        </w:rPr>
        <w:t>, E. (2015). Graph Databases: New Opportunities for Connected Data (2nd ed.). O'Reilly Media.</w:t>
      </w:r>
    </w:p>
    <w:p w14:paraId="190AF379" w14:textId="76362F49"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MSCI ESG Research. (2024). ESG Ratings Methodology. https://www.msci.com/esg-ratings</w:t>
      </w:r>
    </w:p>
    <w:p w14:paraId="542B1829" w14:textId="77777777" w:rsidR="008029D7" w:rsidRPr="00AB4451" w:rsidRDefault="008029D7" w:rsidP="00AB4451">
      <w:pPr>
        <w:pStyle w:val="ListParagraph"/>
        <w:numPr>
          <w:ilvl w:val="0"/>
          <w:numId w:val="14"/>
        </w:numPr>
        <w:spacing w:after="0" w:line="360" w:lineRule="auto"/>
        <w:rPr>
          <w:rFonts w:ascii="Arial" w:hAnsi="Arial" w:cs="Arial"/>
          <w:sz w:val="22"/>
          <w:szCs w:val="22"/>
        </w:rPr>
      </w:pPr>
      <w:r w:rsidRPr="00AB4451">
        <w:rPr>
          <w:rFonts w:ascii="Arial" w:hAnsi="Arial" w:cs="Arial"/>
          <w:sz w:val="22"/>
          <w:szCs w:val="22"/>
        </w:rPr>
        <w:t>Sustainalytics. (2024). ESG Risk Ratings. https://www.sustainalytics.com</w:t>
      </w:r>
    </w:p>
    <w:p w14:paraId="144AC75F" w14:textId="77777777" w:rsidR="008029D7" w:rsidRPr="008029D7" w:rsidRDefault="008029D7" w:rsidP="008F4FE5">
      <w:pPr>
        <w:spacing w:after="0" w:line="360" w:lineRule="auto"/>
        <w:rPr>
          <w:rFonts w:ascii="Arial" w:hAnsi="Arial" w:cs="Arial"/>
          <w:sz w:val="22"/>
          <w:szCs w:val="22"/>
        </w:rPr>
      </w:pPr>
    </w:p>
    <w:p w14:paraId="13CF3F43" w14:textId="77777777" w:rsidR="008029D7" w:rsidRDefault="008029D7" w:rsidP="008F4FE5">
      <w:pPr>
        <w:spacing w:after="0" w:line="360" w:lineRule="auto"/>
        <w:rPr>
          <w:rFonts w:ascii="Arial" w:hAnsi="Arial" w:cs="Arial"/>
          <w:sz w:val="22"/>
          <w:szCs w:val="22"/>
        </w:rPr>
      </w:pPr>
    </w:p>
    <w:p w14:paraId="376829B4" w14:textId="77777777" w:rsidR="000F5944" w:rsidRDefault="000F5944" w:rsidP="008F4FE5">
      <w:pPr>
        <w:spacing w:after="0" w:line="360" w:lineRule="auto"/>
        <w:rPr>
          <w:rFonts w:ascii="Arial" w:hAnsi="Arial" w:cs="Arial"/>
          <w:sz w:val="22"/>
          <w:szCs w:val="22"/>
        </w:rPr>
      </w:pPr>
    </w:p>
    <w:p w14:paraId="61792F42" w14:textId="77777777" w:rsidR="000F5944" w:rsidRDefault="000F5944" w:rsidP="008F4FE5">
      <w:pPr>
        <w:spacing w:after="0" w:line="360" w:lineRule="auto"/>
        <w:rPr>
          <w:rFonts w:ascii="Arial" w:hAnsi="Arial" w:cs="Arial"/>
          <w:sz w:val="22"/>
          <w:szCs w:val="22"/>
        </w:rPr>
      </w:pPr>
    </w:p>
    <w:p w14:paraId="644728BB" w14:textId="77777777" w:rsidR="000F5944" w:rsidRDefault="000F5944" w:rsidP="008F4FE5">
      <w:pPr>
        <w:spacing w:after="0" w:line="360" w:lineRule="auto"/>
        <w:rPr>
          <w:rFonts w:ascii="Arial" w:hAnsi="Arial" w:cs="Arial"/>
          <w:sz w:val="22"/>
          <w:szCs w:val="22"/>
        </w:rPr>
      </w:pPr>
    </w:p>
    <w:p w14:paraId="2C0FF42E" w14:textId="77777777" w:rsidR="000F5944" w:rsidRDefault="000F5944" w:rsidP="008F4FE5">
      <w:pPr>
        <w:spacing w:after="0" w:line="360" w:lineRule="auto"/>
        <w:rPr>
          <w:rFonts w:ascii="Arial" w:hAnsi="Arial" w:cs="Arial"/>
          <w:sz w:val="22"/>
          <w:szCs w:val="22"/>
        </w:rPr>
      </w:pPr>
    </w:p>
    <w:p w14:paraId="4985FFE8" w14:textId="77777777" w:rsidR="000F5944" w:rsidRDefault="000F5944" w:rsidP="008F4FE5">
      <w:pPr>
        <w:spacing w:after="0" w:line="360" w:lineRule="auto"/>
        <w:rPr>
          <w:rFonts w:ascii="Arial" w:hAnsi="Arial" w:cs="Arial"/>
          <w:sz w:val="22"/>
          <w:szCs w:val="22"/>
        </w:rPr>
      </w:pPr>
    </w:p>
    <w:p w14:paraId="7408226A" w14:textId="77777777" w:rsidR="000F5944" w:rsidRDefault="000F5944" w:rsidP="008F4FE5">
      <w:pPr>
        <w:spacing w:after="0" w:line="360" w:lineRule="auto"/>
        <w:rPr>
          <w:rFonts w:ascii="Arial" w:hAnsi="Arial" w:cs="Arial"/>
          <w:sz w:val="22"/>
          <w:szCs w:val="22"/>
        </w:rPr>
      </w:pPr>
    </w:p>
    <w:p w14:paraId="37CBA292" w14:textId="77777777" w:rsidR="000F5944" w:rsidRDefault="000F5944" w:rsidP="008F4FE5">
      <w:pPr>
        <w:spacing w:after="0" w:line="360" w:lineRule="auto"/>
        <w:rPr>
          <w:rFonts w:ascii="Arial" w:hAnsi="Arial" w:cs="Arial"/>
          <w:sz w:val="22"/>
          <w:szCs w:val="22"/>
        </w:rPr>
      </w:pPr>
    </w:p>
    <w:p w14:paraId="227406F2" w14:textId="77777777" w:rsidR="000F5944" w:rsidRDefault="000F5944" w:rsidP="008F4FE5">
      <w:pPr>
        <w:spacing w:after="0" w:line="360" w:lineRule="auto"/>
        <w:rPr>
          <w:rFonts w:ascii="Arial" w:hAnsi="Arial" w:cs="Arial"/>
          <w:sz w:val="22"/>
          <w:szCs w:val="22"/>
        </w:rPr>
      </w:pPr>
    </w:p>
    <w:p w14:paraId="73A29621" w14:textId="77777777" w:rsidR="000F5944" w:rsidRDefault="000F5944" w:rsidP="008F4FE5">
      <w:pPr>
        <w:spacing w:after="0" w:line="360" w:lineRule="auto"/>
        <w:rPr>
          <w:rFonts w:ascii="Arial" w:hAnsi="Arial" w:cs="Arial"/>
          <w:sz w:val="22"/>
          <w:szCs w:val="22"/>
        </w:rPr>
      </w:pPr>
    </w:p>
    <w:p w14:paraId="582A16B4" w14:textId="77777777" w:rsidR="000F5944" w:rsidRDefault="000F5944" w:rsidP="008F4FE5">
      <w:pPr>
        <w:spacing w:after="0" w:line="360" w:lineRule="auto"/>
        <w:rPr>
          <w:rFonts w:ascii="Arial" w:hAnsi="Arial" w:cs="Arial"/>
          <w:sz w:val="22"/>
          <w:szCs w:val="22"/>
        </w:rPr>
      </w:pPr>
    </w:p>
    <w:p w14:paraId="160C02E9" w14:textId="77777777" w:rsidR="000F5944" w:rsidRDefault="000F5944" w:rsidP="008F4FE5">
      <w:pPr>
        <w:spacing w:after="0" w:line="360" w:lineRule="auto"/>
        <w:rPr>
          <w:rFonts w:ascii="Arial" w:hAnsi="Arial" w:cs="Arial"/>
          <w:sz w:val="22"/>
          <w:szCs w:val="22"/>
        </w:rPr>
      </w:pPr>
    </w:p>
    <w:p w14:paraId="3B4E65AE" w14:textId="77777777" w:rsidR="000F5944" w:rsidRDefault="000F5944" w:rsidP="008F4FE5">
      <w:pPr>
        <w:spacing w:after="0" w:line="360" w:lineRule="auto"/>
        <w:rPr>
          <w:rFonts w:ascii="Arial" w:hAnsi="Arial" w:cs="Arial"/>
          <w:sz w:val="22"/>
          <w:szCs w:val="22"/>
        </w:rPr>
      </w:pPr>
    </w:p>
    <w:p w14:paraId="09E41CE4" w14:textId="77777777" w:rsidR="000F5944" w:rsidRDefault="000F5944" w:rsidP="008F4FE5">
      <w:pPr>
        <w:spacing w:after="0" w:line="360" w:lineRule="auto"/>
        <w:rPr>
          <w:rFonts w:ascii="Arial" w:hAnsi="Arial" w:cs="Arial"/>
          <w:sz w:val="22"/>
          <w:szCs w:val="22"/>
        </w:rPr>
      </w:pPr>
    </w:p>
    <w:p w14:paraId="02DBACDD" w14:textId="77777777" w:rsidR="000F5944" w:rsidRDefault="000F5944" w:rsidP="008F4FE5">
      <w:pPr>
        <w:spacing w:after="0" w:line="360" w:lineRule="auto"/>
        <w:rPr>
          <w:rFonts w:ascii="Arial" w:hAnsi="Arial" w:cs="Arial"/>
          <w:sz w:val="22"/>
          <w:szCs w:val="22"/>
        </w:rPr>
      </w:pPr>
    </w:p>
    <w:p w14:paraId="06E9736D" w14:textId="77777777" w:rsidR="000F5944" w:rsidRDefault="000F5944" w:rsidP="008F4FE5">
      <w:pPr>
        <w:spacing w:after="0" w:line="360" w:lineRule="auto"/>
        <w:rPr>
          <w:rFonts w:ascii="Arial" w:hAnsi="Arial" w:cs="Arial"/>
          <w:sz w:val="22"/>
          <w:szCs w:val="22"/>
        </w:rPr>
      </w:pPr>
    </w:p>
    <w:p w14:paraId="56FF07C4" w14:textId="77777777" w:rsidR="000F5944" w:rsidRDefault="000F5944" w:rsidP="008F4FE5">
      <w:pPr>
        <w:spacing w:after="0" w:line="360" w:lineRule="auto"/>
        <w:rPr>
          <w:rFonts w:ascii="Arial" w:hAnsi="Arial" w:cs="Arial"/>
          <w:sz w:val="22"/>
          <w:szCs w:val="22"/>
        </w:rPr>
      </w:pPr>
    </w:p>
    <w:p w14:paraId="0CF22F4B" w14:textId="77777777" w:rsidR="000F5944" w:rsidRPr="000F5944" w:rsidRDefault="000F5944" w:rsidP="008F4FE5">
      <w:pPr>
        <w:spacing w:after="0" w:line="360" w:lineRule="auto"/>
        <w:rPr>
          <w:rFonts w:ascii="Arial" w:hAnsi="Arial" w:cs="Arial"/>
          <w:sz w:val="22"/>
          <w:szCs w:val="22"/>
        </w:rPr>
      </w:pPr>
    </w:p>
    <w:p w14:paraId="10BAA637" w14:textId="77777777" w:rsidR="008029D7" w:rsidRPr="008029D7" w:rsidRDefault="008029D7" w:rsidP="008F4FE5">
      <w:pPr>
        <w:spacing w:after="0" w:line="360" w:lineRule="auto"/>
        <w:rPr>
          <w:rFonts w:ascii="Arial" w:hAnsi="Arial" w:cs="Arial"/>
          <w:sz w:val="22"/>
          <w:szCs w:val="22"/>
        </w:rPr>
      </w:pPr>
      <w:r w:rsidRPr="00F876F3">
        <w:rPr>
          <w:rFonts w:ascii="Arial" w:hAnsi="Arial" w:cs="Arial"/>
          <w:b/>
          <w:bCs/>
          <w:sz w:val="28"/>
          <w:szCs w:val="28"/>
        </w:rPr>
        <w:lastRenderedPageBreak/>
        <w:t>11. INDIVIDUAL CONTRIBUTIONS</w:t>
      </w:r>
    </w:p>
    <w:p w14:paraId="63873A49" w14:textId="77777777" w:rsidR="008029D7" w:rsidRPr="008029D7" w:rsidRDefault="008029D7" w:rsidP="008F4FE5">
      <w:pPr>
        <w:spacing w:after="0" w:line="360" w:lineRule="auto"/>
        <w:rPr>
          <w:rFonts w:ascii="Arial" w:hAnsi="Arial" w:cs="Arial"/>
          <w:sz w:val="22"/>
          <w:szCs w:val="22"/>
        </w:rPr>
      </w:pPr>
    </w:p>
    <w:p w14:paraId="55D3E619" w14:textId="77777777" w:rsidR="008029D7" w:rsidRPr="008029D7" w:rsidRDefault="008029D7" w:rsidP="008F4FE5">
      <w:pPr>
        <w:spacing w:after="0" w:line="360" w:lineRule="auto"/>
        <w:rPr>
          <w:rFonts w:ascii="Arial" w:hAnsi="Arial" w:cs="Arial"/>
          <w:sz w:val="22"/>
          <w:szCs w:val="22"/>
        </w:rPr>
      </w:pPr>
      <w:r w:rsidRPr="00AB4451">
        <w:rPr>
          <w:rFonts w:ascii="Arial" w:hAnsi="Arial" w:cs="Arial"/>
          <w:b/>
          <w:bCs/>
          <w:sz w:val="22"/>
          <w:szCs w:val="22"/>
        </w:rPr>
        <w:t>Harsh Rastogi</w:t>
      </w:r>
      <w:r w:rsidRPr="008029D7">
        <w:rPr>
          <w:rFonts w:ascii="Arial" w:hAnsi="Arial" w:cs="Arial"/>
          <w:sz w:val="22"/>
          <w:szCs w:val="22"/>
        </w:rPr>
        <w:t xml:space="preserve"> - Database Architecture &amp; Implementation</w:t>
      </w:r>
    </w:p>
    <w:p w14:paraId="3D2F3648"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Harsh was responsible for the complete technical architecture and implementation of the Neo4j graph database. His contributions included designing the graph schema translation from the relational model, writing all Cypher import scripts for the 8 CSV datasets, implementing constraints and indexes for data integrity, and ensuring referential consistency across all node types and relationships. Harsh also developed the data ingestion pipeline, handled date format standardization, and optimized query performance through proper indexing strategies. He created the final graph visualization and verified that all 125 relationships were correctly established according to the ERD specifications.</w:t>
      </w:r>
    </w:p>
    <w:p w14:paraId="574242E5" w14:textId="77777777" w:rsidR="008029D7" w:rsidRPr="008029D7" w:rsidRDefault="008029D7" w:rsidP="008F4FE5">
      <w:pPr>
        <w:spacing w:after="0" w:line="360" w:lineRule="auto"/>
        <w:rPr>
          <w:rFonts w:ascii="Arial" w:hAnsi="Arial" w:cs="Arial"/>
          <w:sz w:val="22"/>
          <w:szCs w:val="22"/>
        </w:rPr>
      </w:pPr>
    </w:p>
    <w:p w14:paraId="240D23C2" w14:textId="77777777" w:rsidR="008029D7" w:rsidRPr="008029D7" w:rsidRDefault="008029D7" w:rsidP="008F4FE5">
      <w:pPr>
        <w:spacing w:after="0" w:line="360" w:lineRule="auto"/>
        <w:rPr>
          <w:rFonts w:ascii="Arial" w:hAnsi="Arial" w:cs="Arial"/>
          <w:sz w:val="22"/>
          <w:szCs w:val="22"/>
        </w:rPr>
      </w:pPr>
      <w:r w:rsidRPr="00AB4451">
        <w:rPr>
          <w:rFonts w:ascii="Arial" w:hAnsi="Arial" w:cs="Arial"/>
          <w:b/>
          <w:bCs/>
          <w:sz w:val="22"/>
          <w:szCs w:val="22"/>
        </w:rPr>
        <w:t>Rochak Bhusal</w:t>
      </w:r>
      <w:r w:rsidRPr="008029D7">
        <w:rPr>
          <w:rFonts w:ascii="Arial" w:hAnsi="Arial" w:cs="Arial"/>
          <w:sz w:val="22"/>
          <w:szCs w:val="22"/>
        </w:rPr>
        <w:t xml:space="preserve"> - Data Analysis &amp; Query Development</w:t>
      </w:r>
    </w:p>
    <w:p w14:paraId="272197C7" w14:textId="77777777" w:rsidR="008029D7" w:rsidRPr="008029D7" w:rsidRDefault="008029D7" w:rsidP="008F4FE5">
      <w:pPr>
        <w:spacing w:after="0" w:line="360" w:lineRule="auto"/>
        <w:rPr>
          <w:rFonts w:ascii="Arial" w:hAnsi="Arial" w:cs="Arial"/>
          <w:sz w:val="22"/>
          <w:szCs w:val="22"/>
        </w:rPr>
      </w:pPr>
      <w:r w:rsidRPr="008029D7">
        <w:rPr>
          <w:rFonts w:ascii="Arial" w:hAnsi="Arial" w:cs="Arial"/>
          <w:sz w:val="22"/>
          <w:szCs w:val="22"/>
        </w:rPr>
        <w:t>Rochak led the analytical aspects of the project, developing all four Cypher query use cases demonstrating varying complexity levels from simple relationship traversals to complex weighted ESG score calculations. He implemented both the PageRank centrality and Node Similarity algorithms using Neo4j's Graph Data Science library, interpreting the results in the context of ESG investment networks. Rochak designed and executed the Business Intelligence integration queries, creating dimensional data models within the graph structure and developing analytical queries for sector-level ESG performance and fund-level weighted scoring. His work showcased the practical analytical capabilities of graph databases for investment decision-making.</w:t>
      </w:r>
    </w:p>
    <w:p w14:paraId="4EC88003" w14:textId="77777777" w:rsidR="008029D7" w:rsidRPr="008029D7" w:rsidRDefault="008029D7" w:rsidP="008F4FE5">
      <w:pPr>
        <w:spacing w:after="0" w:line="360" w:lineRule="auto"/>
        <w:rPr>
          <w:rFonts w:ascii="Arial" w:hAnsi="Arial" w:cs="Arial"/>
          <w:sz w:val="22"/>
          <w:szCs w:val="22"/>
        </w:rPr>
      </w:pPr>
    </w:p>
    <w:p w14:paraId="7CE3E14E" w14:textId="77777777" w:rsidR="008029D7" w:rsidRPr="008029D7" w:rsidRDefault="008029D7" w:rsidP="008F4FE5">
      <w:pPr>
        <w:spacing w:after="0" w:line="360" w:lineRule="auto"/>
        <w:rPr>
          <w:rFonts w:ascii="Arial" w:hAnsi="Arial" w:cs="Arial"/>
          <w:sz w:val="22"/>
          <w:szCs w:val="22"/>
        </w:rPr>
      </w:pPr>
      <w:r w:rsidRPr="00AB4451">
        <w:rPr>
          <w:rFonts w:ascii="Arial" w:hAnsi="Arial" w:cs="Arial"/>
          <w:b/>
          <w:bCs/>
          <w:sz w:val="22"/>
          <w:szCs w:val="22"/>
        </w:rPr>
        <w:t>Rudraksh Patel</w:t>
      </w:r>
      <w:r w:rsidRPr="008029D7">
        <w:rPr>
          <w:rFonts w:ascii="Arial" w:hAnsi="Arial" w:cs="Arial"/>
          <w:sz w:val="22"/>
          <w:szCs w:val="22"/>
        </w:rPr>
        <w:t xml:space="preserve"> - Documentation &amp; Business Analysis</w:t>
      </w:r>
    </w:p>
    <w:p w14:paraId="151562D1" w14:textId="7B88B75C" w:rsidR="001C78A4" w:rsidRPr="008029D7" w:rsidRDefault="008029D7" w:rsidP="008F4FE5">
      <w:pPr>
        <w:spacing w:after="0" w:line="360" w:lineRule="auto"/>
        <w:rPr>
          <w:rFonts w:ascii="Arial" w:hAnsi="Arial" w:cs="Arial"/>
          <w:sz w:val="22"/>
          <w:szCs w:val="22"/>
        </w:rPr>
      </w:pPr>
      <w:r w:rsidRPr="008029D7">
        <w:rPr>
          <w:rFonts w:ascii="Arial" w:hAnsi="Arial" w:cs="Arial"/>
          <w:sz w:val="22"/>
          <w:szCs w:val="22"/>
        </w:rPr>
        <w:t xml:space="preserve">Rudraksh managed all project documentation, creating the comprehensive report structure with detailed explanations for each implementation phase. He wrote the analytical narratives explaining the business context, technical decisions, and practical implications of the graph database migration. Rudraksh developed the introduction, discussion, and conclusion sections, ensuring alignment with academic standards and assignment requirements. He coordinated the integration of all technical screenshots, maintained consistency across figure captions and explanations, and prepared the final submission including the table of contents, list of figures, and references. Rudraksh also </w:t>
      </w:r>
      <w:proofErr w:type="spellStart"/>
      <w:r w:rsidRPr="008029D7">
        <w:rPr>
          <w:rFonts w:ascii="Arial" w:hAnsi="Arial" w:cs="Arial"/>
          <w:sz w:val="22"/>
          <w:szCs w:val="22"/>
        </w:rPr>
        <w:t>analyzed</w:t>
      </w:r>
      <w:proofErr w:type="spellEnd"/>
      <w:r w:rsidRPr="008029D7">
        <w:rPr>
          <w:rFonts w:ascii="Arial" w:hAnsi="Arial" w:cs="Arial"/>
          <w:sz w:val="22"/>
          <w:szCs w:val="22"/>
        </w:rPr>
        <w:t xml:space="preserve"> the business value proposition and identified limitations and future enhancement opportunities for the ESG graph database platform.</w:t>
      </w:r>
    </w:p>
    <w:sectPr w:rsidR="001C78A4" w:rsidRPr="008029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F0138"/>
    <w:multiLevelType w:val="hybridMultilevel"/>
    <w:tmpl w:val="0024C4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881CF7"/>
    <w:multiLevelType w:val="hybridMultilevel"/>
    <w:tmpl w:val="C952CC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F765F01"/>
    <w:multiLevelType w:val="hybridMultilevel"/>
    <w:tmpl w:val="FD36A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6737973"/>
    <w:multiLevelType w:val="hybridMultilevel"/>
    <w:tmpl w:val="FC1A2B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ED334E5"/>
    <w:multiLevelType w:val="hybridMultilevel"/>
    <w:tmpl w:val="05F6EE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FB7585E"/>
    <w:multiLevelType w:val="hybridMultilevel"/>
    <w:tmpl w:val="C39A67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416212B"/>
    <w:multiLevelType w:val="multilevel"/>
    <w:tmpl w:val="5AF6E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C0766F"/>
    <w:multiLevelType w:val="hybridMultilevel"/>
    <w:tmpl w:val="A98CFC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1AF30B7"/>
    <w:multiLevelType w:val="multilevel"/>
    <w:tmpl w:val="4606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8F0712"/>
    <w:multiLevelType w:val="hybridMultilevel"/>
    <w:tmpl w:val="BF42F1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87B098A"/>
    <w:multiLevelType w:val="hybridMultilevel"/>
    <w:tmpl w:val="3162F1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CD31DBB"/>
    <w:multiLevelType w:val="hybridMultilevel"/>
    <w:tmpl w:val="8632AB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ED773FD"/>
    <w:multiLevelType w:val="hybridMultilevel"/>
    <w:tmpl w:val="E95C0D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6FE3709"/>
    <w:multiLevelType w:val="hybridMultilevel"/>
    <w:tmpl w:val="2E58538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EEA1F98"/>
    <w:multiLevelType w:val="hybridMultilevel"/>
    <w:tmpl w:val="8AA2EB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69003615">
    <w:abstractNumId w:val="6"/>
  </w:num>
  <w:num w:numId="2" w16cid:durableId="1621955041">
    <w:abstractNumId w:val="8"/>
  </w:num>
  <w:num w:numId="3" w16cid:durableId="1044476691">
    <w:abstractNumId w:val="11"/>
  </w:num>
  <w:num w:numId="4" w16cid:durableId="223103893">
    <w:abstractNumId w:val="5"/>
  </w:num>
  <w:num w:numId="5" w16cid:durableId="552733825">
    <w:abstractNumId w:val="12"/>
  </w:num>
  <w:num w:numId="6" w16cid:durableId="646319195">
    <w:abstractNumId w:val="2"/>
  </w:num>
  <w:num w:numId="7" w16cid:durableId="2051761052">
    <w:abstractNumId w:val="1"/>
  </w:num>
  <w:num w:numId="8" w16cid:durableId="820971922">
    <w:abstractNumId w:val="7"/>
  </w:num>
  <w:num w:numId="9" w16cid:durableId="1743600513">
    <w:abstractNumId w:val="14"/>
  </w:num>
  <w:num w:numId="10" w16cid:durableId="140776791">
    <w:abstractNumId w:val="9"/>
  </w:num>
  <w:num w:numId="11" w16cid:durableId="711149394">
    <w:abstractNumId w:val="3"/>
  </w:num>
  <w:num w:numId="12" w16cid:durableId="1600329085">
    <w:abstractNumId w:val="0"/>
  </w:num>
  <w:num w:numId="13" w16cid:durableId="415908387">
    <w:abstractNumId w:val="10"/>
  </w:num>
  <w:num w:numId="14" w16cid:durableId="1336500039">
    <w:abstractNumId w:val="13"/>
  </w:num>
  <w:num w:numId="15" w16cid:durableId="674920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27"/>
    <w:rsid w:val="00045915"/>
    <w:rsid w:val="000F5944"/>
    <w:rsid w:val="001C78A4"/>
    <w:rsid w:val="00201604"/>
    <w:rsid w:val="002C75FE"/>
    <w:rsid w:val="00331127"/>
    <w:rsid w:val="0036668F"/>
    <w:rsid w:val="003F4FCE"/>
    <w:rsid w:val="00454AC2"/>
    <w:rsid w:val="008029D7"/>
    <w:rsid w:val="00830D88"/>
    <w:rsid w:val="008F4FE5"/>
    <w:rsid w:val="00AB4451"/>
    <w:rsid w:val="00C232B8"/>
    <w:rsid w:val="00CF0E7C"/>
    <w:rsid w:val="00D5438F"/>
    <w:rsid w:val="00E900C9"/>
    <w:rsid w:val="00F876F3"/>
    <w:rsid w:val="00FC6F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0C100"/>
  <w15:chartTrackingRefBased/>
  <w15:docId w15:val="{997D8236-6FA2-6544-9502-4B2928331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11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1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1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1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1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1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1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1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11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1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1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1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1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1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1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127"/>
    <w:rPr>
      <w:rFonts w:eastAsiaTheme="majorEastAsia" w:cstheme="majorBidi"/>
      <w:color w:val="272727" w:themeColor="text1" w:themeTint="D8"/>
    </w:rPr>
  </w:style>
  <w:style w:type="paragraph" w:styleId="Title">
    <w:name w:val="Title"/>
    <w:basedOn w:val="Normal"/>
    <w:next w:val="Normal"/>
    <w:link w:val="TitleChar"/>
    <w:uiPriority w:val="10"/>
    <w:qFormat/>
    <w:rsid w:val="003311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1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1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1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127"/>
    <w:pPr>
      <w:spacing w:before="160"/>
      <w:jc w:val="center"/>
    </w:pPr>
    <w:rPr>
      <w:i/>
      <w:iCs/>
      <w:color w:val="404040" w:themeColor="text1" w:themeTint="BF"/>
    </w:rPr>
  </w:style>
  <w:style w:type="character" w:customStyle="1" w:styleId="QuoteChar">
    <w:name w:val="Quote Char"/>
    <w:basedOn w:val="DefaultParagraphFont"/>
    <w:link w:val="Quote"/>
    <w:uiPriority w:val="29"/>
    <w:rsid w:val="00331127"/>
    <w:rPr>
      <w:i/>
      <w:iCs/>
      <w:color w:val="404040" w:themeColor="text1" w:themeTint="BF"/>
    </w:rPr>
  </w:style>
  <w:style w:type="paragraph" w:styleId="ListParagraph">
    <w:name w:val="List Paragraph"/>
    <w:basedOn w:val="Normal"/>
    <w:uiPriority w:val="34"/>
    <w:qFormat/>
    <w:rsid w:val="00331127"/>
    <w:pPr>
      <w:ind w:left="720"/>
      <w:contextualSpacing/>
    </w:pPr>
  </w:style>
  <w:style w:type="character" w:styleId="IntenseEmphasis">
    <w:name w:val="Intense Emphasis"/>
    <w:basedOn w:val="DefaultParagraphFont"/>
    <w:uiPriority w:val="21"/>
    <w:qFormat/>
    <w:rsid w:val="00331127"/>
    <w:rPr>
      <w:i/>
      <w:iCs/>
      <w:color w:val="0F4761" w:themeColor="accent1" w:themeShade="BF"/>
    </w:rPr>
  </w:style>
  <w:style w:type="paragraph" w:styleId="IntenseQuote">
    <w:name w:val="Intense Quote"/>
    <w:basedOn w:val="Normal"/>
    <w:next w:val="Normal"/>
    <w:link w:val="IntenseQuoteChar"/>
    <w:uiPriority w:val="30"/>
    <w:qFormat/>
    <w:rsid w:val="003311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127"/>
    <w:rPr>
      <w:i/>
      <w:iCs/>
      <w:color w:val="0F4761" w:themeColor="accent1" w:themeShade="BF"/>
    </w:rPr>
  </w:style>
  <w:style w:type="character" w:styleId="IntenseReference">
    <w:name w:val="Intense Reference"/>
    <w:basedOn w:val="DefaultParagraphFont"/>
    <w:uiPriority w:val="32"/>
    <w:qFormat/>
    <w:rsid w:val="00331127"/>
    <w:rPr>
      <w:b/>
      <w:bCs/>
      <w:smallCaps/>
      <w:color w:val="0F4761" w:themeColor="accent1" w:themeShade="BF"/>
      <w:spacing w:val="5"/>
    </w:rPr>
  </w:style>
  <w:style w:type="paragraph" w:styleId="TOCHeading">
    <w:name w:val="TOC Heading"/>
    <w:basedOn w:val="Heading1"/>
    <w:next w:val="Normal"/>
    <w:uiPriority w:val="39"/>
    <w:unhideWhenUsed/>
    <w:qFormat/>
    <w:rsid w:val="0033112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331127"/>
    <w:pPr>
      <w:spacing w:before="120" w:after="0"/>
    </w:pPr>
    <w:rPr>
      <w:b/>
      <w:bCs/>
      <w:i/>
      <w:iCs/>
    </w:rPr>
  </w:style>
  <w:style w:type="paragraph" w:styleId="TOC2">
    <w:name w:val="toc 2"/>
    <w:basedOn w:val="Normal"/>
    <w:next w:val="Normal"/>
    <w:autoRedefine/>
    <w:uiPriority w:val="39"/>
    <w:semiHidden/>
    <w:unhideWhenUsed/>
    <w:rsid w:val="00331127"/>
    <w:pPr>
      <w:spacing w:before="120" w:after="0"/>
      <w:ind w:left="240"/>
    </w:pPr>
    <w:rPr>
      <w:b/>
      <w:bCs/>
      <w:sz w:val="22"/>
      <w:szCs w:val="22"/>
    </w:rPr>
  </w:style>
  <w:style w:type="paragraph" w:styleId="TOC3">
    <w:name w:val="toc 3"/>
    <w:basedOn w:val="Normal"/>
    <w:next w:val="Normal"/>
    <w:autoRedefine/>
    <w:uiPriority w:val="39"/>
    <w:semiHidden/>
    <w:unhideWhenUsed/>
    <w:rsid w:val="00331127"/>
    <w:pPr>
      <w:spacing w:after="0"/>
      <w:ind w:left="480"/>
    </w:pPr>
    <w:rPr>
      <w:sz w:val="20"/>
      <w:szCs w:val="20"/>
    </w:rPr>
  </w:style>
  <w:style w:type="paragraph" w:styleId="TOC4">
    <w:name w:val="toc 4"/>
    <w:basedOn w:val="Normal"/>
    <w:next w:val="Normal"/>
    <w:autoRedefine/>
    <w:uiPriority w:val="39"/>
    <w:semiHidden/>
    <w:unhideWhenUsed/>
    <w:rsid w:val="00331127"/>
    <w:pPr>
      <w:spacing w:after="0"/>
      <w:ind w:left="720"/>
    </w:pPr>
    <w:rPr>
      <w:sz w:val="20"/>
      <w:szCs w:val="20"/>
    </w:rPr>
  </w:style>
  <w:style w:type="paragraph" w:styleId="TOC5">
    <w:name w:val="toc 5"/>
    <w:basedOn w:val="Normal"/>
    <w:next w:val="Normal"/>
    <w:autoRedefine/>
    <w:uiPriority w:val="39"/>
    <w:semiHidden/>
    <w:unhideWhenUsed/>
    <w:rsid w:val="00331127"/>
    <w:pPr>
      <w:spacing w:after="0"/>
      <w:ind w:left="960"/>
    </w:pPr>
    <w:rPr>
      <w:sz w:val="20"/>
      <w:szCs w:val="20"/>
    </w:rPr>
  </w:style>
  <w:style w:type="paragraph" w:styleId="TOC6">
    <w:name w:val="toc 6"/>
    <w:basedOn w:val="Normal"/>
    <w:next w:val="Normal"/>
    <w:autoRedefine/>
    <w:uiPriority w:val="39"/>
    <w:semiHidden/>
    <w:unhideWhenUsed/>
    <w:rsid w:val="00331127"/>
    <w:pPr>
      <w:spacing w:after="0"/>
      <w:ind w:left="1200"/>
    </w:pPr>
    <w:rPr>
      <w:sz w:val="20"/>
      <w:szCs w:val="20"/>
    </w:rPr>
  </w:style>
  <w:style w:type="paragraph" w:styleId="TOC7">
    <w:name w:val="toc 7"/>
    <w:basedOn w:val="Normal"/>
    <w:next w:val="Normal"/>
    <w:autoRedefine/>
    <w:uiPriority w:val="39"/>
    <w:semiHidden/>
    <w:unhideWhenUsed/>
    <w:rsid w:val="00331127"/>
    <w:pPr>
      <w:spacing w:after="0"/>
      <w:ind w:left="1440"/>
    </w:pPr>
    <w:rPr>
      <w:sz w:val="20"/>
      <w:szCs w:val="20"/>
    </w:rPr>
  </w:style>
  <w:style w:type="paragraph" w:styleId="TOC8">
    <w:name w:val="toc 8"/>
    <w:basedOn w:val="Normal"/>
    <w:next w:val="Normal"/>
    <w:autoRedefine/>
    <w:uiPriority w:val="39"/>
    <w:semiHidden/>
    <w:unhideWhenUsed/>
    <w:rsid w:val="00331127"/>
    <w:pPr>
      <w:spacing w:after="0"/>
      <w:ind w:left="1680"/>
    </w:pPr>
    <w:rPr>
      <w:sz w:val="20"/>
      <w:szCs w:val="20"/>
    </w:rPr>
  </w:style>
  <w:style w:type="paragraph" w:styleId="TOC9">
    <w:name w:val="toc 9"/>
    <w:basedOn w:val="Normal"/>
    <w:next w:val="Normal"/>
    <w:autoRedefine/>
    <w:uiPriority w:val="39"/>
    <w:semiHidden/>
    <w:unhideWhenUsed/>
    <w:rsid w:val="00331127"/>
    <w:pPr>
      <w:spacing w:after="0"/>
      <w:ind w:left="1920"/>
    </w:pPr>
    <w:rPr>
      <w:sz w:val="20"/>
      <w:szCs w:val="20"/>
    </w:rPr>
  </w:style>
  <w:style w:type="table" w:styleId="TableGridLight">
    <w:name w:val="Grid Table Light"/>
    <w:basedOn w:val="TableNormal"/>
    <w:uiPriority w:val="40"/>
    <w:rsid w:val="002C75FE"/>
    <w:pPr>
      <w:spacing w:after="0" w:line="240" w:lineRule="auto"/>
    </w:pPr>
    <w:rPr>
      <w:sz w:val="22"/>
      <w:szCs w:val="22"/>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AB4451"/>
    <w:pPr>
      <w:spacing w:after="200" w:line="240" w:lineRule="auto"/>
    </w:pPr>
    <w:rPr>
      <w:i/>
      <w:iCs/>
      <w:color w:val="0E2841" w:themeColor="text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8A653-8C52-354F-A204-47ACD8354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43</Pages>
  <Words>9254</Words>
  <Characters>52754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Rastogi</dc:creator>
  <cp:keywords/>
  <dc:description/>
  <cp:lastModifiedBy>Harsh Rastogi</cp:lastModifiedBy>
  <cp:revision>1</cp:revision>
  <dcterms:created xsi:type="dcterms:W3CDTF">2025-10-18T07:26:00Z</dcterms:created>
  <dcterms:modified xsi:type="dcterms:W3CDTF">2025-10-19T05:42:00Z</dcterms:modified>
</cp:coreProperties>
</file>