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29" w:type="dxa"/>
        <w:jc w:val="left"/>
        <w:tblInd w:w="0" w:type="dxa"/>
        <w:tblCellMar>
          <w:top w:w="0" w:type="dxa"/>
          <w:left w:w="108" w:type="dxa"/>
          <w:bottom w:w="0" w:type="dxa"/>
          <w:right w:w="108" w:type="dxa"/>
        </w:tblCellMar>
        <w:tblLook w:val="04a0" w:noVBand="1" w:noHBand="0" w:lastColumn="0" w:firstColumn="1" w:lastRow="0" w:firstRow="1"/>
      </w:tblPr>
      <w:tblGrid>
        <w:gridCol w:w="2262"/>
        <w:gridCol w:w="2552"/>
        <w:gridCol w:w="2407"/>
        <w:gridCol w:w="2408"/>
      </w:tblGrid>
      <w:tr>
        <w:trPr>
          <w:trHeight w:val="1691" w:hRule="atLeast"/>
        </w:trPr>
        <w:tc>
          <w:tcPr>
            <w:tcW w:w="9629" w:type="dxa"/>
            <w:gridSpan w:val="4"/>
            <w:tcBorders/>
            <w:shd w:fill="auto" w:val="clear"/>
            <w:tcMar>
              <w:left w:w="108" w:type="dxa"/>
            </w:tcMar>
          </w:tcPr>
          <w:p>
            <w:pPr>
              <w:pStyle w:val="Heading1"/>
              <w:numPr>
                <w:ilvl w:val="0"/>
                <w:numId w:val="0"/>
              </w:numPr>
              <w:spacing w:lineRule="auto" w:line="240" w:before="240" w:after="0"/>
              <w:outlineLvl w:val="0"/>
              <w:rPr>
                <w:rStyle w:val="IntenseEmphasis"/>
              </w:rPr>
            </w:pPr>
            <w:r>
              <w:rPr/>
              <w:t>Call</w:t>
            </w:r>
            <w:r>
              <w:rPr>
                <w:spacing w:val="-10"/>
              </w:rPr>
              <w:t xml:space="preserve"> </w:t>
            </w:r>
            <w:r>
              <w:rPr/>
              <w:t>for</w:t>
            </w:r>
            <w:r>
              <w:rPr>
                <w:spacing w:val="-10"/>
              </w:rPr>
              <w:t xml:space="preserve"> </w:t>
            </w:r>
            <w:r>
              <w:rPr/>
              <w:t>contribution</w:t>
            </w:r>
            <w:r>
              <w:rPr>
                <w:spacing w:val="-11"/>
              </w:rPr>
              <w:t xml:space="preserve"> </w:t>
            </w:r>
            <w:r>
              <w:rPr/>
              <w:t>of</w:t>
            </w:r>
            <w:r>
              <w:rPr>
                <w:spacing w:val="-11"/>
              </w:rPr>
              <w:t xml:space="preserve"> </w:t>
            </w:r>
            <w:r>
              <w:rPr/>
              <w:t>expertise</w:t>
            </w:r>
          </w:p>
          <w:p>
            <w:pPr>
              <w:pStyle w:val="Normal"/>
              <w:spacing w:lineRule="auto" w:line="240" w:before="240" w:after="0"/>
              <w:rPr/>
            </w:pPr>
            <w:r>
              <w:rPr/>
              <w:t>CERN invites collaborating institutes and universities to contribute the expertise of their qualified employees to the activity described below.</w:t>
            </w:r>
          </w:p>
        </w:tc>
      </w:tr>
      <w:tr>
        <w:trPr>
          <w:trHeight w:val="694" w:hRule="atLeast"/>
        </w:trPr>
        <w:tc>
          <w:tcPr>
            <w:tcW w:w="2262" w:type="dxa"/>
            <w:tcBorders/>
            <w:shd w:fill="auto" w:val="clear"/>
            <w:tcMar>
              <w:left w:w="108" w:type="dxa"/>
            </w:tcMar>
            <w:vAlign w:val="center"/>
          </w:tcPr>
          <w:p>
            <w:pPr>
              <w:pStyle w:val="ListParagraph"/>
              <w:spacing w:lineRule="auto" w:line="240" w:before="240" w:after="0"/>
              <w:rPr/>
            </w:pPr>
            <w:r>
              <w:rPr>
                <w:rStyle w:val="IntenseEmphasis"/>
              </w:rPr>
              <w:t xml:space="preserve">Start date: </w:t>
            </w:r>
            <w:r>
              <w:rPr/>
              <w:t>09/01/2018</w:t>
            </w:r>
          </w:p>
        </w:tc>
        <w:tc>
          <w:tcPr>
            <w:tcW w:w="7367" w:type="dxa"/>
            <w:gridSpan w:val="3"/>
            <w:tcBorders/>
            <w:shd w:fill="auto" w:val="clear"/>
            <w:tcMar>
              <w:left w:w="108" w:type="dxa"/>
            </w:tcMar>
            <w:vAlign w:val="center"/>
          </w:tcPr>
          <w:p>
            <w:pPr>
              <w:pStyle w:val="ListParagraph"/>
              <w:spacing w:lineRule="auto" w:line="240" w:before="240" w:after="0"/>
              <w:rPr/>
            </w:pPr>
            <w:r>
              <w:rPr>
                <w:rStyle w:val="IntenseEmphasis"/>
              </w:rPr>
              <w:t xml:space="preserve">Duration: </w:t>
            </w:r>
            <w:r>
              <w:rPr/>
              <w:t xml:space="preserve">Two </w:t>
            </w:r>
            <w:r>
              <w:rPr/>
              <w:t>year</w:t>
            </w:r>
            <w:r>
              <w:rPr/>
              <w:t>s</w:t>
            </w:r>
            <w:r>
              <w:rPr/>
              <w:t>, possible extension to three years.</w:t>
            </w:r>
          </w:p>
        </w:tc>
      </w:tr>
      <w:tr>
        <w:trPr/>
        <w:tc>
          <w:tcPr>
            <w:tcW w:w="9629" w:type="dxa"/>
            <w:gridSpan w:val="4"/>
            <w:tcBorders/>
            <w:shd w:fill="auto" w:val="clear"/>
            <w:tcMar>
              <w:left w:w="108" w:type="dxa"/>
            </w:tcMar>
          </w:tcPr>
          <w:p>
            <w:pPr>
              <w:pStyle w:val="ListParagraph"/>
              <w:spacing w:lineRule="auto" w:line="240" w:before="240" w:after="0"/>
              <w:rPr/>
            </w:pPr>
            <w:r>
              <w:rPr>
                <w:rStyle w:val="IntenseEmphasis"/>
              </w:rPr>
              <w:t>Project/Activity:</w:t>
            </w:r>
            <w:r>
              <w:rPr>
                <w:rFonts w:eastAsia="" w:eastAsiaTheme="majorEastAsia"/>
              </w:rPr>
              <w:t xml:space="preserve">  Computing Engineer for </w:t>
            </w:r>
            <w:r>
              <w:rPr>
                <w:rFonts w:eastAsia="" w:eastAsiaTheme="majorEastAsia"/>
              </w:rPr>
              <w:t>Cloud Container services in the Data Centre</w:t>
            </w:r>
          </w:p>
        </w:tc>
      </w:tr>
      <w:tr>
        <w:trPr>
          <w:trHeight w:val="2234" w:hRule="atLeast"/>
        </w:trPr>
        <w:tc>
          <w:tcPr>
            <w:tcW w:w="9629" w:type="dxa"/>
            <w:gridSpan w:val="4"/>
            <w:tcBorders/>
            <w:shd w:fill="auto" w:val="clear"/>
            <w:tcMar>
              <w:left w:w="108" w:type="dxa"/>
            </w:tcMar>
          </w:tcPr>
          <w:p>
            <w:pPr>
              <w:pStyle w:val="ListParagraph"/>
              <w:spacing w:lineRule="auto" w:line="240" w:before="240" w:after="0"/>
              <w:rPr>
                <w:rStyle w:val="IntenseEmphasis"/>
              </w:rPr>
            </w:pPr>
            <w:r>
              <w:rPr>
                <w:rStyle w:val="IntenseEmphasis"/>
              </w:rPr>
              <w:t>Detailed description of Activity:</w:t>
            </w:r>
          </w:p>
          <w:p>
            <w:pPr>
              <w:pStyle w:val="ListParagraph"/>
              <w:spacing w:lineRule="auto" w:line="240" w:before="240" w:after="0"/>
              <w:rPr/>
            </w:pPr>
            <w:r>
              <w:rPr>
                <w:rFonts w:eastAsia="" w:eastAsiaTheme="majorEastAsia"/>
              </w:rPr>
              <w:t xml:space="preserve">The CERN </w:t>
            </w:r>
            <w:r>
              <w:rPr>
                <w:rFonts w:eastAsia="" w:eastAsiaTheme="majorEastAsia"/>
              </w:rPr>
              <w:t>Cloud Infrastructure</w:t>
            </w:r>
            <w:r>
              <w:rPr>
                <w:rFonts w:eastAsia="" w:eastAsiaTheme="majorEastAsia"/>
              </w:rPr>
              <w:t xml:space="preserve"> team provide </w:t>
            </w:r>
            <w:r>
              <w:rPr>
                <w:rFonts w:eastAsia="" w:eastAsiaTheme="majorEastAsia"/>
              </w:rPr>
              <w:t>a large variety of resources to the physics experiments and the organization: ~37000 Virtual Machines hosted on 9000 compute nodes. We are enhancing the service offering by adding Container Cluster Orchestration and Bare Metal deployments, to address emerging use-cases.</w:t>
            </w:r>
          </w:p>
          <w:p>
            <w:pPr>
              <w:pStyle w:val="ListParagraph"/>
              <w:spacing w:lineRule="auto" w:line="240" w:before="240" w:after="0"/>
              <w:rPr/>
            </w:pPr>
            <w:r>
              <w:rPr>
                <w:rFonts w:eastAsia="" w:eastAsiaTheme="majorEastAsia"/>
              </w:rPr>
              <w:t>I</w:t>
            </w:r>
            <w:r>
              <w:rPr>
                <w:rFonts w:eastAsia="" w:eastAsiaTheme="majorEastAsia"/>
              </w:rPr>
              <w:t>n particular, the Cloud team are looking to offer Kubernetes container clusters hosted on Bare Metal, for Compute intensive workloads, such as HTCondor Batch clusters. This would simplify deployments, and improve the CPU efficiency of the Batch resources.</w:t>
            </w:r>
          </w:p>
          <w:p>
            <w:pPr>
              <w:pStyle w:val="ListParagraph"/>
              <w:spacing w:lineRule="auto" w:line="240" w:before="240" w:after="0"/>
              <w:rPr/>
            </w:pPr>
            <w:r>
              <w:rPr>
                <w:rFonts w:eastAsia="" w:eastAsiaTheme="majorEastAsia"/>
              </w:rPr>
              <w:t>The candidate will cont</w:t>
            </w:r>
            <w:r>
              <w:rPr>
                <w:rFonts w:eastAsia="" w:eastAsiaTheme="majorEastAsia"/>
              </w:rPr>
              <w:t xml:space="preserve">ribute to the enhancement of the </w:t>
            </w:r>
            <w:r>
              <w:rPr>
                <w:rFonts w:eastAsia="" w:eastAsiaTheme="majorEastAsia"/>
              </w:rPr>
              <w:t xml:space="preserve">Cloud offering. </w:t>
            </w:r>
            <w:r>
              <w:rPr>
                <w:rFonts w:eastAsia="" w:eastAsiaTheme="majorEastAsia"/>
              </w:rPr>
              <w:t>In particular, the candidate will</w:t>
            </w:r>
          </w:p>
          <w:p>
            <w:pPr>
              <w:pStyle w:val="ListParagraph"/>
              <w:numPr>
                <w:ilvl w:val="0"/>
                <w:numId w:val="1"/>
              </w:numPr>
              <w:spacing w:lineRule="auto" w:line="240" w:before="240" w:after="0"/>
              <w:rPr/>
            </w:pPr>
            <w:r>
              <w:rPr>
                <w:rFonts w:eastAsia="" w:eastAsiaTheme="majorEastAsia"/>
              </w:rPr>
              <w:t>contribute to the deployment of Kubernetes containers on bare metal with Openstack Ironic, with an aim to support the rollout of the local WLCG batch services onto this fabric and ease the adoption of externally purchased compute resources.</w:t>
            </w:r>
          </w:p>
          <w:p>
            <w:pPr>
              <w:pStyle w:val="ListParagraph"/>
              <w:numPr>
                <w:ilvl w:val="0"/>
                <w:numId w:val="1"/>
              </w:numPr>
              <w:spacing w:lineRule="auto" w:line="240" w:before="240" w:after="0"/>
              <w:rPr/>
            </w:pPr>
            <w:r>
              <w:rPr>
                <w:rFonts w:eastAsia="" w:eastAsiaTheme="majorEastAsia"/>
              </w:rPr>
              <w:t>ensure the long term sustainability of the services, working directly with upstream Kubernetes and OpenStack communities.</w:t>
            </w:r>
          </w:p>
          <w:p>
            <w:pPr>
              <w:pStyle w:val="ListParagraph"/>
              <w:numPr>
                <w:ilvl w:val="0"/>
                <w:numId w:val="1"/>
              </w:numPr>
              <w:spacing w:lineRule="auto" w:line="240" w:before="240" w:after="0"/>
              <w:rPr/>
            </w:pPr>
            <w:r>
              <w:rPr>
                <w:rFonts w:eastAsia="" w:eastAsiaTheme="majorEastAsia"/>
              </w:rPr>
              <w:t>ensure a strong presence of CERN and our requirements in these communities, providing regular feedback regarding operational and development aspects.</w:t>
            </w:r>
          </w:p>
          <w:p>
            <w:pPr>
              <w:pStyle w:val="ListParagraph"/>
              <w:numPr>
                <w:ilvl w:val="0"/>
                <w:numId w:val="1"/>
              </w:numPr>
              <w:spacing w:lineRule="auto" w:line="240" w:before="240" w:after="0"/>
              <w:rPr/>
            </w:pPr>
            <w:r>
              <w:rPr>
                <w:rFonts w:eastAsia="" w:eastAsiaTheme="majorEastAsia"/>
              </w:rPr>
              <w:t>assume an operational role in the Cloud service team,</w:t>
            </w:r>
            <w:r>
              <w:rPr>
                <w:rFonts w:eastAsia="" w:eastAsiaTheme="majorEastAsia"/>
              </w:rPr>
              <w:t xml:space="preserve"> </w:t>
            </w:r>
            <w:r>
              <w:rPr>
                <w:rFonts w:eastAsia="" w:eastAsiaTheme="majorEastAsia"/>
              </w:rPr>
              <w:t>and contribute to the day-to-day running of the service.</w:t>
            </w:r>
          </w:p>
          <w:p>
            <w:pPr>
              <w:pStyle w:val="Normal"/>
              <w:spacing w:lineRule="auto" w:line="240" w:before="0" w:after="0"/>
              <w:ind w:left="360" w:hanging="0"/>
              <w:rPr>
                <w:highlight w:val="yellow"/>
              </w:rPr>
            </w:pPr>
            <w:r>
              <w:rPr>
                <w:highlight w:val="yellow"/>
              </w:rPr>
            </w:r>
          </w:p>
        </w:tc>
      </w:tr>
      <w:tr>
        <w:trPr/>
        <w:tc>
          <w:tcPr>
            <w:tcW w:w="9629" w:type="dxa"/>
            <w:gridSpan w:val="4"/>
            <w:tcBorders/>
            <w:shd w:fill="auto" w:val="clear"/>
            <w:tcMar>
              <w:left w:w="108" w:type="dxa"/>
            </w:tcMar>
          </w:tcPr>
          <w:p>
            <w:pPr>
              <w:pStyle w:val="ListParagraph"/>
              <w:spacing w:lineRule="auto" w:line="240" w:before="240" w:after="0"/>
              <w:rPr/>
            </w:pPr>
            <w:r>
              <w:rPr>
                <w:rStyle w:val="IntenseEmphasis"/>
              </w:rPr>
              <w:t xml:space="preserve">Profile: </w:t>
            </w:r>
            <w:r>
              <w:rPr/>
              <w:t>Qualification: Bachelor’s degree in the field of Computer Science or related field, or equivalent.</w:t>
            </w:r>
          </w:p>
          <w:p>
            <w:pPr>
              <w:pStyle w:val="ListParagraph"/>
              <w:spacing w:lineRule="auto" w:line="240" w:before="240" w:after="0"/>
              <w:rPr/>
            </w:pPr>
            <w:r>
              <w:rPr/>
              <w:t>Experience: G</w:t>
            </w:r>
            <w:r>
              <w:rPr/>
              <w:t>ood k</w:t>
            </w:r>
            <w:r>
              <w:rPr/>
              <w:t xml:space="preserve">nowledge of Linux system administration, </w:t>
            </w:r>
            <w:r>
              <w:rPr/>
              <w:t xml:space="preserve">and </w:t>
            </w:r>
            <w:r>
              <w:rPr/>
              <w:t xml:space="preserve">experience with </w:t>
            </w:r>
            <w:r>
              <w:rPr/>
              <w:t>the Python</w:t>
            </w:r>
            <w:r>
              <w:rPr/>
              <w:t xml:space="preserve"> programming language. Knowledge of any of the technologies mentioned above would be an asset</w:t>
            </w:r>
            <w:bookmarkStart w:id="0" w:name="_GoBack"/>
            <w:bookmarkEnd w:id="0"/>
            <w:r>
              <w:rPr/>
              <w:t xml:space="preserve"> but is not necessary. </w:t>
            </w:r>
          </w:p>
          <w:p>
            <w:pPr>
              <w:pStyle w:val="ListParagraph"/>
              <w:spacing w:lineRule="auto" w:line="240" w:before="240" w:after="0"/>
              <w:rPr/>
            </w:pPr>
            <w:r>
              <w:rPr>
                <w:rStyle w:val="IntenseEmphasis"/>
              </w:rPr>
              <w:t xml:space="preserve">Specific details: </w:t>
            </w:r>
            <w:r>
              <w:rPr>
                <w:color w:val="000000"/>
              </w:rPr>
              <w:t xml:space="preserve">Work will be in a team of engineers with frequent contacts with users and therefore a dynamic attitude to share and discuss ideas and suggestions within the team is very important. The team works and communicates in English therefore a good working knowledge is needed.  </w:t>
            </w:r>
          </w:p>
        </w:tc>
      </w:tr>
      <w:tr>
        <w:trPr/>
        <w:tc>
          <w:tcPr>
            <w:tcW w:w="9629" w:type="dxa"/>
            <w:gridSpan w:val="4"/>
            <w:tcBorders/>
            <w:shd w:fill="auto" w:val="clear"/>
            <w:tcMar>
              <w:left w:w="108" w:type="dxa"/>
            </w:tcMar>
          </w:tcPr>
          <w:p>
            <w:pPr>
              <w:pStyle w:val="ListParagraph"/>
              <w:spacing w:lineRule="auto" w:line="240" w:before="240" w:after="0"/>
              <w:rPr>
                <w:i/>
                <w:i/>
                <w:iCs/>
                <w:color w:val="5B9BD5" w:themeColor="accent1"/>
              </w:rPr>
            </w:pPr>
            <w:r>
              <w:rPr>
                <w:rStyle w:val="IntenseEmphasis"/>
              </w:rPr>
              <w:t xml:space="preserve">Status at CERN: </w:t>
            </w:r>
            <w:r>
              <w:rPr/>
              <w:t>Associated</w:t>
            </w:r>
            <w:r>
              <w:rPr>
                <w:spacing w:val="-2"/>
              </w:rPr>
              <w:t xml:space="preserve"> </w:t>
            </w:r>
            <w:r>
              <w:rPr/>
              <w:t>Member of the Personnel (Project Associate).</w:t>
            </w:r>
          </w:p>
          <w:p>
            <w:pPr>
              <w:pStyle w:val="ListParagraph"/>
              <w:spacing w:lineRule="auto" w:line="240" w:before="240" w:after="0"/>
              <w:rPr/>
            </w:pPr>
            <w:r>
              <w:rPr/>
              <w:t>Conditions</w:t>
            </w:r>
            <w:r>
              <w:rPr>
                <w:spacing w:val="46"/>
              </w:rPr>
              <w:t xml:space="preserve"> </w:t>
            </w:r>
            <w:r>
              <w:rPr/>
              <w:t>in</w:t>
            </w:r>
            <w:r>
              <w:rPr>
                <w:spacing w:val="48"/>
              </w:rPr>
              <w:t xml:space="preserve"> </w:t>
            </w:r>
            <w:r>
              <w:rPr/>
              <w:t>accordance</w:t>
            </w:r>
            <w:r>
              <w:rPr>
                <w:spacing w:val="48"/>
              </w:rPr>
              <w:t xml:space="preserve"> </w:t>
            </w:r>
            <w:r>
              <w:rPr/>
              <w:t>with</w:t>
            </w:r>
            <w:r>
              <w:rPr>
                <w:spacing w:val="47"/>
              </w:rPr>
              <w:t xml:space="preserve"> </w:t>
            </w:r>
            <w:r>
              <w:rPr/>
              <w:t>CERN’s</w:t>
            </w:r>
            <w:r>
              <w:rPr>
                <w:spacing w:val="48"/>
              </w:rPr>
              <w:t xml:space="preserve"> </w:t>
            </w:r>
            <w:r>
              <w:rPr/>
              <w:t>Staff</w:t>
            </w:r>
            <w:r>
              <w:rPr>
                <w:spacing w:val="47"/>
              </w:rPr>
              <w:t xml:space="preserve"> </w:t>
            </w:r>
            <w:r>
              <w:rPr/>
              <w:t>Rules</w:t>
            </w:r>
            <w:r>
              <w:rPr>
                <w:spacing w:val="48"/>
              </w:rPr>
              <w:t xml:space="preserve"> </w:t>
            </w:r>
            <w:r>
              <w:rPr/>
              <w:t>and</w:t>
            </w:r>
            <w:r>
              <w:rPr>
                <w:spacing w:val="48"/>
              </w:rPr>
              <w:t xml:space="preserve"> </w:t>
            </w:r>
            <w:r>
              <w:rPr/>
              <w:t>Regulations</w:t>
            </w:r>
            <w:r>
              <w:rPr>
                <w:spacing w:val="46"/>
              </w:rPr>
              <w:t xml:space="preserve"> </w:t>
            </w:r>
            <w:r>
              <w:rPr/>
              <w:t>and</w:t>
            </w:r>
            <w:r>
              <w:rPr>
                <w:spacing w:val="58"/>
              </w:rPr>
              <w:t xml:space="preserve"> </w:t>
            </w:r>
            <w:r>
              <w:rPr/>
              <w:t>Administrative</w:t>
            </w:r>
            <w:r>
              <w:rPr>
                <w:spacing w:val="-2"/>
              </w:rPr>
              <w:t xml:space="preserve"> </w:t>
            </w:r>
            <w:r>
              <w:rPr/>
              <w:t>Circular No. 11. Subsistence</w:t>
            </w:r>
            <w:r>
              <w:rPr>
                <w:spacing w:val="14"/>
              </w:rPr>
              <w:t xml:space="preserve"> </w:t>
            </w:r>
            <w:r>
              <w:rPr/>
              <w:t>allowance</w:t>
            </w:r>
            <w:r>
              <w:rPr>
                <w:spacing w:val="14"/>
              </w:rPr>
              <w:t xml:space="preserve"> </w:t>
            </w:r>
            <w:r>
              <w:rPr/>
              <w:t>is</w:t>
            </w:r>
            <w:r>
              <w:rPr>
                <w:spacing w:val="14"/>
              </w:rPr>
              <w:t xml:space="preserve"> </w:t>
            </w:r>
            <w:r>
              <w:rPr/>
              <w:t>payable</w:t>
            </w:r>
            <w:r>
              <w:rPr>
                <w:spacing w:val="14"/>
              </w:rPr>
              <w:t xml:space="preserve"> </w:t>
            </w:r>
            <w:r>
              <w:rPr/>
              <w:t>by</w:t>
            </w:r>
            <w:r>
              <w:rPr>
                <w:spacing w:val="14"/>
              </w:rPr>
              <w:t xml:space="preserve"> </w:t>
            </w:r>
            <w:r>
              <w:rPr/>
              <w:t>CERN</w:t>
            </w:r>
            <w:r>
              <w:rPr>
                <w:spacing w:val="14"/>
              </w:rPr>
              <w:t xml:space="preserve"> </w:t>
            </w:r>
            <w:r>
              <w:rPr/>
              <w:t>to</w:t>
            </w:r>
            <w:r>
              <w:rPr>
                <w:spacing w:val="14"/>
              </w:rPr>
              <w:t xml:space="preserve"> </w:t>
            </w:r>
            <w:r>
              <w:rPr/>
              <w:t>cover</w:t>
            </w:r>
            <w:r>
              <w:rPr>
                <w:spacing w:val="14"/>
              </w:rPr>
              <w:t xml:space="preserve"> </w:t>
            </w:r>
            <w:r>
              <w:rPr/>
              <w:t>the</w:t>
            </w:r>
            <w:r>
              <w:rPr>
                <w:spacing w:val="14"/>
              </w:rPr>
              <w:t xml:space="preserve"> </w:t>
            </w:r>
            <w:r>
              <w:rPr/>
              <w:t>additional</w:t>
            </w:r>
            <w:r>
              <w:rPr>
                <w:spacing w:val="14"/>
              </w:rPr>
              <w:t xml:space="preserve"> </w:t>
            </w:r>
            <w:r>
              <w:rPr/>
              <w:t>cost</w:t>
            </w:r>
            <w:r>
              <w:rPr>
                <w:spacing w:val="14"/>
              </w:rPr>
              <w:t xml:space="preserve"> </w:t>
            </w:r>
            <w:r>
              <w:rPr/>
              <w:t>arising</w:t>
            </w:r>
            <w:r>
              <w:rPr>
                <w:spacing w:val="32"/>
              </w:rPr>
              <w:t xml:space="preserve"> </w:t>
            </w:r>
            <w:r>
              <w:rPr/>
              <w:t>from</w:t>
            </w:r>
            <w:r>
              <w:rPr>
                <w:spacing w:val="24"/>
              </w:rPr>
              <w:t xml:space="preserve"> </w:t>
            </w:r>
            <w:r>
              <w:rPr/>
              <w:t>the</w:t>
            </w:r>
            <w:r>
              <w:rPr>
                <w:spacing w:val="25"/>
              </w:rPr>
              <w:t xml:space="preserve"> </w:t>
            </w:r>
            <w:r>
              <w:rPr/>
              <w:t>individual’s</w:t>
            </w:r>
            <w:r>
              <w:rPr>
                <w:spacing w:val="25"/>
              </w:rPr>
              <w:t xml:space="preserve"> </w:t>
            </w:r>
            <w:r>
              <w:rPr/>
              <w:t>(and,</w:t>
            </w:r>
            <w:r>
              <w:rPr>
                <w:spacing w:val="25"/>
              </w:rPr>
              <w:t xml:space="preserve"> </w:t>
            </w:r>
            <w:r>
              <w:rPr/>
              <w:t>as</w:t>
            </w:r>
            <w:r>
              <w:rPr>
                <w:spacing w:val="23"/>
              </w:rPr>
              <w:t xml:space="preserve"> </w:t>
            </w:r>
            <w:r>
              <w:rPr/>
              <w:t>applicable,</w:t>
            </w:r>
            <w:r>
              <w:rPr>
                <w:spacing w:val="24"/>
              </w:rPr>
              <w:t xml:space="preserve"> </w:t>
            </w:r>
            <w:r>
              <w:rPr/>
              <w:t>their</w:t>
            </w:r>
            <w:r>
              <w:rPr>
                <w:spacing w:val="25"/>
              </w:rPr>
              <w:t xml:space="preserve"> </w:t>
            </w:r>
            <w:r>
              <w:rPr/>
              <w:t>family’s)</w:t>
            </w:r>
            <w:r>
              <w:rPr>
                <w:spacing w:val="24"/>
              </w:rPr>
              <w:t xml:space="preserve"> </w:t>
            </w:r>
            <w:r>
              <w:rPr/>
              <w:t>stay</w:t>
            </w:r>
            <w:r>
              <w:rPr>
                <w:spacing w:val="24"/>
              </w:rPr>
              <w:t xml:space="preserve"> </w:t>
            </w:r>
            <w:r>
              <w:rPr/>
              <w:t>in</w:t>
            </w:r>
            <w:r>
              <w:rPr>
                <w:spacing w:val="24"/>
              </w:rPr>
              <w:t xml:space="preserve"> </w:t>
            </w:r>
            <w:r>
              <w:rPr/>
              <w:t>the</w:t>
            </w:r>
            <w:r>
              <w:rPr>
                <w:spacing w:val="24"/>
              </w:rPr>
              <w:t xml:space="preserve"> </w:t>
            </w:r>
            <w:r>
              <w:rPr/>
              <w:t>local</w:t>
            </w:r>
            <w:r>
              <w:rPr>
                <w:spacing w:val="25"/>
              </w:rPr>
              <w:t xml:space="preserve"> </w:t>
            </w:r>
            <w:r>
              <w:rPr/>
              <w:t>area</w:t>
            </w:r>
            <w:r>
              <w:rPr>
                <w:spacing w:val="59"/>
              </w:rPr>
              <w:t xml:space="preserve"> </w:t>
            </w:r>
            <w:r>
              <w:rPr/>
              <w:t>while performing activities at</w:t>
            </w:r>
            <w:r>
              <w:rPr>
                <w:spacing w:val="-2"/>
              </w:rPr>
              <w:t xml:space="preserve"> </w:t>
            </w:r>
            <w:r>
              <w:rPr/>
              <w:t>CERN.</w:t>
            </w:r>
          </w:p>
        </w:tc>
      </w:tr>
      <w:tr>
        <w:trPr>
          <w:trHeight w:val="1440" w:hRule="atLeast"/>
        </w:trPr>
        <w:tc>
          <w:tcPr>
            <w:tcW w:w="9629" w:type="dxa"/>
            <w:gridSpan w:val="4"/>
            <w:tcBorders/>
            <w:shd w:fill="auto" w:val="clear"/>
            <w:tcMar>
              <w:left w:w="108" w:type="dxa"/>
            </w:tcMar>
          </w:tcPr>
          <w:p>
            <w:pPr>
              <w:pStyle w:val="ListParagraph"/>
              <w:spacing w:lineRule="auto" w:line="240" w:before="240" w:after="0"/>
              <w:rPr>
                <w:i/>
                <w:i/>
                <w:iCs/>
                <w:color w:val="5B9BD5" w:themeColor="accent1"/>
              </w:rPr>
            </w:pPr>
            <w:r>
              <w:rPr>
                <w:rStyle w:val="IntenseEmphasis"/>
              </w:rPr>
              <w:t xml:space="preserve">Option: </w:t>
            </w:r>
            <w:r>
              <w:rPr/>
              <w:t>Collaborating institutes and universities can propose to support the activity of the qualified employees participating in this “Call for contribution of expertise” with students or other employees. Their status and Subsistence</w:t>
            </w:r>
            <w:r>
              <w:rPr>
                <w:spacing w:val="14"/>
              </w:rPr>
              <w:t xml:space="preserve"> </w:t>
            </w:r>
            <w:r>
              <w:rPr/>
              <w:t>allowance when applicable will be adapted to their relation with their institutions</w:t>
            </w:r>
          </w:p>
        </w:tc>
      </w:tr>
      <w:tr>
        <w:trPr>
          <w:trHeight w:val="577" w:hRule="atLeast"/>
        </w:trPr>
        <w:tc>
          <w:tcPr>
            <w:tcW w:w="4814" w:type="dxa"/>
            <w:gridSpan w:val="2"/>
            <w:tcBorders/>
            <w:shd w:fill="auto" w:val="clear"/>
            <w:tcMar>
              <w:left w:w="108" w:type="dxa"/>
            </w:tcMar>
          </w:tcPr>
          <w:p>
            <w:pPr>
              <w:pStyle w:val="Normal"/>
              <w:spacing w:lineRule="auto" w:line="240" w:before="240" w:after="0"/>
              <w:rPr>
                <w:lang w:val="fr-FR"/>
              </w:rPr>
            </w:pPr>
            <w:r>
              <w:rPr>
                <w:rStyle w:val="IntenseEmphasis"/>
                <w:lang w:val="fr-FR"/>
              </w:rPr>
              <w:t>Contact person: it-dep-fas-inform@cern.ch</w:t>
            </w:r>
          </w:p>
        </w:tc>
        <w:tc>
          <w:tcPr>
            <w:tcW w:w="4815" w:type="dxa"/>
            <w:gridSpan w:val="2"/>
            <w:tcBorders/>
            <w:shd w:fill="auto" w:val="clear"/>
            <w:tcMar>
              <w:left w:w="108" w:type="dxa"/>
            </w:tcMar>
          </w:tcPr>
          <w:p>
            <w:pPr>
              <w:pStyle w:val="ListParagraph"/>
              <w:spacing w:lineRule="auto" w:line="240" w:before="240" w:after="0"/>
              <w:rPr/>
            </w:pPr>
            <w:r>
              <w:rPr>
                <w:rStyle w:val="IntenseEmphasis"/>
              </w:rPr>
              <w:t xml:space="preserve">Reference: </w:t>
            </w:r>
            <w:r>
              <w:rPr/>
              <w:t>201X_XQ_0XX</w:t>
            </w:r>
          </w:p>
        </w:tc>
      </w:tr>
      <w:tr>
        <w:trPr>
          <w:trHeight w:val="577" w:hRule="atLeast"/>
        </w:trPr>
        <w:tc>
          <w:tcPr>
            <w:tcW w:w="4814" w:type="dxa"/>
            <w:gridSpan w:val="2"/>
            <w:tcBorders/>
            <w:shd w:color="auto" w:fill="auto" w:val="pct10"/>
            <w:tcMar>
              <w:left w:w="108" w:type="dxa"/>
            </w:tcMar>
          </w:tcPr>
          <w:p>
            <w:pPr>
              <w:pStyle w:val="Normal"/>
              <w:spacing w:lineRule="auto" w:line="240" w:before="240" w:after="0"/>
              <w:rPr/>
            </w:pPr>
            <w:r>
              <w:rPr>
                <w:rStyle w:val="IntenseEmphasis"/>
                <w:highlight w:val="yellow"/>
              </w:rPr>
              <w:t>Jan van Eldik</w:t>
            </w:r>
          </w:p>
        </w:tc>
        <w:tc>
          <w:tcPr>
            <w:tcW w:w="2407" w:type="dxa"/>
            <w:tcBorders/>
            <w:shd w:color="auto" w:fill="auto" w:val="pct10"/>
            <w:tcMar>
              <w:left w:w="108" w:type="dxa"/>
            </w:tcMar>
          </w:tcPr>
          <w:p>
            <w:pPr>
              <w:pStyle w:val="ListParagraph"/>
              <w:spacing w:lineRule="auto" w:line="240" w:before="240" w:after="0"/>
              <w:rPr>
                <w:rStyle w:val="IntenseEmphasis"/>
              </w:rPr>
            </w:pPr>
            <w:r>
              <w:rPr>
                <w:rStyle w:val="IntenseEmphasis"/>
                <w:highlight w:val="yellow"/>
              </w:rPr>
              <w:t>Budget Code: 47821 (IT Dept)</w:t>
            </w:r>
          </w:p>
        </w:tc>
        <w:tc>
          <w:tcPr>
            <w:tcW w:w="2408" w:type="dxa"/>
            <w:tcBorders/>
            <w:shd w:color="auto" w:fill="auto" w:val="pct10"/>
            <w:tcMar>
              <w:left w:w="108" w:type="dxa"/>
            </w:tcMar>
          </w:tcPr>
          <w:p>
            <w:pPr>
              <w:pStyle w:val="ListParagraph"/>
              <w:spacing w:lineRule="auto" w:line="240" w:before="240" w:after="0"/>
              <w:rPr>
                <w:rStyle w:val="IntenseEmphasis"/>
              </w:rPr>
            </w:pPr>
            <w:r>
              <w:rPr>
                <w:rStyle w:val="IntenseEmphasis"/>
              </w:rPr>
              <w:t>Wu</w:t>
            </w:r>
          </w:p>
        </w:tc>
      </w:tr>
    </w:tbl>
    <w:p>
      <w:pPr>
        <w:pStyle w:val="Normal"/>
        <w:widowControl w:val="false"/>
        <w:bidi w:val="0"/>
        <w:spacing w:lineRule="auto" w:line="240" w:before="240" w:after="240"/>
        <w:jc w:val="both"/>
        <w:rPr/>
      </w:pPr>
      <w:r>
        <w:rPr/>
      </w:r>
    </w:p>
    <w:sectPr>
      <w:type w:val="nextPage"/>
      <w:pgSz w:w="11906" w:h="16838"/>
      <w:pgMar w:left="1134" w:right="1134" w:header="0" w:top="993" w:footer="0" w:bottom="709" w:gutter="0"/>
      <w:pgNumType w:fmt="decimal"/>
      <w:formProt w:val="false"/>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c937f5"/>
    <w:pPr>
      <w:widowControl w:val="false"/>
      <w:bidi w:val="0"/>
      <w:spacing w:lineRule="auto" w:line="240" w:before="240" w:after="240"/>
      <w:jc w:val="both"/>
    </w:pPr>
    <w:rPr>
      <w:rFonts w:eastAsia="" w:cs="Cambria" w:eastAsiaTheme="minorEastAsia" w:ascii="Calibri" w:hAnsi="Calibri"/>
      <w:color w:val="auto"/>
      <w:sz w:val="24"/>
      <w:szCs w:val="24"/>
      <w:lang w:eastAsia="en-GB" w:val="en-GB" w:bidi="ar-SA"/>
    </w:rPr>
  </w:style>
  <w:style w:type="paragraph" w:styleId="Heading1">
    <w:name w:val="Heading 1"/>
    <w:basedOn w:val="Normal"/>
    <w:next w:val="Normal"/>
    <w:link w:val="Heading1Char"/>
    <w:uiPriority w:val="9"/>
    <w:qFormat/>
    <w:rsid w:val="005932e9"/>
    <w:pPr>
      <w:keepNext w:val="true"/>
      <w:keepLines/>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32e9"/>
    <w:rPr>
      <w:rFonts w:ascii="Calibri Light" w:hAnsi="Calibri Light" w:eastAsia="" w:cs="" w:asciiTheme="majorHAnsi" w:cstheme="majorBidi" w:eastAsiaTheme="majorEastAsia" w:hAnsiTheme="majorHAnsi"/>
      <w:color w:val="2E74B5" w:themeColor="accent1" w:themeShade="bf"/>
      <w:sz w:val="32"/>
      <w:szCs w:val="32"/>
      <w:lang w:eastAsia="en-GB"/>
    </w:rPr>
  </w:style>
  <w:style w:type="character" w:styleId="IntenseEmphasis">
    <w:name w:val="Intense Emphasis"/>
    <w:basedOn w:val="DefaultParagraphFont"/>
    <w:uiPriority w:val="21"/>
    <w:qFormat/>
    <w:rsid w:val="00c937f5"/>
    <w:rPr>
      <w:i/>
      <w:iCs/>
      <w:color w:val="5B9BD5" w:themeColor="accent1"/>
    </w:rPr>
  </w:style>
  <w:style w:type="character" w:styleId="Annotationreference">
    <w:name w:val="annotation reference"/>
    <w:basedOn w:val="DefaultParagraphFont"/>
    <w:uiPriority w:val="99"/>
    <w:semiHidden/>
    <w:unhideWhenUsed/>
    <w:qFormat/>
    <w:rsid w:val="001644a1"/>
    <w:rPr>
      <w:sz w:val="16"/>
      <w:szCs w:val="16"/>
    </w:rPr>
  </w:style>
  <w:style w:type="character" w:styleId="CommentTextChar" w:customStyle="1">
    <w:name w:val="Comment Text Char"/>
    <w:basedOn w:val="DefaultParagraphFont"/>
    <w:link w:val="CommentText"/>
    <w:uiPriority w:val="99"/>
    <w:semiHidden/>
    <w:qFormat/>
    <w:rsid w:val="001644a1"/>
    <w:rPr>
      <w:rFonts w:eastAsia="" w:cs="Cambria" w:eastAsiaTheme="minorEastAsia"/>
      <w:sz w:val="20"/>
      <w:szCs w:val="20"/>
      <w:lang w:eastAsia="en-GB"/>
    </w:rPr>
  </w:style>
  <w:style w:type="character" w:styleId="CommentSubjectChar" w:customStyle="1">
    <w:name w:val="Comment Subject Char"/>
    <w:basedOn w:val="CommentTextChar"/>
    <w:link w:val="CommentSubject"/>
    <w:uiPriority w:val="99"/>
    <w:semiHidden/>
    <w:qFormat/>
    <w:rsid w:val="001644a1"/>
    <w:rPr>
      <w:rFonts w:eastAsia="" w:cs="Cambria" w:eastAsiaTheme="minorEastAsia"/>
      <w:b/>
      <w:bCs/>
      <w:sz w:val="20"/>
      <w:szCs w:val="20"/>
      <w:lang w:eastAsia="en-GB"/>
    </w:rPr>
  </w:style>
  <w:style w:type="character" w:styleId="BalloonTextChar" w:customStyle="1">
    <w:name w:val="Balloon Text Char"/>
    <w:basedOn w:val="DefaultParagraphFont"/>
    <w:link w:val="BalloonText"/>
    <w:uiPriority w:val="99"/>
    <w:semiHidden/>
    <w:qFormat/>
    <w:rsid w:val="001644a1"/>
    <w:rPr>
      <w:rFonts w:ascii="Segoe UI" w:hAnsi="Segoe UI" w:eastAsia="" w:cs="Segoe UI" w:eastAsiaTheme="minorEastAsia"/>
      <w:sz w:val="18"/>
      <w:szCs w:val="18"/>
      <w:lang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932e9"/>
    <w:pPr/>
    <w:rPr/>
  </w:style>
  <w:style w:type="paragraph" w:styleId="Annotationtext">
    <w:name w:val="annotation text"/>
    <w:basedOn w:val="Normal"/>
    <w:link w:val="CommentTextChar"/>
    <w:uiPriority w:val="99"/>
    <w:semiHidden/>
    <w:unhideWhenUsed/>
    <w:qFormat/>
    <w:rsid w:val="001644a1"/>
    <w:pPr/>
    <w:rPr>
      <w:sz w:val="20"/>
      <w:szCs w:val="20"/>
    </w:rPr>
  </w:style>
  <w:style w:type="paragraph" w:styleId="Annotationsubject">
    <w:name w:val="annotation subject"/>
    <w:basedOn w:val="Annotationtext"/>
    <w:link w:val="CommentSubjectChar"/>
    <w:uiPriority w:val="99"/>
    <w:semiHidden/>
    <w:unhideWhenUsed/>
    <w:qFormat/>
    <w:rsid w:val="001644a1"/>
    <w:pPr/>
    <w:rPr>
      <w:b/>
      <w:bCs/>
    </w:rPr>
  </w:style>
  <w:style w:type="paragraph" w:styleId="BalloonText">
    <w:name w:val="Balloon Text"/>
    <w:basedOn w:val="Normal"/>
    <w:link w:val="BalloonTextChar"/>
    <w:uiPriority w:val="99"/>
    <w:semiHidden/>
    <w:unhideWhenUsed/>
    <w:qFormat/>
    <w:rsid w:val="001644a1"/>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32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DEtails xmlns="06ff0ce7-ad8b-4c7d-bb3d-2d790cbc8efc">https://edh.cern.ch/Document/SupplyChain/DepartmentRequest/6862027</DEtai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13825E0109740ACEF9FD17A5A0D4D" ma:contentTypeVersion="1" ma:contentTypeDescription="Create a new document." ma:contentTypeScope="" ma:versionID="2814f3bd3cfe68fef4cc5312c98a7645">
  <xsd:schema xmlns:xsd="http://www.w3.org/2001/XMLSchema" xmlns:xs="http://www.w3.org/2001/XMLSchema" xmlns:p="http://schemas.microsoft.com/office/2006/metadata/properties" xmlns:ns2="06ff0ce7-ad8b-4c7d-bb3d-2d790cbc8efc" targetNamespace="http://schemas.microsoft.com/office/2006/metadata/properties" ma:root="true" ma:fieldsID="6e6da38f89528a4b56f34da4509e444d" ns2:_="">
    <xsd:import namespace="06ff0ce7-ad8b-4c7d-bb3d-2d790cbc8efc"/>
    <xsd:element name="properties">
      <xsd:complexType>
        <xsd:sequence>
          <xsd:element name="documentManagement">
            <xsd:complexType>
              <xsd:all>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f0ce7-ad8b-4c7d-bb3d-2d790cbc8efc" elementFormDefault="qualified">
    <xsd:import namespace="http://schemas.microsoft.com/office/2006/documentManagement/types"/>
    <xsd:import namespace="http://schemas.microsoft.com/office/infopath/2007/PartnerControls"/>
    <xsd:element name="DEtails" ma:index="8" nillable="true" ma:displayName="Details" ma:internalName="DEtail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CBD62B-9D8A-4F2E-A028-80D7AAEFA1F5}">
  <ds:schemaRefs>
    <ds:schemaRef ds:uri="http://schemas.microsoft.com/office/2006/metadata/properties"/>
    <ds:schemaRef ds:uri="http://schemas.microsoft.com/office/infopath/2007/PartnerControls"/>
    <ds:schemaRef ds:uri="06ff0ce7-ad8b-4c7d-bb3d-2d790cbc8efc"/>
  </ds:schemaRefs>
</ds:datastoreItem>
</file>

<file path=customXml/itemProps2.xml><?xml version="1.0" encoding="utf-8"?>
<ds:datastoreItem xmlns:ds="http://schemas.openxmlformats.org/officeDocument/2006/customXml" ds:itemID="{084BE142-C59F-4043-BD72-D2E615BC0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f0ce7-ad8b-4c7d-bb3d-2d790cbc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0B9A97-C30B-49FE-AF1C-F2E5CF4F7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LibreOffice/5.3.6.1$Linux_X86_64 LibreOffice_project/30$Build-1</Application>
  <Pages>2</Pages>
  <Words>449</Words>
  <Characters>2639</Characters>
  <CharactersWithSpaces>3064</CharactersWithSpaces>
  <Paragraphs>24</Paragraphs>
  <Company>CERN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2018-05-24T13:59:00Z</dcterms:created>
  <dc:creator>Isabel Bejar Alonso</dc:creator>
  <dc:description/>
  <dc:language>en-US</dc:language>
  <cp:lastModifiedBy/>
  <cp:lastPrinted>2018-05-23T07:57:00Z</cp:lastPrinted>
  <dcterms:modified xsi:type="dcterms:W3CDTF">2018-05-25T11:12:58Z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CERN</vt:lpwstr>
  </property>
  <property fmtid="{D5CDD505-2E9C-101B-9397-08002B2CF9AE}" pid="4" name="ContentTypeId">
    <vt:lpwstr>0x01010061D13825E0109740ACEF9FD17A5A0D4D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