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0" w:before="2400"/>
        <w:jc w:val="center"/>
      </w:pPr>
      <w:r>
        <w:rPr>
          <w:rFonts w:ascii="Times New Roman" w:cs="Traditional Arabic" w:hAnsi="Times New Roman"/>
          <w:b/>
          <w:bCs/>
          <w:color w:val="1F3864"/>
          <w:sz w:val="40"/>
          <w:szCs w:val="40"/>
          <w:rtl/>
        </w:rPr>
        <w:t xml:space="preserve">رهن الرقيق في الفقه الإسلامي: دراسة تحليلية مقارنة في الجواز والنظام القانوني والآثار وإشكالات الخلاف المذهبي</w:t>
      </w:r>
    </w:p>
    <w:p>
      <w:pPr>
        <w:pStyle w:val="Heading1"/>
        <w:bidi/>
        <w:spacing w:after="160" w:before="360"/>
        <w:jc w:val="center"/>
      </w:pPr>
      <w:r>
        <w:rPr>
          <w:rFonts w:ascii="Times New Roman" w:cs="Traditional Arabic" w:hAnsi="Times New Roman"/>
          <w:b/>
          <w:bCs/>
          <w:color w:val="1F3864"/>
          <w:sz w:val="34"/>
          <w:szCs w:val="34"/>
          <w:rtl/>
        </w:rPr>
        <w:t xml:space="preserve">الملخص</w:t>
      </w:r>
    </w:p>
    <w:p>
      <w:pPr>
        <w:bidi/>
        <w:spacing w:after="120" w:line="340"/>
        <w:jc w:val="both"/>
      </w:pPr>
      <w:r>
        <w:rPr>
          <w:rFonts w:ascii="Times New Roman" w:cs="Traditional Arabic" w:hAnsi="Times New Roman"/>
          <w:sz w:val="28"/>
          <w:szCs w:val="28"/>
          <w:rtl/>
        </w:rPr>
        <w:t xml:space="preserve">يتناول هذا المقال رهن العبد والأمة في المذاهب الفقهية الإسلامية بوصفه بابًا تطبيقيًا صاغ فيه الفقهاء جانبًا كبيرًا من نظرية الرهن العامة. ويبحث في محل الرهن من الرقيق وحدود جوازه، ثم في النظام القانوني الذي يحكم العلاقة بين الراهن والمرتهن والمرهون أثناء قيام الرهن، من حيازة ومؤنة وانتفاع وتصرف، ثم في الآثار المترتبة عليه من تبعة الهلاك والنماء والعتق والاستيلاد والوطء والجنايات. ويخلص إلى أن الخلاف المذهبي يرجع في جوهره إلى تكييف عقد الرهن بين الاستيثاق والاستيفاء، وإلى طريقة الموازنة بين حق الدائن وتشوّف الشارع إلى الحرية وصيانة كرامة الأمة، وأن القواعد المتولدة من هذا الباب لا تزال حاضرة في قوانين المعاملات المعاصرة رغم الطابع التاريخي لأحكام الرق.</w:t>
      </w:r>
    </w:p>
    <w:p>
      <w:pPr>
        <w:bidi/>
        <w:spacing w:after="120" w:line="340"/>
        <w:jc w:val="both"/>
      </w:pPr>
      <w:r>
        <w:rPr>
          <w:rFonts w:ascii="Times New Roman" w:cs="Traditional Arabic" w:hAnsi="Times New Roman"/>
          <w:b/>
          <w:bCs/>
          <w:sz w:val="28"/>
          <w:szCs w:val="28"/>
          <w:rtl/>
        </w:rPr>
        <w:t xml:space="preserve">الكلمات المفتاحية:</w:t>
      </w:r>
      <w:r>
        <w:rPr>
          <w:rFonts w:ascii="Times New Roman" w:cs="Traditional Arabic" w:hAnsi="Times New Roman"/>
          <w:sz w:val="28"/>
          <w:szCs w:val="28"/>
          <w:rtl/>
        </w:rPr>
        <w:t xml:space="preserve"> الرهن، الرقيق، يد المرتهن، النماء، الاستيلاد، العتق، الفقه المقارن.</w:t>
      </w:r>
    </w:p>
    <w:p>
      <w:pPr>
        <w:pStyle w:val="Heading1"/>
        <w:bidi/>
        <w:spacing w:after="160" w:before="360"/>
        <w:jc w:val="center"/>
      </w:pPr>
      <w:r>
        <w:rPr>
          <w:rFonts w:ascii="Times New Roman" w:cs="Traditional Arabic" w:hAnsi="Times New Roman"/>
          <w:b/>
          <w:bCs/>
          <w:color w:val="1F3864"/>
          <w:sz w:val="34"/>
          <w:szCs w:val="34"/>
          <w:rtl/>
        </w:rPr>
        <w:t xml:space="preserve">خطة البحث</w:t>
      </w:r>
    </w:p>
    <w:p>
      <w:pPr>
        <w:pStyle w:val="ListParagraph"/>
        <w:numPr>
          <w:ilvl w:val="0"/>
          <w:numId w:val="2"/>
        </w:numPr>
        <w:bidi/>
        <w:spacing w:after="80" w:line="320"/>
        <w:jc w:val="right"/>
      </w:pPr>
      <w:r>
        <w:rPr>
          <w:rFonts w:ascii="Times New Roman" w:cs="Traditional Arabic" w:hAnsi="Times New Roman"/>
          <w:b/>
          <w:bCs/>
          <w:sz w:val="28"/>
          <w:szCs w:val="28"/>
          <w:rtl/>
        </w:rPr>
        <w:t xml:space="preserve">مقدمة</w:t>
      </w:r>
    </w:p>
    <w:p>
      <w:pPr>
        <w:pStyle w:val="ListParagraph"/>
        <w:numPr>
          <w:ilvl w:val="0"/>
          <w:numId w:val="2"/>
        </w:numPr>
        <w:bidi/>
        <w:spacing w:after="80" w:line="320"/>
        <w:jc w:val="right"/>
      </w:pPr>
      <w:r>
        <w:rPr>
          <w:rFonts w:ascii="Times New Roman" w:cs="Traditional Arabic" w:hAnsi="Times New Roman"/>
          <w:b/>
          <w:bCs/>
          <w:sz w:val="28"/>
          <w:szCs w:val="28"/>
          <w:rtl/>
        </w:rPr>
        <w:t xml:space="preserve">المبحث الأول: محل الرهن من الرقيق وحدود جوازه</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الأول: الأصل العام في جواز رهن الرقيق ومناطه</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الثاني: الرقيق الذي انعقد له سبب الحرية</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الثالث: القيود المتعلقة بشخص المرتهن</w:t>
      </w:r>
    </w:p>
    <w:p>
      <w:pPr>
        <w:pStyle w:val="ListParagraph"/>
        <w:numPr>
          <w:ilvl w:val="0"/>
          <w:numId w:val="2"/>
        </w:numPr>
        <w:bidi/>
        <w:spacing w:after="80" w:line="320"/>
        <w:jc w:val="right"/>
      </w:pPr>
      <w:r>
        <w:rPr>
          <w:rFonts w:ascii="Times New Roman" w:cs="Traditional Arabic" w:hAnsi="Times New Roman"/>
          <w:b/>
          <w:bCs/>
          <w:sz w:val="28"/>
          <w:szCs w:val="28"/>
          <w:rtl/>
        </w:rPr>
        <w:t xml:space="preserve">المبحث الثاني: النظام القانوني لرهن الرقيق أثناء قيام الرهن</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الأول: الحيازة وضوابطها الخاصة بالأمة</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الثاني: حماية الرابطة بين الأم وولدها</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الثالث: المؤن وانتفاع المرتهن</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الرابع: تصرفات الراهن والتنفيذ على المرهون</w:t>
      </w:r>
    </w:p>
    <w:p>
      <w:pPr>
        <w:pStyle w:val="ListParagraph"/>
        <w:numPr>
          <w:ilvl w:val="0"/>
          <w:numId w:val="2"/>
        </w:numPr>
        <w:bidi/>
        <w:spacing w:after="80" w:line="320"/>
        <w:jc w:val="right"/>
      </w:pPr>
      <w:r>
        <w:rPr>
          <w:rFonts w:ascii="Times New Roman" w:cs="Traditional Arabic" w:hAnsi="Times New Roman"/>
          <w:b/>
          <w:bCs/>
          <w:sz w:val="28"/>
          <w:szCs w:val="28"/>
          <w:rtl/>
        </w:rPr>
        <w:t xml:space="preserve">المبحث الثالث: آثار رهن الرقيق وإشكالاته الكبرى</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الأول: تبعة الهلاك وطبيعة يد المرتهن</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الثاني: نماء الرقيق المرهون وولد الأمة</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الثالث: العتق والاستيلاد بين حق الحرية وحق الدائن</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الرابع: وطء المرتهن وآثاره الجنائية والمدنية</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الخامس: الجنايات وانتقال الحق إلى البدل</w:t>
      </w:r>
    </w:p>
    <w:p>
      <w:pPr>
        <w:pStyle w:val="ListParagraph"/>
        <w:numPr>
          <w:ilvl w:val="0"/>
          <w:numId w:val="2"/>
        </w:numPr>
        <w:bidi/>
        <w:spacing w:after="80" w:line="320"/>
        <w:jc w:val="right"/>
      </w:pPr>
      <w:r>
        <w:rPr>
          <w:rFonts w:ascii="Times New Roman" w:cs="Traditional Arabic" w:hAnsi="Times New Roman"/>
          <w:b/>
          <w:bCs/>
          <w:sz w:val="28"/>
          <w:szCs w:val="28"/>
          <w:rtl/>
        </w:rPr>
        <w:t xml:space="preserve">المبحث الرابع: قراءة تحليلية في الخلاف المذهبي</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الأول: الأسس التي يرجع إليها الخلاف</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الثاني: تقويم اتساق الأنظمة المذهبية</w:t>
      </w:r>
    </w:p>
    <w:p>
      <w:pPr>
        <w:pStyle w:val="ListParagraph"/>
        <w:numPr>
          <w:ilvl w:val="0"/>
          <w:numId w:val="2"/>
        </w:numPr>
        <w:bidi/>
        <w:spacing w:after="80" w:line="320"/>
        <w:jc w:val="right"/>
      </w:pPr>
      <w:r>
        <w:rPr>
          <w:rFonts w:ascii="Times New Roman" w:cs="Traditional Arabic" w:hAnsi="Times New Roman"/>
          <w:b/>
          <w:bCs/>
          <w:sz w:val="28"/>
          <w:szCs w:val="28"/>
          <w:rtl/>
        </w:rPr>
        <w:t xml:space="preserve">خاتمة: النتائج والآفاق</w:t>
      </w:r>
    </w:p>
    <w:p>
      <w:pPr>
        <w:pStyle w:val="ListParagraph"/>
        <w:numPr>
          <w:ilvl w:val="0"/>
          <w:numId w:val="2"/>
        </w:numPr>
        <w:bidi/>
        <w:spacing w:after="80" w:line="320"/>
        <w:jc w:val="right"/>
      </w:pPr>
      <w:r>
        <w:rPr>
          <w:rFonts w:ascii="Times New Roman" w:cs="Traditional Arabic" w:hAnsi="Times New Roman"/>
          <w:b/>
          <w:bCs/>
          <w:sz w:val="28"/>
          <w:szCs w:val="28"/>
          <w:rtl/>
        </w:rPr>
        <w:t xml:space="preserve">قائمة المصادر والمراجع</w:t>
      </w:r>
    </w:p>
    <w:p>
      <w:pPr>
        <w:pStyle w:val="Heading1"/>
        <w:bidi/>
        <w:spacing w:after="160" w:before="360"/>
        <w:jc w:val="center"/>
      </w:pPr>
      <w:r>
        <w:rPr>
          <w:rFonts w:ascii="Times New Roman" w:cs="Traditional Arabic" w:hAnsi="Times New Roman"/>
          <w:b/>
          <w:bCs/>
          <w:color w:val="1F3864"/>
          <w:sz w:val="34"/>
          <w:szCs w:val="34"/>
          <w:rtl/>
        </w:rPr>
        <w:t xml:space="preserve">مقدمة</w:t>
      </w:r>
    </w:p>
    <w:p>
      <w:pPr>
        <w:bidi/>
        <w:spacing w:after="120" w:line="340"/>
        <w:jc w:val="both"/>
      </w:pPr>
      <w:r>
        <w:rPr>
          <w:rFonts w:ascii="Times New Roman" w:cs="Traditional Arabic" w:hAnsi="Times New Roman"/>
          <w:sz w:val="28"/>
          <w:szCs w:val="28"/>
          <w:rtl/>
        </w:rPr>
        <w:t xml:space="preserve">يحتل عقد الرهن في الفقه الإسلامي موقعًا مركزيًا في منظومة التوثيقات، إذ هو الوسيلة التي يطمئن بها الدائن إلى استيفاء حقه حين يتعذر الوفاء على المدين، بأن يُجعل مال متقوَّم وثيقةً بالدين يُستوفى من ثمنه عند الحاجة. وقد عرفت المجتمعات الإسلامية في تاريخها نظام الرق، فكان العبد والأمة من الأموال المنقولة التي تجري عليها المعاملات من بيع وهبة ورهن، فتناول الفقهاء رهن الرقيق بالتفصيل في أبواب الرهن من مصنفاتهم.</w:t>
      </w:r>
    </w:p>
    <w:p>
      <w:pPr>
        <w:bidi/>
        <w:spacing w:after="120" w:line="340"/>
        <w:jc w:val="both"/>
      </w:pPr>
      <w:r>
        <w:rPr>
          <w:rFonts w:ascii="Times New Roman" w:cs="Traditional Arabic" w:hAnsi="Times New Roman"/>
          <w:sz w:val="28"/>
          <w:szCs w:val="28"/>
          <w:rtl/>
        </w:rPr>
        <w:t xml:space="preserve">غير أن رهن الرقيق لم يكن في كتب الفقه مجرد تطبيق آلي للقواعد العامة للرهن على صنف من المال، بل كان ميدانًا خاصًا تتزاحم فيه اعتبارات متعددة لا تجتمع في غيره من الأموال. فالعبد مال يُرهن ويُباع، وهو في الوقت ذاته إنسان مكلف تجب نفقته ويُرعى دينه وتُصان حرمته، والأمة مال يتعلق به حق الدائن، وهي امرأة تُحرم الخلوة بها ويُحمى نسب ولدها، والشارع متشوّف إلى تحرير الرقاب، فكل تصرف يُفضي إلى الحرية يلقى منه عناية خاصة. ومن هذا التزاحم تولدت مسائل دقيقة، كإعتاق الراهن للعبد المرهون، واستيلاده للأمة المرهونة، ووطء المرتهن لها، ومصير ولدها، ومكان حفظها، فكانت هذه المسائل مختبرًا اختُبرت فيه نظرية الرهن، وتمايزت فيه المذاهب بأصولها وقواعدها.</w:t>
      </w:r>
    </w:p>
    <w:p>
      <w:pPr>
        <w:bidi/>
        <w:spacing w:after="120" w:line="340"/>
        <w:jc w:val="both"/>
      </w:pPr>
      <w:r>
        <w:rPr>
          <w:rFonts w:ascii="Times New Roman" w:cs="Traditional Arabic" w:hAnsi="Times New Roman"/>
          <w:b/>
          <w:bCs/>
          <w:sz w:val="28"/>
          <w:szCs w:val="28"/>
          <w:rtl/>
        </w:rPr>
        <w:t xml:space="preserve">أهمية الموضوع:</w:t>
      </w:r>
      <w:r>
        <w:rPr>
          <w:rFonts w:ascii="Times New Roman" w:cs="Traditional Arabic" w:hAnsi="Times New Roman"/>
          <w:sz w:val="28"/>
          <w:szCs w:val="28"/>
          <w:rtl/>
        </w:rPr>
        <w:t xml:space="preserve"> تتجلى أهمية هذا الموضوع في ثلاثة أوجه. الأول </w:t>
      </w:r>
      <w:r>
        <w:rPr>
          <w:rFonts w:ascii="Times New Roman" w:cs="Traditional Arabic" w:hAnsi="Times New Roman"/>
          <w:b/>
          <w:bCs/>
          <w:sz w:val="28"/>
          <w:szCs w:val="28"/>
          <w:rtl/>
        </w:rPr>
        <w:t xml:space="preserve">تاريخي</w:t>
      </w:r>
      <w:r>
        <w:rPr>
          <w:rFonts w:ascii="Times New Roman" w:cs="Traditional Arabic" w:hAnsi="Times New Roman"/>
          <w:sz w:val="28"/>
          <w:szCs w:val="28"/>
          <w:rtl/>
        </w:rPr>
        <w:t xml:space="preserve">، إذ لا يمكن فهم كتب الفقه المذهبي، وهي تفيض بفروع هذا الباب، دون الإلمام بأحكامه. والثاني </w:t>
      </w:r>
      <w:r>
        <w:rPr>
          <w:rFonts w:ascii="Times New Roman" w:cs="Traditional Arabic" w:hAnsi="Times New Roman"/>
          <w:b/>
          <w:bCs/>
          <w:sz w:val="28"/>
          <w:szCs w:val="28"/>
          <w:rtl/>
        </w:rPr>
        <w:t xml:space="preserve">منهجي</w:t>
      </w:r>
      <w:r>
        <w:rPr>
          <w:rFonts w:ascii="Times New Roman" w:cs="Traditional Arabic" w:hAnsi="Times New Roman"/>
          <w:sz w:val="28"/>
          <w:szCs w:val="28"/>
          <w:rtl/>
        </w:rPr>
        <w:t xml:space="preserve">، لأن قواعد كبرى في نظرية الرهن، كطبيعة يد المرتهن، وتبعية النماء، وتقييد تصرف المالك، وانتقال الحق إلى البدل، صيغت وفُصّلت من خلال أمثلة الرقيق. والثالث </w:t>
      </w:r>
      <w:r>
        <w:rPr>
          <w:rFonts w:ascii="Times New Roman" w:cs="Traditional Arabic" w:hAnsi="Times New Roman"/>
          <w:b/>
          <w:bCs/>
          <w:sz w:val="28"/>
          <w:szCs w:val="28"/>
          <w:rtl/>
        </w:rPr>
        <w:t xml:space="preserve">معاصر</w:t>
      </w:r>
      <w:r>
        <w:rPr>
          <w:rFonts w:ascii="Times New Roman" w:cs="Traditional Arabic" w:hAnsi="Times New Roman"/>
          <w:sz w:val="28"/>
          <w:szCs w:val="28"/>
          <w:rtl/>
        </w:rPr>
        <w:t xml:space="preserve">، لأن هذه القواعد انتقلت إلى قوانين المعاملات المدنية المستمدة من الفقه الإسلامي، فصار فهم أصولها شرطًا لحسن تفسيرها. ولا يغيب عن هذا البحث أن الرق قد أُلغي في العالم الإسلامي وفي العالم كله، وأن أحكامه لم تعد قابلة للتطبيق، فالدراسة هنا دراسة في تاريخ التشريع وفي الصناعة الفقهية، لا دعوة إلى إحياء ما انقضى.</w:t>
      </w:r>
    </w:p>
    <w:p>
      <w:pPr>
        <w:bidi/>
        <w:spacing w:after="120" w:line="340"/>
        <w:jc w:val="both"/>
      </w:pPr>
      <w:r>
        <w:rPr>
          <w:rFonts w:ascii="Times New Roman" w:cs="Traditional Arabic" w:hAnsi="Times New Roman"/>
          <w:b/>
          <w:bCs/>
          <w:sz w:val="28"/>
          <w:szCs w:val="28"/>
          <w:rtl/>
        </w:rPr>
        <w:t xml:space="preserve">إشكالية البحث:</w:t>
      </w:r>
      <w:r>
        <w:rPr>
          <w:rFonts w:ascii="Times New Roman" w:cs="Traditional Arabic" w:hAnsi="Times New Roman"/>
          <w:sz w:val="28"/>
          <w:szCs w:val="28"/>
          <w:rtl/>
        </w:rPr>
        <w:t xml:space="preserve"> تتمحور إشكالية هذا المقال حول السؤال الآتي: </w:t>
      </w:r>
      <w:r>
        <w:rPr>
          <w:rFonts w:ascii="Times New Roman" w:cs="Traditional Arabic" w:hAnsi="Times New Roman"/>
          <w:b/>
          <w:bCs/>
          <w:sz w:val="28"/>
          <w:szCs w:val="28"/>
          <w:rtl/>
        </w:rPr>
        <w:t xml:space="preserve">كيف بنت المذاهب الفقهية نظامًا قانونيًا لرهن الرقيق يوفّق بين حق الدائن في التوثيق، وحق المالك في التصرف، وحق الرقيق في الحرية والكرامة، وما الأسس التي يرجع إليها اختلافها في هذا البناء؟</w:t>
      </w:r>
      <w:r>
        <w:rPr>
          <w:rFonts w:ascii="Times New Roman" w:cs="Traditional Arabic" w:hAnsi="Times New Roman"/>
          <w:sz w:val="28"/>
          <w:szCs w:val="28"/>
          <w:rtl/>
        </w:rPr>
        <w:t xml:space="preserve"> وتتفرع عنها أسئلة فرعية: ما حدود جواز رهن الرقيق، ولاسيما من انعقد له سبب الحرية؟ وما القواعد التي تحكم حيازة الرقيق المرهون ونفقته والانتفاع به والتصرف فيه؟ وما آثار الرهن في حالات الهلاك والنماء والعتق والاستيلاد والوطء والجناية؟ وهل يمكن رد الخلاف المذهبي في هذه المسائل كلها إلى أصول جامعة؟</w:t>
      </w:r>
    </w:p>
    <w:p>
      <w:pPr>
        <w:bidi/>
        <w:spacing w:after="120" w:line="340"/>
        <w:jc w:val="both"/>
      </w:pPr>
      <w:r>
        <w:rPr>
          <w:rFonts w:ascii="Times New Roman" w:cs="Traditional Arabic" w:hAnsi="Times New Roman"/>
          <w:b/>
          <w:bCs/>
          <w:sz w:val="28"/>
          <w:szCs w:val="28"/>
          <w:rtl/>
        </w:rPr>
        <w:t xml:space="preserve">منهج البحث:</w:t>
      </w:r>
      <w:r>
        <w:rPr>
          <w:rFonts w:ascii="Times New Roman" w:cs="Traditional Arabic" w:hAnsi="Times New Roman"/>
          <w:sz w:val="28"/>
          <w:szCs w:val="28"/>
          <w:rtl/>
        </w:rPr>
        <w:t xml:space="preserve"> يعتمد المقال </w:t>
      </w:r>
      <w:r>
        <w:rPr>
          <w:rFonts w:ascii="Times New Roman" w:cs="Traditional Arabic" w:hAnsi="Times New Roman"/>
          <w:b/>
          <w:bCs/>
          <w:sz w:val="28"/>
          <w:szCs w:val="28"/>
          <w:rtl/>
        </w:rPr>
        <w:t xml:space="preserve">المنهج الاستقرائي</w:t>
      </w:r>
      <w:r>
        <w:rPr>
          <w:rFonts w:ascii="Times New Roman" w:cs="Traditional Arabic" w:hAnsi="Times New Roman"/>
          <w:sz w:val="28"/>
          <w:szCs w:val="28"/>
          <w:rtl/>
        </w:rPr>
        <w:t xml:space="preserve"> في تتبع أقوال المذاهب في مصادرها المعتمدة، و</w:t>
      </w:r>
      <w:r>
        <w:rPr>
          <w:rFonts w:ascii="Times New Roman" w:cs="Traditional Arabic" w:hAnsi="Times New Roman"/>
          <w:b/>
          <w:bCs/>
          <w:sz w:val="28"/>
          <w:szCs w:val="28"/>
          <w:rtl/>
        </w:rPr>
        <w:t xml:space="preserve">المنهج التحليلي</w:t>
      </w:r>
      <w:r>
        <w:rPr>
          <w:rFonts w:ascii="Times New Roman" w:cs="Traditional Arabic" w:hAnsi="Times New Roman"/>
          <w:sz w:val="28"/>
          <w:szCs w:val="28"/>
          <w:rtl/>
        </w:rPr>
        <w:t xml:space="preserve"> في تفكيك هذه الأقوال واستخراج عللها، و</w:t>
      </w:r>
      <w:r>
        <w:rPr>
          <w:rFonts w:ascii="Times New Roman" w:cs="Traditional Arabic" w:hAnsi="Times New Roman"/>
          <w:b/>
          <w:bCs/>
          <w:sz w:val="28"/>
          <w:szCs w:val="28"/>
          <w:rtl/>
        </w:rPr>
        <w:t xml:space="preserve">المنهج المقارن</w:t>
      </w:r>
      <w:r>
        <w:rPr>
          <w:rFonts w:ascii="Times New Roman" w:cs="Traditional Arabic" w:hAnsi="Times New Roman"/>
          <w:sz w:val="28"/>
          <w:szCs w:val="28"/>
          <w:rtl/>
        </w:rPr>
        <w:t xml:space="preserve"> في الموازنة بين المذاهب الحنفية والمالكية والشافعية والحنبلية، مع الإشارة إلى قول الإمامية حيث تتوفر نصوصهم. وقد اعتمد البحث على أمهات الكتب، كالمغني لابن قدامة، وبداية المجتهد لابن رشد، والاختيار لتعليل المختار للموصلي، وروضة الطالبين للنووي، والشرح الكبير للدردير مع حاشية الدسوقي، وتذكرة الفقهاء للعلامة الحلي.</w:t>
      </w:r>
    </w:p>
    <w:p>
      <w:pPr>
        <w:bidi/>
        <w:spacing w:after="120" w:line="340"/>
        <w:jc w:val="both"/>
      </w:pPr>
      <w:r>
        <w:rPr>
          <w:rFonts w:ascii="Times New Roman" w:cs="Traditional Arabic" w:hAnsi="Times New Roman"/>
          <w:b/>
          <w:bCs/>
          <w:sz w:val="28"/>
          <w:szCs w:val="28"/>
          <w:rtl/>
        </w:rPr>
        <w:t xml:space="preserve">خطة البحث:</w:t>
      </w:r>
      <w:r>
        <w:rPr>
          <w:rFonts w:ascii="Times New Roman" w:cs="Traditional Arabic" w:hAnsi="Times New Roman"/>
          <w:sz w:val="28"/>
          <w:szCs w:val="28"/>
          <w:rtl/>
        </w:rPr>
        <w:t xml:space="preserve"> ينتظم المقال في أربعة مباحث: يتناول </w:t>
      </w:r>
      <w:r>
        <w:rPr>
          <w:rFonts w:ascii="Times New Roman" w:cs="Traditional Arabic" w:hAnsi="Times New Roman"/>
          <w:b/>
          <w:bCs/>
          <w:sz w:val="28"/>
          <w:szCs w:val="28"/>
          <w:rtl/>
        </w:rPr>
        <w:t xml:space="preserve">الأول</w:t>
      </w:r>
      <w:r>
        <w:rPr>
          <w:rFonts w:ascii="Times New Roman" w:cs="Traditional Arabic" w:hAnsi="Times New Roman"/>
          <w:sz w:val="28"/>
          <w:szCs w:val="28"/>
          <w:rtl/>
        </w:rPr>
        <w:t xml:space="preserve"> محل الرهن من الرقيق وحدود جوازه، ويعالج </w:t>
      </w:r>
      <w:r>
        <w:rPr>
          <w:rFonts w:ascii="Times New Roman" w:cs="Traditional Arabic" w:hAnsi="Times New Roman"/>
          <w:b/>
          <w:bCs/>
          <w:sz w:val="28"/>
          <w:szCs w:val="28"/>
          <w:rtl/>
        </w:rPr>
        <w:t xml:space="preserve">الثاني</w:t>
      </w:r>
      <w:r>
        <w:rPr>
          <w:rFonts w:ascii="Times New Roman" w:cs="Traditional Arabic" w:hAnsi="Times New Roman"/>
          <w:sz w:val="28"/>
          <w:szCs w:val="28"/>
          <w:rtl/>
        </w:rPr>
        <w:t xml:space="preserve"> النظام القانوني لرهن الرقيق أثناء قيام الرهن، ويبحث </w:t>
      </w:r>
      <w:r>
        <w:rPr>
          <w:rFonts w:ascii="Times New Roman" w:cs="Traditional Arabic" w:hAnsi="Times New Roman"/>
          <w:b/>
          <w:bCs/>
          <w:sz w:val="28"/>
          <w:szCs w:val="28"/>
          <w:rtl/>
        </w:rPr>
        <w:t xml:space="preserve">الثالث</w:t>
      </w:r>
      <w:r>
        <w:rPr>
          <w:rFonts w:ascii="Times New Roman" w:cs="Traditional Arabic" w:hAnsi="Times New Roman"/>
          <w:sz w:val="28"/>
          <w:szCs w:val="28"/>
          <w:rtl/>
        </w:rPr>
        <w:t xml:space="preserve"> في آثاره وإشكالاته الكبرى، ويقدم </w:t>
      </w:r>
      <w:r>
        <w:rPr>
          <w:rFonts w:ascii="Times New Roman" w:cs="Traditional Arabic" w:hAnsi="Times New Roman"/>
          <w:b/>
          <w:bCs/>
          <w:sz w:val="28"/>
          <w:szCs w:val="28"/>
          <w:rtl/>
        </w:rPr>
        <w:t xml:space="preserve">الرابع</w:t>
      </w:r>
      <w:r>
        <w:rPr>
          <w:rFonts w:ascii="Times New Roman" w:cs="Traditional Arabic" w:hAnsi="Times New Roman"/>
          <w:sz w:val="28"/>
          <w:szCs w:val="28"/>
          <w:rtl/>
        </w:rPr>
        <w:t xml:space="preserve"> قراءة تحليلية في أسس الخلاف المذهبي وتقويم اتساق كل نظام، ثم تأتي الخاتمة بالنتائج والآفاق.</w:t>
      </w:r>
    </w:p>
    <w:p>
      <w:r>
        <w:br w:type="page"/>
      </w:r>
    </w:p>
    <w:p>
      <w:pPr>
        <w:pStyle w:val="Heading1"/>
        <w:bidi/>
        <w:spacing w:after="160" w:before="360"/>
        <w:jc w:val="center"/>
      </w:pPr>
      <w:r>
        <w:rPr>
          <w:rFonts w:ascii="Times New Roman" w:cs="Traditional Arabic" w:hAnsi="Times New Roman"/>
          <w:b/>
          <w:bCs/>
          <w:color w:val="1F3864"/>
          <w:sz w:val="34"/>
          <w:szCs w:val="34"/>
          <w:rtl/>
        </w:rPr>
        <w:t xml:space="preserve">المبحث الأول: محل الرهن من الرقيق وحدود جوازه</w:t>
      </w:r>
    </w:p>
    <w:p>
      <w:pPr>
        <w:bidi/>
        <w:spacing w:after="120" w:line="340"/>
        <w:jc w:val="both"/>
      </w:pPr>
      <w:r>
        <w:rPr>
          <w:rFonts w:ascii="Times New Roman" w:cs="Traditional Arabic" w:hAnsi="Times New Roman"/>
          <w:sz w:val="28"/>
          <w:szCs w:val="28"/>
          <w:rtl/>
        </w:rPr>
        <w:t xml:space="preserve">يتحدد محل الرهن في الفقه الإسلامي بالمال الذي يمكن أن يتحقق به مقصود العقد، وهو الاستيثاق بالدين واستيفاؤه من الثمن عند الحاجة. ومن ثم كان السؤال الأول في رهن الرقيق: أي الرقيق يصلح محلًا للرهن؟ ونعالج هذا السؤال من خلال الأصل العام، ثم الرقيق الذي انعقد له سبب الحرية، ثم القيود المتعلقة بشخص المرتهن.</w:t>
      </w:r>
    </w:p>
    <w:p>
      <w:pPr>
        <w:pStyle w:val="Heading2"/>
        <w:bidi/>
        <w:spacing w:after="160" w:before="240"/>
        <w:jc w:val="right"/>
      </w:pPr>
      <w:r>
        <w:rPr>
          <w:rFonts w:ascii="Times New Roman" w:cs="Traditional Arabic" w:hAnsi="Times New Roman"/>
          <w:b/>
          <w:bCs/>
          <w:color w:val="2E5496"/>
          <w:sz w:val="30"/>
          <w:szCs w:val="30"/>
          <w:rtl/>
        </w:rPr>
        <w:t xml:space="preserve">المطلب الأول: الأصل العام في جواز رهن الرقيق ومناطه</w:t>
      </w:r>
    </w:p>
    <w:p>
      <w:pPr>
        <w:bidi/>
        <w:spacing w:after="120" w:line="340"/>
        <w:jc w:val="both"/>
      </w:pPr>
      <w:r>
        <w:rPr>
          <w:rFonts w:ascii="Times New Roman" w:cs="Traditional Arabic" w:hAnsi="Times New Roman"/>
          <w:sz w:val="28"/>
          <w:szCs w:val="28"/>
          <w:rtl/>
        </w:rPr>
        <w:t xml:space="preserve">ثبتت مشروعية الرهن بالكتاب والسنة والإجماع. فمن الكتاب قوله تعالى: ﴿وَإِن كُنتُمْ عَلَىٰ سَفَرٍ وَلَمْ تَجِدُوا كَاتِبًا فَرِهَانٌ مَّقْبُوضَةٌ﴾ [البقرة: 283]، ومن السنة أن النبي ﷺ توفي ودرعه مرهونة عند يهودي بطعام (صحيح البخاري، كتاب الرهن)، وانعقد الإجماع على جوازه في الجملة سفرًا وحضرًا (موسوعة الإجماع في الفقه الإسلامي، ج4).</w:t>
      </w:r>
    </w:p>
    <w:p>
      <w:pPr>
        <w:bidi/>
        <w:spacing w:after="120" w:line="340"/>
        <w:jc w:val="both"/>
      </w:pPr>
      <w:r>
        <w:rPr>
          <w:rFonts w:ascii="Times New Roman" w:cs="Traditional Arabic" w:hAnsi="Times New Roman"/>
          <w:sz w:val="28"/>
          <w:szCs w:val="28"/>
          <w:rtl/>
        </w:rPr>
        <w:t xml:space="preserve">وعلى هذا الأصل اتفقت المذاهب على </w:t>
      </w:r>
      <w:r>
        <w:rPr>
          <w:rFonts w:ascii="Times New Roman" w:cs="Traditional Arabic" w:hAnsi="Times New Roman"/>
          <w:b/>
          <w:bCs/>
          <w:sz w:val="28"/>
          <w:szCs w:val="28"/>
          <w:rtl/>
        </w:rPr>
        <w:t xml:space="preserve">جواز رهن العبد والأمة القِنّ</w:t>
      </w:r>
      <w:r>
        <w:rPr>
          <w:rFonts w:ascii="Times New Roman" w:cs="Traditional Arabic" w:hAnsi="Times New Roman"/>
          <w:sz w:val="28"/>
          <w:szCs w:val="28"/>
          <w:rtl/>
        </w:rPr>
        <w:t xml:space="preserve">، أي الرقيق الخالص الذي لم يثبت له سبب من أسباب العتق. ومناط هذا الحكم قاعدة مشتركة بين المذاهب: </w:t>
      </w:r>
      <w:r>
        <w:rPr>
          <w:rFonts w:ascii="Times New Roman" w:cs="Traditional Arabic" w:hAnsi="Times New Roman"/>
          <w:b/>
          <w:bCs/>
          <w:sz w:val="28"/>
          <w:szCs w:val="28"/>
          <w:rtl/>
        </w:rPr>
        <w:t xml:space="preserve">«ما جاز بيعه جاز رهنه»</w:t>
      </w:r>
      <w:r>
        <w:rPr>
          <w:rFonts w:ascii="Times New Roman" w:cs="Traditional Arabic" w:hAnsi="Times New Roman"/>
          <w:sz w:val="28"/>
          <w:szCs w:val="28"/>
          <w:rtl/>
        </w:rPr>
        <w:t xml:space="preserve">. فقد جعل ابن قدامة من شروط الرهن أن يكون مما يجوز بيعه، وقرر صحة رهن العبد (ابن قدامة، المغني، كتاب الرهن)، وقرر المالكية أن كل ما يصح بيعه يصح رهنه ومنه الحيوان المنقول (الدردير، الشرح الكبير).</w:t>
      </w:r>
    </w:p>
    <w:p>
      <w:pPr>
        <w:bidi/>
        <w:spacing w:after="120" w:line="340"/>
        <w:jc w:val="both"/>
      </w:pPr>
      <w:r>
        <w:rPr>
          <w:rFonts w:ascii="Times New Roman" w:cs="Traditional Arabic" w:hAnsi="Times New Roman"/>
          <w:b/>
          <w:bCs/>
          <w:sz w:val="28"/>
          <w:szCs w:val="28"/>
          <w:rtl/>
        </w:rPr>
        <w:t xml:space="preserve">التحليل:</w:t>
      </w:r>
      <w:r>
        <w:rPr>
          <w:rFonts w:ascii="Times New Roman" w:cs="Traditional Arabic" w:hAnsi="Times New Roman"/>
          <w:sz w:val="28"/>
          <w:szCs w:val="28"/>
          <w:rtl/>
        </w:rPr>
        <w:t xml:space="preserve"> تكشف هذه القاعدة عن تصور وظيفي للرهن، إذ لا يُنظر إلى المرهون من حيث ذاته، بل من حيث قابليته لأن يتحول إلى ثمن يستوفى منه الدين. ومن ثم فإن معيار صحة رهن الرقيق ليس كونه رقيقًا، بل كونه قابلًا للبيع. ويترتب على هذا التصور نتيجة منهجية مهمة: أن كل ما يمنع بيع الرقيق أو يجعله محل نظر ينعكس مباشرة على رهنه، وهو ما يفسر الخلاف في الرقيق الذي انعقد له سبب الحرية.</w:t>
      </w:r>
    </w:p>
    <w:p>
      <w:pPr>
        <w:pStyle w:val="Heading2"/>
        <w:bidi/>
        <w:spacing w:after="160" w:before="240"/>
        <w:jc w:val="right"/>
      </w:pPr>
      <w:r>
        <w:rPr>
          <w:rFonts w:ascii="Times New Roman" w:cs="Traditional Arabic" w:hAnsi="Times New Roman"/>
          <w:b/>
          <w:bCs/>
          <w:color w:val="2E5496"/>
          <w:sz w:val="30"/>
          <w:szCs w:val="30"/>
          <w:rtl/>
        </w:rPr>
        <w:t xml:space="preserve">المطلب الثاني: الرقيق الذي انعقد له سبب الحرية</w:t>
      </w:r>
    </w:p>
    <w:p>
      <w:pPr>
        <w:bidi/>
        <w:spacing w:after="120" w:line="340"/>
        <w:jc w:val="both"/>
      </w:pPr>
      <w:r>
        <w:rPr>
          <w:rFonts w:ascii="Times New Roman" w:cs="Traditional Arabic" w:hAnsi="Times New Roman"/>
          <w:sz w:val="28"/>
          <w:szCs w:val="28"/>
          <w:rtl/>
        </w:rPr>
        <w:t xml:space="preserve">عرف الفقه الإسلامي أسبابًا يثبت بها للرقيق حق في الحرية قبل تمامها، أبرزها: </w:t>
      </w:r>
      <w:r>
        <w:rPr>
          <w:rFonts w:ascii="Times New Roman" w:cs="Traditional Arabic" w:hAnsi="Times New Roman"/>
          <w:b/>
          <w:bCs/>
          <w:sz w:val="28"/>
          <w:szCs w:val="28"/>
          <w:rtl/>
        </w:rPr>
        <w:t xml:space="preserve">الاستيلاد</w:t>
      </w:r>
      <w:r>
        <w:rPr>
          <w:rFonts w:ascii="Times New Roman" w:cs="Traditional Arabic" w:hAnsi="Times New Roman"/>
          <w:sz w:val="28"/>
          <w:szCs w:val="28"/>
          <w:rtl/>
        </w:rPr>
        <w:t xml:space="preserve"> الذي يجعل الأمة أم ولد، و</w:t>
      </w:r>
      <w:r>
        <w:rPr>
          <w:rFonts w:ascii="Times New Roman" w:cs="Traditional Arabic" w:hAnsi="Times New Roman"/>
          <w:b/>
          <w:bCs/>
          <w:sz w:val="28"/>
          <w:szCs w:val="28"/>
          <w:rtl/>
        </w:rPr>
        <w:t xml:space="preserve">التدبير</w:t>
      </w:r>
      <w:r>
        <w:rPr>
          <w:rFonts w:ascii="Times New Roman" w:cs="Traditional Arabic" w:hAnsi="Times New Roman"/>
          <w:sz w:val="28"/>
          <w:szCs w:val="28"/>
          <w:rtl/>
        </w:rPr>
        <w:t xml:space="preserve"> الذي يعلّق العتق على موت السيد، و</w:t>
      </w:r>
      <w:r>
        <w:rPr>
          <w:rFonts w:ascii="Times New Roman" w:cs="Traditional Arabic" w:hAnsi="Times New Roman"/>
          <w:b/>
          <w:bCs/>
          <w:sz w:val="28"/>
          <w:szCs w:val="28"/>
          <w:rtl/>
        </w:rPr>
        <w:t xml:space="preserve">الكتابة</w:t>
      </w:r>
      <w:r>
        <w:rPr>
          <w:rFonts w:ascii="Times New Roman" w:cs="Traditional Arabic" w:hAnsi="Times New Roman"/>
          <w:sz w:val="28"/>
          <w:szCs w:val="28"/>
          <w:rtl/>
        </w:rPr>
        <w:t xml:space="preserve"> التي يشتري بها العبد نفسه بأقساط، و</w:t>
      </w:r>
      <w:r>
        <w:rPr>
          <w:rFonts w:ascii="Times New Roman" w:cs="Traditional Arabic" w:hAnsi="Times New Roman"/>
          <w:b/>
          <w:bCs/>
          <w:sz w:val="28"/>
          <w:szCs w:val="28"/>
          <w:rtl/>
        </w:rPr>
        <w:t xml:space="preserve">التعليق</w:t>
      </w:r>
      <w:r>
        <w:rPr>
          <w:rFonts w:ascii="Times New Roman" w:cs="Traditional Arabic" w:hAnsi="Times New Roman"/>
          <w:sz w:val="28"/>
          <w:szCs w:val="28"/>
          <w:rtl/>
        </w:rPr>
        <w:t xml:space="preserve"> الذي يربط العتق بصفة. وقد اختلفت المذاهب في رهن هؤلاء بحسب موقفها من جواز بيعهم.</w:t>
      </w:r>
    </w:p>
    <w:p>
      <w:pPr>
        <w:bidi/>
        <w:spacing w:after="120" w:line="340"/>
        <w:jc w:val="both"/>
      </w:pPr>
      <w:r>
        <w:rPr>
          <w:rFonts w:ascii="Times New Roman" w:cs="Traditional Arabic" w:hAnsi="Times New Roman"/>
          <w:b/>
          <w:bCs/>
          <w:sz w:val="28"/>
          <w:szCs w:val="28"/>
          <w:rtl/>
        </w:rPr>
        <w:t xml:space="preserve">أولًا: أم الولد.</w:t>
      </w:r>
      <w:r>
        <w:rPr>
          <w:rFonts w:ascii="Times New Roman" w:cs="Traditional Arabic" w:hAnsi="Times New Roman"/>
          <w:sz w:val="28"/>
          <w:szCs w:val="28"/>
          <w:rtl/>
        </w:rPr>
        <w:t xml:space="preserve"> اتفقت المذاهب الأربعة على </w:t>
      </w:r>
      <w:r>
        <w:rPr>
          <w:rFonts w:ascii="Times New Roman" w:cs="Traditional Arabic" w:hAnsi="Times New Roman"/>
          <w:b/>
          <w:bCs/>
          <w:sz w:val="28"/>
          <w:szCs w:val="28"/>
          <w:rtl/>
        </w:rPr>
        <w:t xml:space="preserve">عدم صحة رهنها</w:t>
      </w:r>
      <w:r>
        <w:rPr>
          <w:rFonts w:ascii="Times New Roman" w:cs="Traditional Arabic" w:hAnsi="Times New Roman"/>
          <w:sz w:val="28"/>
          <w:szCs w:val="28"/>
          <w:rtl/>
        </w:rPr>
        <w:t xml:space="preserve">، لأنها لا تُباع عند الجمهور. فعند المالكية لا يجوز لسيدها بيعها ولا هبتها ولا إخراجها عن ملكه، وتعتق بموته (ابن عبد البر، الكافي في فقه أهل المدينة)، وعند الشافعية ما لا يجوز بيعه كأم الولد لا يجوز رهنه (الرافعي، فتح العزيز)، وعند الحنابلة تُستثنى من التصرفات الناقلة للملك في رقبتها (المرداوي، الإنصاف).</w:t>
      </w:r>
    </w:p>
    <w:p>
      <w:pPr>
        <w:bidi/>
        <w:spacing w:after="120" w:line="340"/>
        <w:jc w:val="both"/>
      </w:pPr>
      <w:r>
        <w:rPr>
          <w:rFonts w:ascii="Times New Roman" w:cs="Traditional Arabic" w:hAnsi="Times New Roman"/>
          <w:b/>
          <w:bCs/>
          <w:sz w:val="28"/>
          <w:szCs w:val="28"/>
          <w:rtl/>
        </w:rPr>
        <w:t xml:space="preserve">ثانيًا: المدبَّر.</w:t>
      </w:r>
      <w:r>
        <w:rPr>
          <w:rFonts w:ascii="Times New Roman" w:cs="Traditional Arabic" w:hAnsi="Times New Roman"/>
          <w:sz w:val="28"/>
          <w:szCs w:val="28"/>
          <w:rtl/>
        </w:rPr>
        <w:t xml:space="preserve"> هنا يظهر الخلاف بوضوح. فذهب الحنابلة في ظاهر المذهب إلى </w:t>
      </w:r>
      <w:r>
        <w:rPr>
          <w:rFonts w:ascii="Times New Roman" w:cs="Traditional Arabic" w:hAnsi="Times New Roman"/>
          <w:b/>
          <w:bCs/>
          <w:sz w:val="28"/>
          <w:szCs w:val="28"/>
          <w:rtl/>
        </w:rPr>
        <w:t xml:space="preserve">صحة رهنه</w:t>
      </w:r>
      <w:r>
        <w:rPr>
          <w:rFonts w:ascii="Times New Roman" w:cs="Traditional Arabic" w:hAnsi="Times New Roman"/>
          <w:sz w:val="28"/>
          <w:szCs w:val="28"/>
          <w:rtl/>
        </w:rPr>
        <w:t xml:space="preserve">، لأن التدبير عندهم وصية بالعتق تنفذ من الثلث، والدين مقدَّم على الوصية، فإن استغرق الدين التركة بيع المدبَّر كله، وإلا بيع منه بقدر الدين وعتق ثلث الباقي (ابن قدامة، المغني). ونقل ابن قدامة منع رهنه عن أبي حنيفة والشافعي، ونص الرافعي على أن المنصوص عن الشافعي بطلانه مع وجه بالصحة (الرافعي، فتح العزيز). أما مذهب المالكية فلم يتسن التحقق من نصه في المدونة أو مختصر خليل وشروحه.</w:t>
      </w:r>
    </w:p>
    <w:p>
      <w:pPr>
        <w:bidi/>
        <w:spacing w:after="120" w:line="340"/>
        <w:jc w:val="both"/>
      </w:pPr>
      <w:r>
        <w:rPr>
          <w:rFonts w:ascii="Times New Roman" w:cs="Traditional Arabic" w:hAnsi="Times New Roman"/>
          <w:b/>
          <w:bCs/>
          <w:sz w:val="28"/>
          <w:szCs w:val="28"/>
          <w:rtl/>
        </w:rPr>
        <w:t xml:space="preserve">ثالثًا: المكاتَب.</w:t>
      </w:r>
      <w:r>
        <w:rPr>
          <w:rFonts w:ascii="Times New Roman" w:cs="Traditional Arabic" w:hAnsi="Times New Roman"/>
          <w:sz w:val="28"/>
          <w:szCs w:val="28"/>
          <w:rtl/>
        </w:rPr>
        <w:t xml:space="preserve"> الصحيح في مذهب الحنابلة </w:t>
      </w:r>
      <w:r>
        <w:rPr>
          <w:rFonts w:ascii="Times New Roman" w:cs="Traditional Arabic" w:hAnsi="Times New Roman"/>
          <w:b/>
          <w:bCs/>
          <w:sz w:val="28"/>
          <w:szCs w:val="28"/>
          <w:rtl/>
        </w:rPr>
        <w:t xml:space="preserve">عدم صحة رهنه</w:t>
      </w:r>
      <w:r>
        <w:rPr>
          <w:rFonts w:ascii="Times New Roman" w:cs="Traditional Arabic" w:hAnsi="Times New Roman"/>
          <w:sz w:val="28"/>
          <w:szCs w:val="28"/>
          <w:rtl/>
        </w:rPr>
        <w:t xml:space="preserve">، وهو قول الشافعي، وذكر القاضي أن قياس المذهب الصحة، ونسب ابن قدامة القول بالصحة إلى الإمام مالك (ابن قدامة، المغني).</w:t>
      </w:r>
    </w:p>
    <w:p>
      <w:pPr>
        <w:bidi/>
        <w:spacing w:after="120" w:line="340"/>
        <w:jc w:val="both"/>
      </w:pPr>
      <w:r>
        <w:rPr>
          <w:rFonts w:ascii="Times New Roman" w:cs="Traditional Arabic" w:hAnsi="Times New Roman"/>
          <w:b/>
          <w:bCs/>
          <w:sz w:val="28"/>
          <w:szCs w:val="28"/>
          <w:rtl/>
        </w:rPr>
        <w:t xml:space="preserve">رابعًا: المعلَّق عتقه على صفة.</w:t>
      </w:r>
      <w:r>
        <w:rPr>
          <w:rFonts w:ascii="Times New Roman" w:cs="Traditional Arabic" w:hAnsi="Times New Roman"/>
          <w:sz w:val="28"/>
          <w:szCs w:val="28"/>
          <w:rtl/>
        </w:rPr>
        <w:t xml:space="preserve"> فصّل الحنابلة: إن كانت الصفة تحل بعد حلول الدين صح الرهن، وإن كانت تحل قبله لم يصح، وإن احتملت الأمرين فقياس المذهب الصحة، وهو قول أبي حنيفة، ويحتمل عدمها (ابن قدامة، المغني).</w:t>
      </w:r>
    </w:p>
    <w:p>
      <w:pPr>
        <w:bidi/>
        <w:spacing w:after="120" w:line="340"/>
        <w:jc w:val="both"/>
      </w:pPr>
      <w:r>
        <w:rPr>
          <w:rFonts w:ascii="Times New Roman" w:cs="Traditional Arabic" w:hAnsi="Times New Roman"/>
          <w:b/>
          <w:bCs/>
          <w:sz w:val="28"/>
          <w:szCs w:val="28"/>
          <w:rtl/>
        </w:rPr>
        <w:t xml:space="preserve">التحليل والإشكالية:</w:t>
      </w:r>
      <w:r>
        <w:rPr>
          <w:rFonts w:ascii="Times New Roman" w:cs="Traditional Arabic" w:hAnsi="Times New Roman"/>
          <w:sz w:val="28"/>
          <w:szCs w:val="28"/>
          <w:rtl/>
        </w:rPr>
        <w:t xml:space="preserve"> يكشف هذا الخلاف عن تعارض بين حقين: </w:t>
      </w:r>
      <w:r>
        <w:rPr>
          <w:rFonts w:ascii="Times New Roman" w:cs="Traditional Arabic" w:hAnsi="Times New Roman"/>
          <w:b/>
          <w:bCs/>
          <w:sz w:val="28"/>
          <w:szCs w:val="28"/>
          <w:rtl/>
        </w:rPr>
        <w:t xml:space="preserve">حق الدائن في التوثيق</w:t>
      </w:r>
      <w:r>
        <w:rPr>
          <w:rFonts w:ascii="Times New Roman" w:cs="Traditional Arabic" w:hAnsi="Times New Roman"/>
          <w:sz w:val="28"/>
          <w:szCs w:val="28"/>
          <w:rtl/>
        </w:rPr>
        <w:t xml:space="preserve"> الذي يقتضي إمكان بيع المرهون، و</w:t>
      </w:r>
      <w:r>
        <w:rPr>
          <w:rFonts w:ascii="Times New Roman" w:cs="Traditional Arabic" w:hAnsi="Times New Roman"/>
          <w:b/>
          <w:bCs/>
          <w:sz w:val="28"/>
          <w:szCs w:val="28"/>
          <w:rtl/>
        </w:rPr>
        <w:t xml:space="preserve">حق الرقيق في الحرية</w:t>
      </w:r>
      <w:r>
        <w:rPr>
          <w:rFonts w:ascii="Times New Roman" w:cs="Traditional Arabic" w:hAnsi="Times New Roman"/>
          <w:sz w:val="28"/>
          <w:szCs w:val="28"/>
          <w:rtl/>
        </w:rPr>
        <w:t xml:space="preserve"> الذي انعقد سببه. ويمكن رد المواقف المذهبية إلى منهجين. الأول </w:t>
      </w:r>
      <w:r>
        <w:rPr>
          <w:rFonts w:ascii="Times New Roman" w:cs="Traditional Arabic" w:hAnsi="Times New Roman"/>
          <w:b/>
          <w:bCs/>
          <w:sz w:val="28"/>
          <w:szCs w:val="28"/>
          <w:rtl/>
        </w:rPr>
        <w:t xml:space="preserve">منهج المنع الوقائي</w:t>
      </w:r>
      <w:r>
        <w:rPr>
          <w:rFonts w:ascii="Times New Roman" w:cs="Traditional Arabic" w:hAnsi="Times New Roman"/>
          <w:sz w:val="28"/>
          <w:szCs w:val="28"/>
          <w:rtl/>
        </w:rPr>
        <w:t xml:space="preserve">، الذي يرى أن رهن من انعقد له سبب الحرية يعرّض هذا الحق للإبطال، أو يفقد الرهن مقصوده إذا قُدّم حق الحرية، فيمنع الرهن ابتداءً، وهو منهج أبي حنيفة والشافعي في المدبَّر. والثاني </w:t>
      </w:r>
      <w:r>
        <w:rPr>
          <w:rFonts w:ascii="Times New Roman" w:cs="Traditional Arabic" w:hAnsi="Times New Roman"/>
          <w:b/>
          <w:bCs/>
          <w:sz w:val="28"/>
          <w:szCs w:val="28"/>
          <w:rtl/>
        </w:rPr>
        <w:t xml:space="preserve">منهج الترتيب بين الحقوق</w:t>
      </w:r>
      <w:r>
        <w:rPr>
          <w:rFonts w:ascii="Times New Roman" w:cs="Traditional Arabic" w:hAnsi="Times New Roman"/>
          <w:sz w:val="28"/>
          <w:szCs w:val="28"/>
          <w:rtl/>
        </w:rPr>
        <w:t xml:space="preserve">، الذي يجيز الرهن ثم يرتب الحقوق عند التزاحم، فيقدم الدين على التدبير لأنه وصية، وهو منهج الحنابلة. أما التفصيل الحنبلي في المعلَّق عتقه على صفة، فيكشف أن </w:t>
      </w:r>
      <w:r>
        <w:rPr>
          <w:rFonts w:ascii="Times New Roman" w:cs="Traditional Arabic" w:hAnsi="Times New Roman"/>
          <w:b/>
          <w:bCs/>
          <w:sz w:val="28"/>
          <w:szCs w:val="28"/>
          <w:rtl/>
        </w:rPr>
        <w:t xml:space="preserve">المعيار الحاسم</w:t>
      </w:r>
      <w:r>
        <w:rPr>
          <w:rFonts w:ascii="Times New Roman" w:cs="Traditional Arabic" w:hAnsi="Times New Roman"/>
          <w:sz w:val="28"/>
          <w:szCs w:val="28"/>
          <w:rtl/>
        </w:rPr>
        <w:t xml:space="preserve"> عندهم هو مدى إمكان استيفاء الدين من ثمن العبد قبل نفاذ عتقه، وهو معيار عملي يرتبط بوظيفة الرهن لا بطبيعة الرقيق.</w:t>
      </w:r>
    </w:p>
    <w:p>
      <w:pPr>
        <w:pStyle w:val="Heading2"/>
        <w:bidi/>
        <w:spacing w:after="160" w:before="240"/>
        <w:jc w:val="right"/>
      </w:pPr>
      <w:r>
        <w:rPr>
          <w:rFonts w:ascii="Times New Roman" w:cs="Traditional Arabic" w:hAnsi="Times New Roman"/>
          <w:b/>
          <w:bCs/>
          <w:color w:val="2E5496"/>
          <w:sz w:val="30"/>
          <w:szCs w:val="30"/>
          <w:rtl/>
        </w:rPr>
        <w:t xml:space="preserve">المطلب الثالث: القيود المتعلقة بشخص المرتهن</w:t>
      </w:r>
    </w:p>
    <w:p>
      <w:pPr>
        <w:bidi/>
        <w:spacing w:after="120" w:line="340"/>
        <w:jc w:val="both"/>
      </w:pPr>
      <w:r>
        <w:rPr>
          <w:rFonts w:ascii="Times New Roman" w:cs="Traditional Arabic" w:hAnsi="Times New Roman"/>
          <w:sz w:val="28"/>
          <w:szCs w:val="28"/>
          <w:rtl/>
        </w:rPr>
        <w:t xml:space="preserve">لا يتعلق محل الرهن بالمرهون فحسب، بل قد يتأثر بصفة المرتهن. ومن أبرز صور ذلك </w:t>
      </w:r>
      <w:r>
        <w:rPr>
          <w:rFonts w:ascii="Times New Roman" w:cs="Traditional Arabic" w:hAnsi="Times New Roman"/>
          <w:b/>
          <w:bCs/>
          <w:sz w:val="28"/>
          <w:szCs w:val="28"/>
          <w:rtl/>
        </w:rPr>
        <w:t xml:space="preserve">رهن العبد المسلم عند دائن غير مسلم</w:t>
      </w:r>
      <w:r>
        <w:rPr>
          <w:rFonts w:ascii="Times New Roman" w:cs="Traditional Arabic" w:hAnsi="Times New Roman"/>
          <w:sz w:val="28"/>
          <w:szCs w:val="28"/>
          <w:rtl/>
        </w:rPr>
        <w:t xml:space="preserve">، وهي مسألة تتصل بأصل عام يمنع ثبوت سلطان غير المسلم على المسلم، استنادًا إلى قوله تعالى: ﴿وَلَن يَجْعَلَ اللَّهُ لِلْكَافِرِينَ عَلَى الْمُؤْمِنِينَ سَبِيلًا﴾.</w:t>
      </w:r>
    </w:p>
    <w:p>
      <w:pPr>
        <w:bidi/>
        <w:spacing w:after="120" w:line="340"/>
        <w:jc w:val="both"/>
      </w:pPr>
      <w:r>
        <w:rPr>
          <w:rFonts w:ascii="Times New Roman" w:cs="Traditional Arabic" w:hAnsi="Times New Roman"/>
          <w:sz w:val="28"/>
          <w:szCs w:val="28"/>
          <w:rtl/>
        </w:rPr>
        <w:t xml:space="preserve">ففي مذهب الحنابلة قولان: قال القاضي إن الرهن </w:t>
      </w:r>
      <w:r>
        <w:rPr>
          <w:rFonts w:ascii="Times New Roman" w:cs="Traditional Arabic" w:hAnsi="Times New Roman"/>
          <w:b/>
          <w:bCs/>
          <w:sz w:val="28"/>
          <w:szCs w:val="28"/>
          <w:rtl/>
        </w:rPr>
        <w:t xml:space="preserve">لا يصح</w:t>
      </w:r>
      <w:r>
        <w:rPr>
          <w:rFonts w:ascii="Times New Roman" w:cs="Traditional Arabic" w:hAnsi="Times New Roman"/>
          <w:sz w:val="28"/>
          <w:szCs w:val="28"/>
          <w:rtl/>
        </w:rPr>
        <w:t xml:space="preserve">، لأنه يثبت للمرتهن يدًا على العبد وسلطانًا عليه بالحبس والبيع، واختار أبو الخطاب </w:t>
      </w:r>
      <w:r>
        <w:rPr>
          <w:rFonts w:ascii="Times New Roman" w:cs="Traditional Arabic" w:hAnsi="Times New Roman"/>
          <w:b/>
          <w:bCs/>
          <w:sz w:val="28"/>
          <w:szCs w:val="28"/>
          <w:rtl/>
        </w:rPr>
        <w:t xml:space="preserve">الصحة إذا اشترطا وضعه على يد مسلم عدل</w:t>
      </w:r>
      <w:r>
        <w:rPr>
          <w:rFonts w:ascii="Times New Roman" w:cs="Traditional Arabic" w:hAnsi="Times New Roman"/>
          <w:sz w:val="28"/>
          <w:szCs w:val="28"/>
          <w:rtl/>
        </w:rPr>
        <w:t xml:space="preserve">، ورجّحه ابن قدامة (ابن قدامة، المغني). ويقترب مذهب الشافعية من ذلك، إذ يمنعون إثبات يد المرتهن الكافر على العبد المسلم كما يمنعونها على المصحف، فيوضع عند عدل مسلم (الرافعي، فتح العزيز؛ العمراني، البيان).</w:t>
      </w:r>
    </w:p>
    <w:p>
      <w:pPr>
        <w:bidi/>
        <w:spacing w:after="120" w:line="340"/>
        <w:jc w:val="both"/>
      </w:pPr>
      <w:r>
        <w:rPr>
          <w:rFonts w:ascii="Times New Roman" w:cs="Traditional Arabic" w:hAnsi="Times New Roman"/>
          <w:b/>
          <w:bCs/>
          <w:sz w:val="28"/>
          <w:szCs w:val="28"/>
          <w:rtl/>
        </w:rPr>
        <w:t xml:space="preserve">التحليل:</w:t>
      </w:r>
      <w:r>
        <w:rPr>
          <w:rFonts w:ascii="Times New Roman" w:cs="Traditional Arabic" w:hAnsi="Times New Roman"/>
          <w:sz w:val="28"/>
          <w:szCs w:val="28"/>
          <w:rtl/>
        </w:rPr>
        <w:t xml:space="preserve"> تبرز هذه المسألة تمييزًا دقيقًا في بنية الرهن الإسلامي بين عنصرين: </w:t>
      </w:r>
      <w:r>
        <w:rPr>
          <w:rFonts w:ascii="Times New Roman" w:cs="Traditional Arabic" w:hAnsi="Times New Roman"/>
          <w:b/>
          <w:bCs/>
          <w:sz w:val="28"/>
          <w:szCs w:val="28"/>
          <w:rtl/>
        </w:rPr>
        <w:t xml:space="preserve">تعلق حق الدائن بمالية المرهون</w:t>
      </w:r>
      <w:r>
        <w:rPr>
          <w:rFonts w:ascii="Times New Roman" w:cs="Traditional Arabic" w:hAnsi="Times New Roman"/>
          <w:sz w:val="28"/>
          <w:szCs w:val="28"/>
          <w:rtl/>
        </w:rPr>
        <w:t xml:space="preserve">، و</w:t>
      </w:r>
      <w:r>
        <w:rPr>
          <w:rFonts w:ascii="Times New Roman" w:cs="Traditional Arabic" w:hAnsi="Times New Roman"/>
          <w:b/>
          <w:bCs/>
          <w:sz w:val="28"/>
          <w:szCs w:val="28"/>
          <w:rtl/>
        </w:rPr>
        <w:t xml:space="preserve">ثبوت يده عليه</w:t>
      </w:r>
      <w:r>
        <w:rPr>
          <w:rFonts w:ascii="Times New Roman" w:cs="Traditional Arabic" w:hAnsi="Times New Roman"/>
          <w:sz w:val="28"/>
          <w:szCs w:val="28"/>
          <w:rtl/>
        </w:rPr>
        <w:t xml:space="preserve">. فالمحذور الشرعي لا يقع على التعلق المالي، بل على اليد والسلطان. ولذلك أمكن تصحيح الرهن بفصل العنصرين، فيتعلق حق الدائن بالثمن، وتكون اليد لعدل مسلم. وهذا الفصل بين المالية واليد سيظهر مجددًا في أحكام حيازة الأمة، مما يدل على أنه قاعدة بنيوية في النظام لا حل عارض.</w:t>
      </w:r>
    </w:p>
    <w:p>
      <w:r>
        <w:br w:type="page"/>
      </w:r>
    </w:p>
    <w:p>
      <w:pPr>
        <w:pStyle w:val="Heading1"/>
        <w:bidi/>
        <w:spacing w:after="160" w:before="360"/>
        <w:jc w:val="center"/>
      </w:pPr>
      <w:r>
        <w:rPr>
          <w:rFonts w:ascii="Times New Roman" w:cs="Traditional Arabic" w:hAnsi="Times New Roman"/>
          <w:b/>
          <w:bCs/>
          <w:color w:val="1F3864"/>
          <w:sz w:val="34"/>
          <w:szCs w:val="34"/>
          <w:rtl/>
        </w:rPr>
        <w:t xml:space="preserve">المبحث الثاني: النظام القانوني لرهن الرقيق أثناء قيام الرهن</w:t>
      </w:r>
    </w:p>
    <w:p>
      <w:pPr>
        <w:bidi/>
        <w:spacing w:after="120" w:line="340"/>
        <w:jc w:val="both"/>
      </w:pPr>
      <w:r>
        <w:rPr>
          <w:rFonts w:ascii="Times New Roman" w:cs="Traditional Arabic" w:hAnsi="Times New Roman"/>
          <w:sz w:val="28"/>
          <w:szCs w:val="28"/>
          <w:rtl/>
        </w:rPr>
        <w:t xml:space="preserve">إذا انعقد الرهن صحيحًا، نشأت بين الراهن والمرتهن والرقيق المرهون علاقة قانونية تمتد طوال مدة الرهن، تنظمها قواعد تتعلق بالحيازة، وبحماية الروابط الأسرية، وبالمؤن والانتفاع، وبتصرفات الراهن، وبالتنفيذ عند حلول الدين.</w:t>
      </w:r>
    </w:p>
    <w:p>
      <w:pPr>
        <w:pStyle w:val="Heading2"/>
        <w:bidi/>
        <w:spacing w:after="160" w:before="240"/>
        <w:jc w:val="right"/>
      </w:pPr>
      <w:r>
        <w:rPr>
          <w:rFonts w:ascii="Times New Roman" w:cs="Traditional Arabic" w:hAnsi="Times New Roman"/>
          <w:b/>
          <w:bCs/>
          <w:color w:val="2E5496"/>
          <w:sz w:val="30"/>
          <w:szCs w:val="30"/>
          <w:rtl/>
        </w:rPr>
        <w:t xml:space="preserve">المطلب الأول: الحيازة وضوابطها الخاصة بالأمة</w:t>
      </w:r>
    </w:p>
    <w:p>
      <w:pPr>
        <w:bidi/>
        <w:spacing w:after="120" w:line="340"/>
        <w:jc w:val="both"/>
      </w:pPr>
      <w:r>
        <w:rPr>
          <w:rFonts w:ascii="Times New Roman" w:cs="Traditional Arabic" w:hAnsi="Times New Roman"/>
          <w:b/>
          <w:bCs/>
          <w:sz w:val="28"/>
          <w:szCs w:val="28"/>
          <w:rtl/>
        </w:rPr>
        <w:t xml:space="preserve">أولًا: القبض واستدامته.</w:t>
      </w:r>
      <w:r>
        <w:rPr>
          <w:rFonts w:ascii="Times New Roman" w:cs="Traditional Arabic" w:hAnsi="Times New Roman"/>
          <w:sz w:val="28"/>
          <w:szCs w:val="28"/>
          <w:rtl/>
        </w:rPr>
        <w:t xml:space="preserve"> القبض ركن في الرهن لقوله تعالى: ﴿فَرِهَانٌ مَّقْبُوضَةٌ﴾، لكن المذاهب اختلفت في طبيعته. فعند </w:t>
      </w:r>
      <w:r>
        <w:rPr>
          <w:rFonts w:ascii="Times New Roman" w:cs="Traditional Arabic" w:hAnsi="Times New Roman"/>
          <w:b/>
          <w:bCs/>
          <w:sz w:val="28"/>
          <w:szCs w:val="28"/>
          <w:rtl/>
        </w:rPr>
        <w:t xml:space="preserve">المالكية</w:t>
      </w:r>
      <w:r>
        <w:rPr>
          <w:rFonts w:ascii="Times New Roman" w:cs="Traditional Arabic" w:hAnsi="Times New Roman"/>
          <w:sz w:val="28"/>
          <w:szCs w:val="28"/>
          <w:rtl/>
        </w:rPr>
        <w:t xml:space="preserve"> القبض شرط تمام، فيلزم الرهن بالعقد ويُجبر الراهن على الإقباض، ويشترطون </w:t>
      </w:r>
      <w:r>
        <w:rPr>
          <w:rFonts w:ascii="Times New Roman" w:cs="Traditional Arabic" w:hAnsi="Times New Roman"/>
          <w:b/>
          <w:bCs/>
          <w:sz w:val="28"/>
          <w:szCs w:val="28"/>
          <w:rtl/>
        </w:rPr>
        <w:t xml:space="preserve">استدامة القبض</w:t>
      </w:r>
      <w:r>
        <w:rPr>
          <w:rFonts w:ascii="Times New Roman" w:cs="Traditional Arabic" w:hAnsi="Times New Roman"/>
          <w:sz w:val="28"/>
          <w:szCs w:val="28"/>
          <w:rtl/>
        </w:rPr>
        <w:t xml:space="preserve">، فإن عاد المرهون إلى الراهن بإذن المرتهن بطل الرهن. وعند </w:t>
      </w:r>
      <w:r>
        <w:rPr>
          <w:rFonts w:ascii="Times New Roman" w:cs="Traditional Arabic" w:hAnsi="Times New Roman"/>
          <w:b/>
          <w:bCs/>
          <w:sz w:val="28"/>
          <w:szCs w:val="28"/>
          <w:rtl/>
        </w:rPr>
        <w:t xml:space="preserve">أبي حنيفة والشافعي والظاهرية</w:t>
      </w:r>
      <w:r>
        <w:rPr>
          <w:rFonts w:ascii="Times New Roman" w:cs="Traditional Arabic" w:hAnsi="Times New Roman"/>
          <w:sz w:val="28"/>
          <w:szCs w:val="28"/>
          <w:rtl/>
        </w:rPr>
        <w:t xml:space="preserve"> القبض شرط صحة، ولا يشترط الشافعية استدامته، فإذا ثبت مرة لم يبطل الرهن بعودة المرهون إلى الراهن بإعارة ونحوها (ابن رشد، بداية المجتهد، كتاب الرهون).</w:t>
      </w:r>
    </w:p>
    <w:p>
      <w:pPr>
        <w:bidi/>
        <w:spacing w:after="120" w:line="340"/>
        <w:jc w:val="both"/>
      </w:pPr>
      <w:r>
        <w:rPr>
          <w:rFonts w:ascii="Times New Roman" w:cs="Traditional Arabic" w:hAnsi="Times New Roman"/>
          <w:sz w:val="28"/>
          <w:szCs w:val="28"/>
          <w:rtl/>
        </w:rPr>
        <w:t xml:space="preserve">ويظهر أثر هذا الخلاف في رهن الرقيق بوضوح خاص، لأن العبد قد يحتاج إليه سيده لخدمته، والأمة قد يرغب في استبقائها عنده. ومن تطبيقاته عند المالكية أن </w:t>
      </w:r>
      <w:r>
        <w:rPr>
          <w:rFonts w:ascii="Times New Roman" w:cs="Traditional Arabic" w:hAnsi="Times New Roman"/>
          <w:b/>
          <w:bCs/>
          <w:sz w:val="28"/>
          <w:szCs w:val="28"/>
          <w:rtl/>
        </w:rPr>
        <w:t xml:space="preserve">إذن المرتهن للراهن في وطء الأمة المرهونة يبطل الرهن</w:t>
      </w:r>
      <w:r>
        <w:rPr>
          <w:rFonts w:ascii="Times New Roman" w:cs="Traditional Arabic" w:hAnsi="Times New Roman"/>
          <w:sz w:val="28"/>
          <w:szCs w:val="28"/>
          <w:rtl/>
        </w:rPr>
        <w:t xml:space="preserve">، لمنافاته لاستدامة الحيازة، وقرر الدسوقي أن الأمة لما كانت من المنقولات فلا بد أن ينضم إلى الإذن فعل الوطء (الدردير، الشرح الكبير مع حاشية الدسوقي).</w:t>
      </w:r>
    </w:p>
    <w:p>
      <w:pPr>
        <w:bidi/>
        <w:spacing w:after="120" w:line="340"/>
        <w:jc w:val="both"/>
      </w:pPr>
      <w:r>
        <w:rPr>
          <w:rFonts w:ascii="Times New Roman" w:cs="Traditional Arabic" w:hAnsi="Times New Roman"/>
          <w:b/>
          <w:bCs/>
          <w:sz w:val="28"/>
          <w:szCs w:val="28"/>
          <w:rtl/>
        </w:rPr>
        <w:t xml:space="preserve">ثانيًا: حيازة الأمة ومنع الخلوة.</w:t>
      </w:r>
      <w:r>
        <w:rPr>
          <w:rFonts w:ascii="Times New Roman" w:cs="Traditional Arabic" w:hAnsi="Times New Roman"/>
          <w:sz w:val="28"/>
          <w:szCs w:val="28"/>
          <w:rtl/>
        </w:rPr>
        <w:t xml:space="preserve"> انفردت الأمة المرهونة بأحكام تتعلق بمكان حفظها، مراعاةً لقوله ﷺ: «لا يخلون رجل بامرأة فإن ثالثهما الشيطان». فعند </w:t>
      </w:r>
      <w:r>
        <w:rPr>
          <w:rFonts w:ascii="Times New Roman" w:cs="Traditional Arabic" w:hAnsi="Times New Roman"/>
          <w:b/>
          <w:bCs/>
          <w:sz w:val="28"/>
          <w:szCs w:val="28"/>
          <w:rtl/>
        </w:rPr>
        <w:t xml:space="preserve">الشافعية</w:t>
      </w:r>
      <w:r>
        <w:rPr>
          <w:rFonts w:ascii="Times New Roman" w:cs="Traditional Arabic" w:hAnsi="Times New Roman"/>
          <w:sz w:val="28"/>
          <w:szCs w:val="28"/>
          <w:rtl/>
        </w:rPr>
        <w:t xml:space="preserve"> إن لم يُشترط مكان وُضعت عند امرأة ثقة، وإن اشترطا وضعها عند المرتهن جاز إن كان محرمًا لها، أو ثقة عنده زوجة أو جارية أو نسوة تأمن معهن، وإلا بطل الشرط ولم يبطل الرهن (العمراني، البيان). وذكر الرافعي أن رهن الجارية الحسناء عند من ليس بعدل مكروه، والأصح صحته إن وقع (الرافعي، فتح العزيز). وعند </w:t>
      </w:r>
      <w:r>
        <w:rPr>
          <w:rFonts w:ascii="Times New Roman" w:cs="Traditional Arabic" w:hAnsi="Times New Roman"/>
          <w:b/>
          <w:bCs/>
          <w:sz w:val="28"/>
          <w:szCs w:val="28"/>
          <w:rtl/>
        </w:rPr>
        <w:t xml:space="preserve">الحنابلة</w:t>
      </w:r>
      <w:r>
        <w:rPr>
          <w:rFonts w:ascii="Times New Roman" w:cs="Traditional Arabic" w:hAnsi="Times New Roman"/>
          <w:sz w:val="28"/>
          <w:szCs w:val="28"/>
          <w:rtl/>
        </w:rPr>
        <w:t xml:space="preserve"> يجوز شرط كونها عند امرأة أو محرم أو المرتهن أو أجنبي بشرط ألا يفضي إلى الخلوة، فإن أفضى إليها فسد الشرط ولم يفسد الرهن، ويضعها الحاكم عند من يجوز أن تكون عنده (ابن قدامة، المغني).</w:t>
      </w:r>
    </w:p>
    <w:p>
      <w:pPr>
        <w:bidi/>
        <w:spacing w:after="120" w:line="340"/>
        <w:jc w:val="both"/>
      </w:pPr>
      <w:r>
        <w:rPr>
          <w:rFonts w:ascii="Times New Roman" w:cs="Traditional Arabic" w:hAnsi="Times New Roman"/>
          <w:b/>
          <w:bCs/>
          <w:sz w:val="28"/>
          <w:szCs w:val="28"/>
          <w:rtl/>
        </w:rPr>
        <w:t xml:space="preserve">التحليل:</w:t>
      </w:r>
      <w:r>
        <w:rPr>
          <w:rFonts w:ascii="Times New Roman" w:cs="Traditional Arabic" w:hAnsi="Times New Roman"/>
          <w:sz w:val="28"/>
          <w:szCs w:val="28"/>
          <w:rtl/>
        </w:rPr>
        <w:t xml:space="preserve"> تكشف أحكام حيازة الأمة عن ثلاثة مبادئ. الأول </w:t>
      </w:r>
      <w:r>
        <w:rPr>
          <w:rFonts w:ascii="Times New Roman" w:cs="Traditional Arabic" w:hAnsi="Times New Roman"/>
          <w:b/>
          <w:bCs/>
          <w:sz w:val="28"/>
          <w:szCs w:val="28"/>
          <w:rtl/>
        </w:rPr>
        <w:t xml:space="preserve">تقديم صيانة الأمة على مصلحة المرتهن</w:t>
      </w:r>
      <w:r>
        <w:rPr>
          <w:rFonts w:ascii="Times New Roman" w:cs="Traditional Arabic" w:hAnsi="Times New Roman"/>
          <w:sz w:val="28"/>
          <w:szCs w:val="28"/>
          <w:rtl/>
        </w:rPr>
        <w:t xml:space="preserve"> في حيازة المرهون بنفسه. والثاني </w:t>
      </w:r>
      <w:r>
        <w:rPr>
          <w:rFonts w:ascii="Times New Roman" w:cs="Traditional Arabic" w:hAnsi="Times New Roman"/>
          <w:b/>
          <w:bCs/>
          <w:sz w:val="28"/>
          <w:szCs w:val="28"/>
          <w:rtl/>
        </w:rPr>
        <w:t xml:space="preserve">استقلال الشرط عن العقد</w:t>
      </w:r>
      <w:r>
        <w:rPr>
          <w:rFonts w:ascii="Times New Roman" w:cs="Traditional Arabic" w:hAnsi="Times New Roman"/>
          <w:sz w:val="28"/>
          <w:szCs w:val="28"/>
          <w:rtl/>
        </w:rPr>
        <w:t xml:space="preserve">، إذ يفسد الشرط المفضي إلى المحرم دون أن يفسد الرهن، فيُحمى حق الدائن مع إبطال ما يخالف الشرع. والثالث </w:t>
      </w:r>
      <w:r>
        <w:rPr>
          <w:rFonts w:ascii="Times New Roman" w:cs="Traditional Arabic" w:hAnsi="Times New Roman"/>
          <w:b/>
          <w:bCs/>
          <w:sz w:val="28"/>
          <w:szCs w:val="28"/>
          <w:rtl/>
        </w:rPr>
        <w:t xml:space="preserve">التدخل القضائي التكميلي</w:t>
      </w:r>
      <w:r>
        <w:rPr>
          <w:rFonts w:ascii="Times New Roman" w:cs="Traditional Arabic" w:hAnsi="Times New Roman"/>
          <w:sz w:val="28"/>
          <w:szCs w:val="28"/>
          <w:rtl/>
        </w:rPr>
        <w:t xml:space="preserve">، إذ يتولى الحاكم تعيين الحافظ عند فساد الشرط. وهذه المبادئ تعيد تأكيد الفصل بين تعلق حق الدائن بالمالية وثبوت اليد على المرهون.</w:t>
      </w:r>
    </w:p>
    <w:p>
      <w:pPr>
        <w:pStyle w:val="Heading2"/>
        <w:bidi/>
        <w:spacing w:after="160" w:before="240"/>
        <w:jc w:val="right"/>
      </w:pPr>
      <w:r>
        <w:rPr>
          <w:rFonts w:ascii="Times New Roman" w:cs="Traditional Arabic" w:hAnsi="Times New Roman"/>
          <w:b/>
          <w:bCs/>
          <w:color w:val="2E5496"/>
          <w:sz w:val="30"/>
          <w:szCs w:val="30"/>
          <w:rtl/>
        </w:rPr>
        <w:t xml:space="preserve">المطلب الثاني: حماية الرابطة بين الأم وولدها</w:t>
      </w:r>
    </w:p>
    <w:p>
      <w:pPr>
        <w:bidi/>
        <w:spacing w:after="120" w:line="340"/>
        <w:jc w:val="both"/>
      </w:pPr>
      <w:r>
        <w:rPr>
          <w:rFonts w:ascii="Times New Roman" w:cs="Traditional Arabic" w:hAnsi="Times New Roman"/>
          <w:sz w:val="28"/>
          <w:szCs w:val="28"/>
          <w:rtl/>
        </w:rPr>
        <w:t xml:space="preserve">من الأصول المقررة في الفقه تحريم التفريق بين الأمة وولدها الصغير، لحديث: «من فرّق بين والدة وولدها فرّق الله بينه وبين أحبته يوم القيامة» (سنن الترمذي). وقد أثار هذا الأصل سؤالًا في الرهن: هل يجوز رهن الأمة دون ولدها أو العكس؟</w:t>
      </w:r>
    </w:p>
    <w:p>
      <w:pPr>
        <w:bidi/>
        <w:spacing w:after="120" w:line="340"/>
        <w:jc w:val="both"/>
      </w:pPr>
      <w:r>
        <w:rPr>
          <w:rFonts w:ascii="Times New Roman" w:cs="Traditional Arabic" w:hAnsi="Times New Roman"/>
          <w:sz w:val="28"/>
          <w:szCs w:val="28"/>
          <w:rtl/>
        </w:rPr>
        <w:t xml:space="preserve">ذهب </w:t>
      </w:r>
      <w:r>
        <w:rPr>
          <w:rFonts w:ascii="Times New Roman" w:cs="Traditional Arabic" w:hAnsi="Times New Roman"/>
          <w:b/>
          <w:bCs/>
          <w:sz w:val="28"/>
          <w:szCs w:val="28"/>
          <w:rtl/>
        </w:rPr>
        <w:t xml:space="preserve">الحنابلة</w:t>
      </w:r>
      <w:r>
        <w:rPr>
          <w:rFonts w:ascii="Times New Roman" w:cs="Traditional Arabic" w:hAnsi="Times New Roman"/>
          <w:sz w:val="28"/>
          <w:szCs w:val="28"/>
          <w:rtl/>
        </w:rPr>
        <w:t xml:space="preserve"> إلى الجواز، لأن الرهن لا يزيل الملك فلا يحصل به تفريق، فإن احتيج إلى البيع </w:t>
      </w:r>
      <w:r>
        <w:rPr>
          <w:rFonts w:ascii="Times New Roman" w:cs="Traditional Arabic" w:hAnsi="Times New Roman"/>
          <w:b/>
          <w:bCs/>
          <w:sz w:val="28"/>
          <w:szCs w:val="28"/>
          <w:rtl/>
        </w:rPr>
        <w:t xml:space="preserve">بيع الآخر معه</w:t>
      </w:r>
      <w:r>
        <w:rPr>
          <w:rFonts w:ascii="Times New Roman" w:cs="Traditional Arabic" w:hAnsi="Times New Roman"/>
          <w:sz w:val="28"/>
          <w:szCs w:val="28"/>
          <w:rtl/>
        </w:rPr>
        <w:t xml:space="preserve">، لأن الجمع ممكن والتفريق محرم، </w:t>
      </w:r>
      <w:r>
        <w:rPr>
          <w:rFonts w:ascii="Times New Roman" w:cs="Traditional Arabic" w:hAnsi="Times New Roman"/>
          <w:b/>
          <w:bCs/>
          <w:sz w:val="28"/>
          <w:szCs w:val="28"/>
          <w:rtl/>
        </w:rPr>
        <w:t xml:space="preserve">ويتعلق حق المرتهن بقدر قيمة المرهون من الثمن</w:t>
      </w:r>
      <w:r>
        <w:rPr>
          <w:rFonts w:ascii="Times New Roman" w:cs="Traditional Arabic" w:hAnsi="Times New Roman"/>
          <w:sz w:val="28"/>
          <w:szCs w:val="28"/>
          <w:rtl/>
        </w:rPr>
        <w:t xml:space="preserve">، وإن لم يعلم المرتهن بالولد عند العقد فله الخيار (ابن قدامة، المغني). وعند </w:t>
      </w:r>
      <w:r>
        <w:rPr>
          <w:rFonts w:ascii="Times New Roman" w:cs="Traditional Arabic" w:hAnsi="Times New Roman"/>
          <w:b/>
          <w:bCs/>
          <w:sz w:val="28"/>
          <w:szCs w:val="28"/>
          <w:rtl/>
        </w:rPr>
        <w:t xml:space="preserve">الشافعية</w:t>
      </w:r>
      <w:r>
        <w:rPr>
          <w:rFonts w:ascii="Times New Roman" w:cs="Traditional Arabic" w:hAnsi="Times New Roman"/>
          <w:sz w:val="28"/>
          <w:szCs w:val="28"/>
          <w:rtl/>
        </w:rPr>
        <w:t xml:space="preserve"> يحرم التفريق في البيع والقسمة والهبة دون العتق، فيُباعان معًا ويوزَّع الثمن (النووي، المجموع). وعند </w:t>
      </w:r>
      <w:r>
        <w:rPr>
          <w:rFonts w:ascii="Times New Roman" w:cs="Traditional Arabic" w:hAnsi="Times New Roman"/>
          <w:b/>
          <w:bCs/>
          <w:sz w:val="28"/>
          <w:szCs w:val="28"/>
          <w:rtl/>
        </w:rPr>
        <w:t xml:space="preserve">المالكية</w:t>
      </w:r>
      <w:r>
        <w:rPr>
          <w:rFonts w:ascii="Times New Roman" w:cs="Traditional Arabic" w:hAnsi="Times New Roman"/>
          <w:sz w:val="28"/>
          <w:szCs w:val="28"/>
          <w:rtl/>
        </w:rPr>
        <w:t xml:space="preserve"> يمتد المنع إلى أن يبلغ الولد سن </w:t>
      </w:r>
      <w:r>
        <w:rPr>
          <w:rFonts w:ascii="Times New Roman" w:cs="Traditional Arabic" w:hAnsi="Times New Roman"/>
          <w:b/>
          <w:bCs/>
          <w:sz w:val="28"/>
          <w:szCs w:val="28"/>
          <w:rtl/>
        </w:rPr>
        <w:t xml:space="preserve">الإثغار</w:t>
      </w:r>
      <w:r>
        <w:rPr>
          <w:rFonts w:ascii="Times New Roman" w:cs="Traditional Arabic" w:hAnsi="Times New Roman"/>
          <w:sz w:val="28"/>
          <w:szCs w:val="28"/>
          <w:rtl/>
        </w:rPr>
        <w:t xml:space="preserve">، فإذا كان دونه بيع مع أمه.</w:t>
      </w:r>
    </w:p>
    <w:p>
      <w:pPr>
        <w:bidi/>
        <w:spacing w:after="120" w:line="340"/>
        <w:jc w:val="both"/>
      </w:pPr>
      <w:r>
        <w:rPr>
          <w:rFonts w:ascii="Times New Roman" w:cs="Traditional Arabic" w:hAnsi="Times New Roman"/>
          <w:b/>
          <w:bCs/>
          <w:sz w:val="28"/>
          <w:szCs w:val="28"/>
          <w:rtl/>
        </w:rPr>
        <w:t xml:space="preserve">التحليل:</w:t>
      </w:r>
      <w:r>
        <w:rPr>
          <w:rFonts w:ascii="Times New Roman" w:cs="Traditional Arabic" w:hAnsi="Times New Roman"/>
          <w:sz w:val="28"/>
          <w:szCs w:val="28"/>
          <w:rtl/>
        </w:rPr>
        <w:t xml:space="preserve"> يكشف هذا الحكم عن تقنية فقهية بارعة، هي </w:t>
      </w:r>
      <w:r>
        <w:rPr>
          <w:rFonts w:ascii="Times New Roman" w:cs="Traditional Arabic" w:hAnsi="Times New Roman"/>
          <w:b/>
          <w:bCs/>
          <w:sz w:val="28"/>
          <w:szCs w:val="28"/>
          <w:rtl/>
        </w:rPr>
        <w:t xml:space="preserve">التمييز بين التفريق الحكمي والتفريق الفعلي</w:t>
      </w:r>
      <w:r>
        <w:rPr>
          <w:rFonts w:ascii="Times New Roman" w:cs="Traditional Arabic" w:hAnsi="Times New Roman"/>
          <w:sz w:val="28"/>
          <w:szCs w:val="28"/>
          <w:rtl/>
        </w:rPr>
        <w:t xml:space="preserve">. فالرهن تفريق حكمي في العلاقة القانونية لا يمس الرابطة الفعلية بين الأم وولدها، فجاز. أما البيع فتفريق فعلي، فمُنع، وعولج بالجمع في العقد مع </w:t>
      </w:r>
      <w:r>
        <w:rPr>
          <w:rFonts w:ascii="Times New Roman" w:cs="Traditional Arabic" w:hAnsi="Times New Roman"/>
          <w:b/>
          <w:bCs/>
          <w:sz w:val="28"/>
          <w:szCs w:val="28"/>
          <w:rtl/>
        </w:rPr>
        <w:t xml:space="preserve">توزيع الثمن</w:t>
      </w:r>
      <w:r>
        <w:rPr>
          <w:rFonts w:ascii="Times New Roman" w:cs="Traditional Arabic" w:hAnsi="Times New Roman"/>
          <w:sz w:val="28"/>
          <w:szCs w:val="28"/>
          <w:rtl/>
        </w:rPr>
        <w:t xml:space="preserve"> بحسب القيمة. وبهذه التقنية وفّق الفقهاء بين ثلاث مصالح: مصلحة الدائن في الاستيفاء، ومصلحة المالك في إبقاء الولد خارج الرهن، ومصلحة الأم والولد في عدم التفريق.</w:t>
      </w:r>
    </w:p>
    <w:p>
      <w:pPr>
        <w:pStyle w:val="Heading2"/>
        <w:bidi/>
        <w:spacing w:after="160" w:before="240"/>
        <w:jc w:val="right"/>
      </w:pPr>
      <w:r>
        <w:rPr>
          <w:rFonts w:ascii="Times New Roman" w:cs="Traditional Arabic" w:hAnsi="Times New Roman"/>
          <w:b/>
          <w:bCs/>
          <w:color w:val="2E5496"/>
          <w:sz w:val="30"/>
          <w:szCs w:val="30"/>
          <w:rtl/>
        </w:rPr>
        <w:t xml:space="preserve">المطلب الثالث: المؤن وانتفاع المرتهن</w:t>
      </w:r>
    </w:p>
    <w:p>
      <w:pPr>
        <w:bidi/>
        <w:spacing w:after="120" w:line="340"/>
        <w:jc w:val="both"/>
      </w:pPr>
      <w:r>
        <w:rPr>
          <w:rFonts w:ascii="Times New Roman" w:cs="Traditional Arabic" w:hAnsi="Times New Roman"/>
          <w:b/>
          <w:bCs/>
          <w:sz w:val="28"/>
          <w:szCs w:val="28"/>
          <w:rtl/>
        </w:rPr>
        <w:t xml:space="preserve">أولًا: النفقة والمداواة والختان.</w:t>
      </w:r>
      <w:r>
        <w:rPr>
          <w:rFonts w:ascii="Times New Roman" w:cs="Traditional Arabic" w:hAnsi="Times New Roman"/>
          <w:sz w:val="28"/>
          <w:szCs w:val="28"/>
          <w:rtl/>
        </w:rPr>
        <w:t xml:space="preserve"> ذهب الجمهور إلى أن نفقة الرقيق المرهون وكسوته وسائر مؤنه </w:t>
      </w:r>
      <w:r>
        <w:rPr>
          <w:rFonts w:ascii="Times New Roman" w:cs="Traditional Arabic" w:hAnsi="Times New Roman"/>
          <w:b/>
          <w:bCs/>
          <w:sz w:val="28"/>
          <w:szCs w:val="28"/>
          <w:rtl/>
        </w:rPr>
        <w:t xml:space="preserve">على الراهن</w:t>
      </w:r>
      <w:r>
        <w:rPr>
          <w:rFonts w:ascii="Times New Roman" w:cs="Traditional Arabic" w:hAnsi="Times New Roman"/>
          <w:sz w:val="28"/>
          <w:szCs w:val="28"/>
          <w:rtl/>
        </w:rPr>
        <w:t xml:space="preserve">، لأنه المالك، ولحديث «له غُنمه وعليه غُرمه». ونص ابن قدامة على أن العبد المرهون إذا مات فعلى الراهن كفنه، وأن الحاكم يجبره على النفقة إن امتنع (ابن قدامة، المغني). وللراهن مداواة العبد وإصلاحه، أما </w:t>
      </w:r>
      <w:r>
        <w:rPr>
          <w:rFonts w:ascii="Times New Roman" w:cs="Traditional Arabic" w:hAnsi="Times New Roman"/>
          <w:b/>
          <w:bCs/>
          <w:sz w:val="28"/>
          <w:szCs w:val="28"/>
          <w:rtl/>
        </w:rPr>
        <w:t xml:space="preserve">الختان</w:t>
      </w:r>
      <w:r>
        <w:rPr>
          <w:rFonts w:ascii="Times New Roman" w:cs="Traditional Arabic" w:hAnsi="Times New Roman"/>
          <w:sz w:val="28"/>
          <w:szCs w:val="28"/>
          <w:rtl/>
        </w:rPr>
        <w:t xml:space="preserve"> فيُمنع منه إذا كان الدين حالًّا أو يحل قبل البرء، لما فيه من نقص القيمة مؤقتًا وخطر التلف.</w:t>
      </w:r>
    </w:p>
    <w:p>
      <w:pPr>
        <w:bidi/>
        <w:spacing w:after="120" w:line="340"/>
        <w:jc w:val="both"/>
      </w:pPr>
      <w:r>
        <w:rPr>
          <w:rFonts w:ascii="Times New Roman" w:cs="Traditional Arabic" w:hAnsi="Times New Roman"/>
          <w:b/>
          <w:bCs/>
          <w:sz w:val="28"/>
          <w:szCs w:val="28"/>
          <w:rtl/>
        </w:rPr>
        <w:t xml:space="preserve">ثانيًا: انتفاع المرتهن.</w:t>
      </w:r>
      <w:r>
        <w:rPr>
          <w:rFonts w:ascii="Times New Roman" w:cs="Traditional Arabic" w:hAnsi="Times New Roman"/>
          <w:sz w:val="28"/>
          <w:szCs w:val="28"/>
          <w:rtl/>
        </w:rPr>
        <w:t xml:space="preserve"> ذهب الجمهور من الحنفية والمالكية والشافعية إلى أن المرتهن </w:t>
      </w:r>
      <w:r>
        <w:rPr>
          <w:rFonts w:ascii="Times New Roman" w:cs="Traditional Arabic" w:hAnsi="Times New Roman"/>
          <w:b/>
          <w:bCs/>
          <w:sz w:val="28"/>
          <w:szCs w:val="28"/>
          <w:rtl/>
        </w:rPr>
        <w:t xml:space="preserve">لا ينتفع بالرهن إلا بإذن الراهن</w:t>
      </w:r>
      <w:r>
        <w:rPr>
          <w:rFonts w:ascii="Times New Roman" w:cs="Traditional Arabic" w:hAnsi="Times New Roman"/>
          <w:sz w:val="28"/>
          <w:szCs w:val="28"/>
          <w:rtl/>
        </w:rPr>
        <w:t xml:space="preserve">. وقيّد المالكية ذلك بأن يكون الدين من بيع لا من قرض، وأن تُشترط المنفعة مدة معلومة، لأن المنفعة المشروطة في القرض قرض جرّ نفعًا (الجزيري، الفقه على المذاهب الأربعة). وعند </w:t>
      </w:r>
      <w:r>
        <w:rPr>
          <w:rFonts w:ascii="Times New Roman" w:cs="Traditional Arabic" w:hAnsi="Times New Roman"/>
          <w:b/>
          <w:bCs/>
          <w:sz w:val="28"/>
          <w:szCs w:val="28"/>
          <w:rtl/>
        </w:rPr>
        <w:t xml:space="preserve">الحنابلة</w:t>
      </w:r>
      <w:r>
        <w:rPr>
          <w:rFonts w:ascii="Times New Roman" w:cs="Traditional Arabic" w:hAnsi="Times New Roman"/>
          <w:sz w:val="28"/>
          <w:szCs w:val="28"/>
          <w:rtl/>
        </w:rPr>
        <w:t xml:space="preserve"> لا ينتفع المرتهن إلا بالمركوب والمحلوب بقدر النفقة، استنادًا إلى حديث «الظهر يُركب بنفقته إذا كان مرهونًا» (صحيح البخاري)، ولا يقيسون عليه </w:t>
      </w:r>
      <w:r>
        <w:rPr>
          <w:rFonts w:ascii="Times New Roman" w:cs="Traditional Arabic" w:hAnsi="Times New Roman"/>
          <w:b/>
          <w:bCs/>
          <w:sz w:val="28"/>
          <w:szCs w:val="28"/>
          <w:rtl/>
        </w:rPr>
        <w:t xml:space="preserve">استخدام العبد</w:t>
      </w:r>
      <w:r>
        <w:rPr>
          <w:rFonts w:ascii="Times New Roman" w:cs="Traditional Arabic" w:hAnsi="Times New Roman"/>
          <w:sz w:val="28"/>
          <w:szCs w:val="28"/>
          <w:rtl/>
        </w:rPr>
        <w:t xml:space="preserve"> في ظاهر المذهب، لأن النص ورد في الظهر والدَّرّ خاصة (ابن قدامة، المغني).</w:t>
      </w:r>
    </w:p>
    <w:p>
      <w:pPr>
        <w:bidi/>
        <w:spacing w:after="120" w:line="340"/>
        <w:jc w:val="both"/>
      </w:pPr>
      <w:r>
        <w:rPr>
          <w:rFonts w:ascii="Times New Roman" w:cs="Traditional Arabic" w:hAnsi="Times New Roman"/>
          <w:b/>
          <w:bCs/>
          <w:sz w:val="28"/>
          <w:szCs w:val="28"/>
          <w:rtl/>
        </w:rPr>
        <w:t xml:space="preserve">التحليل:</w:t>
      </w:r>
      <w:r>
        <w:rPr>
          <w:rFonts w:ascii="Times New Roman" w:cs="Traditional Arabic" w:hAnsi="Times New Roman"/>
          <w:sz w:val="28"/>
          <w:szCs w:val="28"/>
          <w:rtl/>
        </w:rPr>
        <w:t xml:space="preserve"> تكشف أحكام المؤن عن موازنة دقيقة بين </w:t>
      </w:r>
      <w:r>
        <w:rPr>
          <w:rFonts w:ascii="Times New Roman" w:cs="Traditional Arabic" w:hAnsi="Times New Roman"/>
          <w:b/>
          <w:bCs/>
          <w:sz w:val="28"/>
          <w:szCs w:val="28"/>
          <w:rtl/>
        </w:rPr>
        <w:t xml:space="preserve">حق المالك في رعاية ملكه</w:t>
      </w:r>
      <w:r>
        <w:rPr>
          <w:rFonts w:ascii="Times New Roman" w:cs="Traditional Arabic" w:hAnsi="Times New Roman"/>
          <w:sz w:val="28"/>
          <w:szCs w:val="28"/>
          <w:rtl/>
        </w:rPr>
        <w:t xml:space="preserve"> و</w:t>
      </w:r>
      <w:r>
        <w:rPr>
          <w:rFonts w:ascii="Times New Roman" w:cs="Traditional Arabic" w:hAnsi="Times New Roman"/>
          <w:b/>
          <w:bCs/>
          <w:sz w:val="28"/>
          <w:szCs w:val="28"/>
          <w:rtl/>
        </w:rPr>
        <w:t xml:space="preserve">حق الدائن في سلامة قيمة الوثيقة</w:t>
      </w:r>
      <w:r>
        <w:rPr>
          <w:rFonts w:ascii="Times New Roman" w:cs="Traditional Arabic" w:hAnsi="Times New Roman"/>
          <w:sz w:val="28"/>
          <w:szCs w:val="28"/>
          <w:rtl/>
        </w:rPr>
        <w:t xml:space="preserve">. فالفقهاء أباحوا ما فيه إصلاح، ومنعوا ما فيه إنقاص مؤقت للقيمة إذا تزامن مع حلول الدين، وهو معيار زمني دقيق يربط الحكم بلحظة الحاجة إلى البيع. أما الامتناع الحنبلي عن قياس خدمة العبد على الركوب والحلب، فيعكس </w:t>
      </w:r>
      <w:r>
        <w:rPr>
          <w:rFonts w:ascii="Times New Roman" w:cs="Traditional Arabic" w:hAnsi="Times New Roman"/>
          <w:b/>
          <w:bCs/>
          <w:sz w:val="28"/>
          <w:szCs w:val="28"/>
          <w:rtl/>
        </w:rPr>
        <w:t xml:space="preserve">تضييقًا في الاستثناء</w:t>
      </w:r>
      <w:r>
        <w:rPr>
          <w:rFonts w:ascii="Times New Roman" w:cs="Traditional Arabic" w:hAnsi="Times New Roman"/>
          <w:sz w:val="28"/>
          <w:szCs w:val="28"/>
          <w:rtl/>
        </w:rPr>
        <w:t xml:space="preserve"> المخالف للأصل، إذ الأصل أن المنفعة للمالك، والنص استثناء لا يُتوسع فيه، ولعل لطبيعة الإنسان المرهون أثرًا في هذا التضييق، إذ استخدام العبد يمس شخصه بخلاف ركوب الدابة.</w:t>
      </w:r>
    </w:p>
    <w:p>
      <w:pPr>
        <w:pStyle w:val="Heading2"/>
        <w:bidi/>
        <w:spacing w:after="160" w:before="240"/>
        <w:jc w:val="right"/>
      </w:pPr>
      <w:r>
        <w:rPr>
          <w:rFonts w:ascii="Times New Roman" w:cs="Traditional Arabic" w:hAnsi="Times New Roman"/>
          <w:b/>
          <w:bCs/>
          <w:color w:val="2E5496"/>
          <w:sz w:val="30"/>
          <w:szCs w:val="30"/>
          <w:rtl/>
        </w:rPr>
        <w:t xml:space="preserve">المطلب الرابع: تصرفات الراهن والتنفيذ على المرهون</w:t>
      </w:r>
    </w:p>
    <w:p>
      <w:pPr>
        <w:bidi/>
        <w:spacing w:after="120" w:line="340"/>
        <w:jc w:val="both"/>
      </w:pPr>
      <w:r>
        <w:rPr>
          <w:rFonts w:ascii="Times New Roman" w:cs="Traditional Arabic" w:hAnsi="Times New Roman"/>
          <w:b/>
          <w:bCs/>
          <w:sz w:val="28"/>
          <w:szCs w:val="28"/>
          <w:rtl/>
        </w:rPr>
        <w:t xml:space="preserve">أولًا: تزويج الأمة المرهونة.</w:t>
      </w:r>
      <w:r>
        <w:rPr>
          <w:rFonts w:ascii="Times New Roman" w:cs="Traditional Arabic" w:hAnsi="Times New Roman"/>
          <w:sz w:val="28"/>
          <w:szCs w:val="28"/>
          <w:rtl/>
        </w:rPr>
        <w:t xml:space="preserve"> اختلفت المذاهب فيه على قولين. فقال </w:t>
      </w:r>
      <w:r>
        <w:rPr>
          <w:rFonts w:ascii="Times New Roman" w:cs="Traditional Arabic" w:hAnsi="Times New Roman"/>
          <w:b/>
          <w:bCs/>
          <w:sz w:val="28"/>
          <w:szCs w:val="28"/>
          <w:rtl/>
        </w:rPr>
        <w:t xml:space="preserve">الحنفية</w:t>
      </w:r>
      <w:r>
        <w:rPr>
          <w:rFonts w:ascii="Times New Roman" w:cs="Traditional Arabic" w:hAnsi="Times New Roman"/>
          <w:sz w:val="28"/>
          <w:szCs w:val="28"/>
          <w:rtl/>
        </w:rPr>
        <w:t xml:space="preserve"> وجماعة من الحنابلة منهم القاضي بالصحة، لأن البضع لا يدخل في الرهن، مع ضابطين: أن للمرتهن منع الزوج من وطئها، وأن مهرها يكون رهنًا معها. وقال </w:t>
      </w:r>
      <w:r>
        <w:rPr>
          <w:rFonts w:ascii="Times New Roman" w:cs="Traditional Arabic" w:hAnsi="Times New Roman"/>
          <w:b/>
          <w:bCs/>
          <w:sz w:val="28"/>
          <w:szCs w:val="28"/>
          <w:rtl/>
        </w:rPr>
        <w:t xml:space="preserve">المالكية والشافعية</w:t>
      </w:r>
      <w:r>
        <w:rPr>
          <w:rFonts w:ascii="Times New Roman" w:cs="Traditional Arabic" w:hAnsi="Times New Roman"/>
          <w:sz w:val="28"/>
          <w:szCs w:val="28"/>
          <w:rtl/>
        </w:rPr>
        <w:t xml:space="preserve"> واختاره أبو الخطاب من الحنابلة بعدم الصحة، لأن التزويج يُنقص قيمتها ويشغلها بحق الزوج (ابن قدامة، المغني).</w:t>
      </w:r>
    </w:p>
    <w:p>
      <w:pPr>
        <w:bidi/>
        <w:spacing w:after="120" w:line="340"/>
        <w:jc w:val="both"/>
      </w:pPr>
      <w:r>
        <w:rPr>
          <w:rFonts w:ascii="Times New Roman" w:cs="Traditional Arabic" w:hAnsi="Times New Roman"/>
          <w:b/>
          <w:bCs/>
          <w:sz w:val="28"/>
          <w:szCs w:val="28"/>
          <w:rtl/>
        </w:rPr>
        <w:t xml:space="preserve">ثانيًا: البيع عند حلول الدين.</w:t>
      </w:r>
      <w:r>
        <w:rPr>
          <w:rFonts w:ascii="Times New Roman" w:cs="Traditional Arabic" w:hAnsi="Times New Roman"/>
          <w:sz w:val="28"/>
          <w:szCs w:val="28"/>
          <w:rtl/>
        </w:rPr>
        <w:t xml:space="preserve"> إذا حل الدين ولم يوفِّ الراهن، بيع المرهون واستوفي الدين من ثمنه. ويجوز عند الحنابلة والحنفية والمالكية اشتراط أن يتولى البيع المرتهن نفسه أو عدل، ويمنع الشافعية اشتراط بيع المرتهن بنفسه لتهمة الاستعجال. فإن قُدّر ثمن لم يجز البيع بأقل منه، وإلا بيع بثمن المثل، مع مراعاة عدم التفريق بين الأمة وولدها الصغير (ابن قدامة، المغني).</w:t>
      </w:r>
    </w:p>
    <w:p>
      <w:pPr>
        <w:bidi/>
        <w:spacing w:after="120" w:line="340"/>
        <w:jc w:val="both"/>
      </w:pPr>
      <w:r>
        <w:rPr>
          <w:rFonts w:ascii="Times New Roman" w:cs="Traditional Arabic" w:hAnsi="Times New Roman"/>
          <w:b/>
          <w:bCs/>
          <w:sz w:val="28"/>
          <w:szCs w:val="28"/>
          <w:rtl/>
        </w:rPr>
        <w:t xml:space="preserve">التحليل:</w:t>
      </w:r>
      <w:r>
        <w:rPr>
          <w:rFonts w:ascii="Times New Roman" w:cs="Traditional Arabic" w:hAnsi="Times New Roman"/>
          <w:sz w:val="28"/>
          <w:szCs w:val="28"/>
          <w:rtl/>
        </w:rPr>
        <w:t xml:space="preserve"> يكشف الخلاف في تزويج الأمة عن </w:t>
      </w:r>
      <w:r>
        <w:rPr>
          <w:rFonts w:ascii="Times New Roman" w:cs="Traditional Arabic" w:hAnsi="Times New Roman"/>
          <w:b/>
          <w:bCs/>
          <w:sz w:val="28"/>
          <w:szCs w:val="28"/>
          <w:rtl/>
        </w:rPr>
        <w:t xml:space="preserve">تصورين مختلفين لنطاق الرهن</w:t>
      </w:r>
      <w:r>
        <w:rPr>
          <w:rFonts w:ascii="Times New Roman" w:cs="Traditional Arabic" w:hAnsi="Times New Roman"/>
          <w:sz w:val="28"/>
          <w:szCs w:val="28"/>
          <w:rtl/>
        </w:rPr>
        <w:t xml:space="preserve">. فمن أجاز التزويج حدد نطاق الرهن بـ </w:t>
      </w:r>
      <w:r>
        <w:rPr>
          <w:rFonts w:ascii="Times New Roman" w:cs="Traditional Arabic" w:hAnsi="Times New Roman"/>
          <w:b/>
          <w:bCs/>
          <w:sz w:val="28"/>
          <w:szCs w:val="28"/>
          <w:rtl/>
        </w:rPr>
        <w:t xml:space="preserve">مالية الرقبة</w:t>
      </w:r>
      <w:r>
        <w:rPr>
          <w:rFonts w:ascii="Times New Roman" w:cs="Traditional Arabic" w:hAnsi="Times New Roman"/>
          <w:sz w:val="28"/>
          <w:szCs w:val="28"/>
          <w:rtl/>
        </w:rPr>
        <w:t xml:space="preserve">، فأخرج البضع من نطاقه، ثم احتاط لحق المرتهن بمنع الوطء وإدخال المهر في الرهن. ومن منعه نظر إلى </w:t>
      </w:r>
      <w:r>
        <w:rPr>
          <w:rFonts w:ascii="Times New Roman" w:cs="Traditional Arabic" w:hAnsi="Times New Roman"/>
          <w:b/>
          <w:bCs/>
          <w:sz w:val="28"/>
          <w:szCs w:val="28"/>
          <w:rtl/>
        </w:rPr>
        <w:t xml:space="preserve">القيمة السوقية</w:t>
      </w:r>
      <w:r>
        <w:rPr>
          <w:rFonts w:ascii="Times New Roman" w:cs="Traditional Arabic" w:hAnsi="Times New Roman"/>
          <w:sz w:val="28"/>
          <w:szCs w:val="28"/>
          <w:rtl/>
        </w:rPr>
        <w:t xml:space="preserve"> للمرهون، فكل ما يُنقصها يمس حق المرتهن ولو لم يتعلق بالرقبة مباشرة. ويبدو التصور الأول أدق من الناحية النظرية، والثاني أحوط من الناحية العملية. أما الخلاف في تولي المرتهن البيع، فيعكس تقديرًا مختلفًا لـ </w:t>
      </w:r>
      <w:r>
        <w:rPr>
          <w:rFonts w:ascii="Times New Roman" w:cs="Traditional Arabic" w:hAnsi="Times New Roman"/>
          <w:b/>
          <w:bCs/>
          <w:sz w:val="28"/>
          <w:szCs w:val="28"/>
          <w:rtl/>
        </w:rPr>
        <w:t xml:space="preserve">خطر تعارض المصالح</w:t>
      </w:r>
      <w:r>
        <w:rPr>
          <w:rFonts w:ascii="Times New Roman" w:cs="Traditional Arabic" w:hAnsi="Times New Roman"/>
          <w:sz w:val="28"/>
          <w:szCs w:val="28"/>
          <w:rtl/>
        </w:rPr>
        <w:t xml:space="preserve">، إذ يرى الشافعية أن المرتهن لا يؤتمن على بيع يستوفي منه حقه، بينما يكتفي غيرهم بضبط الثمن.</w:t>
      </w:r>
    </w:p>
    <w:p>
      <w:r>
        <w:br w:type="page"/>
      </w:r>
    </w:p>
    <w:p>
      <w:pPr>
        <w:pStyle w:val="Heading1"/>
        <w:bidi/>
        <w:spacing w:after="160" w:before="360"/>
        <w:jc w:val="center"/>
      </w:pPr>
      <w:r>
        <w:rPr>
          <w:rFonts w:ascii="Times New Roman" w:cs="Traditional Arabic" w:hAnsi="Times New Roman"/>
          <w:b/>
          <w:bCs/>
          <w:color w:val="1F3864"/>
          <w:sz w:val="34"/>
          <w:szCs w:val="34"/>
          <w:rtl/>
        </w:rPr>
        <w:t xml:space="preserve">المبحث الثالث: آثار رهن الرقيق وإشكالاته الكبرى</w:t>
      </w:r>
    </w:p>
    <w:p>
      <w:pPr>
        <w:bidi/>
        <w:spacing w:after="120" w:line="340"/>
        <w:jc w:val="both"/>
      </w:pPr>
      <w:r>
        <w:rPr>
          <w:rFonts w:ascii="Times New Roman" w:cs="Traditional Arabic" w:hAnsi="Times New Roman"/>
          <w:sz w:val="28"/>
          <w:szCs w:val="28"/>
          <w:rtl/>
        </w:rPr>
        <w:t xml:space="preserve">تبلغ نظرية رهن الرقيق ذروة تعقيدها في الآثار، أي فيما يترتب على الرهن عند وقوع حوادث تمس المرهون: هلاكه، ونماؤه، وعتقه، واستيلاده، ووطؤه، والجناية منه أو عليه. وفي هذه المسائل تتجلى الأصول المذهبية بأوضح صورها.</w:t>
      </w:r>
    </w:p>
    <w:p>
      <w:pPr>
        <w:pStyle w:val="Heading2"/>
        <w:bidi/>
        <w:spacing w:after="160" w:before="240"/>
        <w:jc w:val="right"/>
      </w:pPr>
      <w:r>
        <w:rPr>
          <w:rFonts w:ascii="Times New Roman" w:cs="Traditional Arabic" w:hAnsi="Times New Roman"/>
          <w:b/>
          <w:bCs/>
          <w:color w:val="2E5496"/>
          <w:sz w:val="30"/>
          <w:szCs w:val="30"/>
          <w:rtl/>
        </w:rPr>
        <w:t xml:space="preserve">المطلب الأول: تبعة الهلاك وطبيعة يد المرتهن</w:t>
      </w:r>
    </w:p>
    <w:p>
      <w:pPr>
        <w:bidi/>
        <w:spacing w:after="120" w:line="340"/>
        <w:jc w:val="both"/>
      </w:pPr>
      <w:r>
        <w:rPr>
          <w:rFonts w:ascii="Times New Roman" w:cs="Traditional Arabic" w:hAnsi="Times New Roman"/>
          <w:sz w:val="28"/>
          <w:szCs w:val="28"/>
          <w:rtl/>
        </w:rPr>
        <w:t xml:space="preserve">إذا مات العبد المرهون في يد المرتهن من غير تعدٍّ ولا تفريط، فمن يتحمل تبعة هلاكه؟ تختلف الإجابة باختلاف تكييف يد المرتهن:</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center"/>
            </w:pPr>
            <w:r>
              <w:rPr>
                <w:rFonts w:ascii="Times New Roman" w:cs="Traditional Arabic" w:hAnsi="Times New Roman"/>
                <w:b/>
                <w:bCs/>
                <w:sz w:val="24"/>
                <w:szCs w:val="24"/>
                <w:rtl/>
              </w:rPr>
              <w:t xml:space="preserve">المذهب</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center"/>
            </w:pPr>
            <w:r>
              <w:rPr>
                <w:rFonts w:ascii="Times New Roman" w:cs="Traditional Arabic" w:hAnsi="Times New Roman"/>
                <w:b/>
                <w:bCs/>
                <w:sz w:val="24"/>
                <w:szCs w:val="24"/>
                <w:rtl/>
              </w:rPr>
              <w:t xml:space="preserve">طبيعة يد المرتهن</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center"/>
            </w:pPr>
            <w:r>
              <w:rPr>
                <w:rFonts w:ascii="Times New Roman" w:cs="Traditional Arabic" w:hAnsi="Times New Roman"/>
                <w:b/>
                <w:bCs/>
                <w:sz w:val="24"/>
                <w:szCs w:val="24"/>
                <w:rtl/>
              </w:rPr>
              <w:t xml:space="preserve">أثر هلاك العبد المرهون</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الحنفية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يد ضمان واستيفاء</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يسقط من الدين الأقل من قيمته ومن الدين، وتعتبر القيمة يوم القبض</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المالكية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أمانة فيما لا يُغاب عليه، وضمان فيما يُغاب عليه</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العبد مما لا يُغاب عليه، فلا يضمنه إلا بالتعدي أو التفريط</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الشافعية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يد أمانة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لا يسقط من الدين شيء، ويُقبل قول المرتهن في التلف مع يمينه</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الحنابلة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يد أمانة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لا يسقط من الدين شيء</w:t>
            </w:r>
          </w:p>
        </w:tc>
      </w:tr>
    </w:tbl>
    <w:p/>
    <w:p>
      <w:pPr>
        <w:bidi/>
        <w:spacing w:after="120" w:line="340"/>
        <w:jc w:val="both"/>
      </w:pPr>
      <w:r>
        <w:rPr>
          <w:rFonts w:ascii="Times New Roman" w:cs="Traditional Arabic" w:hAnsi="Times New Roman"/>
          <w:sz w:val="28"/>
          <w:szCs w:val="28"/>
          <w:rtl/>
        </w:rPr>
        <w:t xml:space="preserve">احتج </w:t>
      </w:r>
      <w:r>
        <w:rPr>
          <w:rFonts w:ascii="Times New Roman" w:cs="Traditional Arabic" w:hAnsi="Times New Roman"/>
          <w:b/>
          <w:bCs/>
          <w:sz w:val="28"/>
          <w:szCs w:val="28"/>
          <w:rtl/>
        </w:rPr>
        <w:t xml:space="preserve">الحنفية</w:t>
      </w:r>
      <w:r>
        <w:rPr>
          <w:rFonts w:ascii="Times New Roman" w:cs="Traditional Arabic" w:hAnsi="Times New Roman"/>
          <w:sz w:val="28"/>
          <w:szCs w:val="28"/>
          <w:rtl/>
        </w:rPr>
        <w:t xml:space="preserve"> بأن المرتهن بقبضه صار كالمستوفي لحقه حكمًا، وبحديث الفرس الذي قيل فيه للمرتهن: «ذهب حقك». واحتج </w:t>
      </w:r>
      <w:r>
        <w:rPr>
          <w:rFonts w:ascii="Times New Roman" w:cs="Traditional Arabic" w:hAnsi="Times New Roman"/>
          <w:b/>
          <w:bCs/>
          <w:sz w:val="28"/>
          <w:szCs w:val="28"/>
          <w:rtl/>
        </w:rPr>
        <w:t xml:space="preserve">الجمهور</w:t>
      </w:r>
      <w:r>
        <w:rPr>
          <w:rFonts w:ascii="Times New Roman" w:cs="Traditional Arabic" w:hAnsi="Times New Roman"/>
          <w:sz w:val="28"/>
          <w:szCs w:val="28"/>
          <w:rtl/>
        </w:rPr>
        <w:t xml:space="preserve"> بحديث «لا يغلق الرهن... له غُنمه وعليه غُرمه»، وبالقياس على الوديعة (ابن رشد، بداية المجتهد؛ النووي، روضة الطالبين). أما </w:t>
      </w:r>
      <w:r>
        <w:rPr>
          <w:rFonts w:ascii="Times New Roman" w:cs="Traditional Arabic" w:hAnsi="Times New Roman"/>
          <w:b/>
          <w:bCs/>
          <w:sz w:val="28"/>
          <w:szCs w:val="28"/>
          <w:rtl/>
        </w:rPr>
        <w:t xml:space="preserve">مالك</w:t>
      </w:r>
      <w:r>
        <w:rPr>
          <w:rFonts w:ascii="Times New Roman" w:cs="Traditional Arabic" w:hAnsi="Times New Roman"/>
          <w:sz w:val="28"/>
          <w:szCs w:val="28"/>
          <w:rtl/>
        </w:rPr>
        <w:t xml:space="preserve"> فقد فرّق استحسانًا بين ما يمكن إخفاؤه، فتلحق المرتهن فيه التهمة فيضمنه، وما لا يمكن إخفاؤه كالعقار والحيوان، فلا تهمة فيه فلا يضمنه (ابن رشد، بداية المجتهد).</w:t>
      </w:r>
    </w:p>
    <w:p>
      <w:pPr>
        <w:bidi/>
        <w:spacing w:after="120" w:line="340"/>
        <w:jc w:val="both"/>
      </w:pPr>
      <w:r>
        <w:rPr>
          <w:rFonts w:ascii="Times New Roman" w:cs="Traditional Arabic" w:hAnsi="Times New Roman"/>
          <w:b/>
          <w:bCs/>
          <w:sz w:val="28"/>
          <w:szCs w:val="28"/>
          <w:rtl/>
        </w:rPr>
        <w:t xml:space="preserve">التحليل والإشكالية:</w:t>
      </w:r>
      <w:r>
        <w:rPr>
          <w:rFonts w:ascii="Times New Roman" w:cs="Traditional Arabic" w:hAnsi="Times New Roman"/>
          <w:sz w:val="28"/>
          <w:szCs w:val="28"/>
          <w:rtl/>
        </w:rPr>
        <w:t xml:space="preserve"> يمثل هذا الخلاف </w:t>
      </w:r>
      <w:r>
        <w:rPr>
          <w:rFonts w:ascii="Times New Roman" w:cs="Traditional Arabic" w:hAnsi="Times New Roman"/>
          <w:b/>
          <w:bCs/>
          <w:sz w:val="28"/>
          <w:szCs w:val="28"/>
          <w:rtl/>
        </w:rPr>
        <w:t xml:space="preserve">حجر الزاوية</w:t>
      </w:r>
      <w:r>
        <w:rPr>
          <w:rFonts w:ascii="Times New Roman" w:cs="Traditional Arabic" w:hAnsi="Times New Roman"/>
          <w:sz w:val="28"/>
          <w:szCs w:val="28"/>
          <w:rtl/>
        </w:rPr>
        <w:t xml:space="preserve"> في نظرية الرهن كلها. فالتكييف الحنفي يجعل الرهن </w:t>
      </w:r>
      <w:r>
        <w:rPr>
          <w:rFonts w:ascii="Times New Roman" w:cs="Traditional Arabic" w:hAnsi="Times New Roman"/>
          <w:b/>
          <w:bCs/>
          <w:sz w:val="28"/>
          <w:szCs w:val="28"/>
          <w:rtl/>
        </w:rPr>
        <w:t xml:space="preserve">استيفاءً حكميًا معجلًا</w:t>
      </w:r>
      <w:r>
        <w:rPr>
          <w:rFonts w:ascii="Times New Roman" w:cs="Traditional Arabic" w:hAnsi="Times New Roman"/>
          <w:sz w:val="28"/>
          <w:szCs w:val="28"/>
          <w:rtl/>
        </w:rPr>
        <w:t xml:space="preserve">، فيتحمل المرتهن تبعة الهلاك في حدود دينه، وهو تكييف يقوّي مركز الراهن ويحمّل المرتهن عبء الحفظ. والتكييف الجمهوري يجعل الرهن </w:t>
      </w:r>
      <w:r>
        <w:rPr>
          <w:rFonts w:ascii="Times New Roman" w:cs="Traditional Arabic" w:hAnsi="Times New Roman"/>
          <w:b/>
          <w:bCs/>
          <w:sz w:val="28"/>
          <w:szCs w:val="28"/>
          <w:rtl/>
        </w:rPr>
        <w:t xml:space="preserve">مجرد توثيق</w:t>
      </w:r>
      <w:r>
        <w:rPr>
          <w:rFonts w:ascii="Times New Roman" w:cs="Traditional Arabic" w:hAnsi="Times New Roman"/>
          <w:sz w:val="28"/>
          <w:szCs w:val="28"/>
          <w:rtl/>
        </w:rPr>
        <w:t xml:space="preserve">، فتبقى التبعة على المالك، وهو تكييف أكثر انسجامًا مع قاعدة «الخراج بالضمان» و«الغنم بالغرم». أما التفريق المالكي فهو </w:t>
      </w:r>
      <w:r>
        <w:rPr>
          <w:rFonts w:ascii="Times New Roman" w:cs="Traditional Arabic" w:hAnsi="Times New Roman"/>
          <w:b/>
          <w:bCs/>
          <w:sz w:val="28"/>
          <w:szCs w:val="28"/>
          <w:rtl/>
        </w:rPr>
        <w:t xml:space="preserve">حل وسط واقعي</w:t>
      </w:r>
      <w:r>
        <w:rPr>
          <w:rFonts w:ascii="Times New Roman" w:cs="Traditional Arabic" w:hAnsi="Times New Roman"/>
          <w:sz w:val="28"/>
          <w:szCs w:val="28"/>
          <w:rtl/>
        </w:rPr>
        <w:t xml:space="preserve"> لا يقوم على تكييف نظري، بل على </w:t>
      </w:r>
      <w:r>
        <w:rPr>
          <w:rFonts w:ascii="Times New Roman" w:cs="Traditional Arabic" w:hAnsi="Times New Roman"/>
          <w:b/>
          <w:bCs/>
          <w:sz w:val="28"/>
          <w:szCs w:val="28"/>
          <w:rtl/>
        </w:rPr>
        <w:t xml:space="preserve">قرينة إثباتية</w:t>
      </w:r>
      <w:r>
        <w:rPr>
          <w:rFonts w:ascii="Times New Roman" w:cs="Traditional Arabic" w:hAnsi="Times New Roman"/>
          <w:sz w:val="28"/>
          <w:szCs w:val="28"/>
          <w:rtl/>
        </w:rPr>
        <w:t xml:space="preserve">: فالضمان فيما يُغاب عليه ليس لأن اليد يد ضمان، بل لأن دعوى الهلاك فيه مظنة تهمة. ويُلاحظ أن الرقيق يقع عند المالكية في دائرة الأمانة، لأن موت الإنسان أو هربه أمر ظاهر يصعب إخفاؤه، فيلتقي المالكية مع الجمهور في نتيجة هذه المسألة وإن اختلف التعليل.</w:t>
      </w:r>
    </w:p>
    <w:p>
      <w:pPr>
        <w:pStyle w:val="Heading2"/>
        <w:bidi/>
        <w:spacing w:after="160" w:before="240"/>
        <w:jc w:val="right"/>
      </w:pPr>
      <w:r>
        <w:rPr>
          <w:rFonts w:ascii="Times New Roman" w:cs="Traditional Arabic" w:hAnsi="Times New Roman"/>
          <w:b/>
          <w:bCs/>
          <w:color w:val="2E5496"/>
          <w:sz w:val="30"/>
          <w:szCs w:val="30"/>
          <w:rtl/>
        </w:rPr>
        <w:t xml:space="preserve">المطلب الثاني: نماء الرقيق المرهون وولد الأمة</w:t>
      </w:r>
    </w:p>
    <w:p>
      <w:pPr>
        <w:bidi/>
        <w:spacing w:after="120" w:line="340"/>
        <w:jc w:val="both"/>
      </w:pPr>
      <w:r>
        <w:rPr>
          <w:rFonts w:ascii="Times New Roman" w:cs="Traditional Arabic" w:hAnsi="Times New Roman"/>
          <w:sz w:val="28"/>
          <w:szCs w:val="28"/>
          <w:rtl/>
        </w:rPr>
        <w:t xml:space="preserve">إذا ولدت الأمة المرهونة أو كسب العبد المرهون مالًا، هل يدخل ذلك في الرهن؟</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center"/>
            </w:pPr>
            <w:r>
              <w:rPr>
                <w:rFonts w:ascii="Times New Roman" w:cs="Traditional Arabic" w:hAnsi="Times New Roman"/>
                <w:b/>
                <w:bCs/>
                <w:sz w:val="24"/>
                <w:szCs w:val="24"/>
                <w:rtl/>
              </w:rPr>
              <w:t xml:space="preserve">المذهب</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center"/>
            </w:pPr>
            <w:r>
              <w:rPr>
                <w:rFonts w:ascii="Times New Roman" w:cs="Traditional Arabic" w:hAnsi="Times New Roman"/>
                <w:b/>
                <w:bCs/>
                <w:sz w:val="24"/>
                <w:szCs w:val="24"/>
                <w:rtl/>
              </w:rPr>
              <w:t xml:space="preserve">ولد الأمة المرهونة</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center"/>
            </w:pPr>
            <w:r>
              <w:rPr>
                <w:rFonts w:ascii="Times New Roman" w:cs="Traditional Arabic" w:hAnsi="Times New Roman"/>
                <w:b/>
                <w:bCs/>
                <w:sz w:val="24"/>
                <w:szCs w:val="24"/>
                <w:rtl/>
              </w:rPr>
              <w:t xml:space="preserve">الكسب والغلة</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الحنفية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يدخل في الرهن تبعًا، لكنه غير مضمون</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يدخل تبعًا</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المالكية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يدخل لأنه على خلقة الأصل وصورته</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لا يدخل إلا بالشرط</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الشافعية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لا يدخل (زيادة منفصلة للراهن)</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لا يدخل</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الحنابلة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يدخل (النماء المتصل والمنفصل)</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يدخل</w:t>
            </w:r>
          </w:p>
        </w:tc>
      </w:tr>
    </w:tbl>
    <w:p/>
    <w:p>
      <w:pPr>
        <w:bidi/>
        <w:spacing w:after="120" w:line="340"/>
        <w:jc w:val="both"/>
      </w:pPr>
      <w:r>
        <w:rPr>
          <w:rFonts w:ascii="Times New Roman" w:cs="Traditional Arabic" w:hAnsi="Times New Roman"/>
          <w:sz w:val="28"/>
          <w:szCs w:val="28"/>
          <w:rtl/>
        </w:rPr>
        <w:t xml:space="preserve">احتج </w:t>
      </w:r>
      <w:r>
        <w:rPr>
          <w:rFonts w:ascii="Times New Roman" w:cs="Traditional Arabic" w:hAnsi="Times New Roman"/>
          <w:b/>
          <w:bCs/>
          <w:sz w:val="28"/>
          <w:szCs w:val="28"/>
          <w:rtl/>
        </w:rPr>
        <w:t xml:space="preserve">أبو حنيفة</w:t>
      </w:r>
      <w:r>
        <w:rPr>
          <w:rFonts w:ascii="Times New Roman" w:cs="Traditional Arabic" w:hAnsi="Times New Roman"/>
          <w:sz w:val="28"/>
          <w:szCs w:val="28"/>
          <w:rtl/>
        </w:rPr>
        <w:t xml:space="preserve"> بأن الفروع تتبع الأصول، كما يتبع ولد المدبَّرة والمكاتَبة أمه. واحتج </w:t>
      </w:r>
      <w:r>
        <w:rPr>
          <w:rFonts w:ascii="Times New Roman" w:cs="Traditional Arabic" w:hAnsi="Times New Roman"/>
          <w:b/>
          <w:bCs/>
          <w:sz w:val="28"/>
          <w:szCs w:val="28"/>
          <w:rtl/>
        </w:rPr>
        <w:t xml:space="preserve">مالك</w:t>
      </w:r>
      <w:r>
        <w:rPr>
          <w:rFonts w:ascii="Times New Roman" w:cs="Traditional Arabic" w:hAnsi="Times New Roman"/>
          <w:sz w:val="28"/>
          <w:szCs w:val="28"/>
          <w:rtl/>
        </w:rPr>
        <w:t xml:space="preserve"> بأن الولد يتبع أمه في البيع، والثمرة لا تتبع إلا بالشرط. واحتج </w:t>
      </w:r>
      <w:r>
        <w:rPr>
          <w:rFonts w:ascii="Times New Roman" w:cs="Traditional Arabic" w:hAnsi="Times New Roman"/>
          <w:b/>
          <w:bCs/>
          <w:sz w:val="28"/>
          <w:szCs w:val="28"/>
          <w:rtl/>
        </w:rPr>
        <w:t xml:space="preserve">الشافعية</w:t>
      </w:r>
      <w:r>
        <w:rPr>
          <w:rFonts w:ascii="Times New Roman" w:cs="Traditional Arabic" w:hAnsi="Times New Roman"/>
          <w:sz w:val="28"/>
          <w:szCs w:val="28"/>
          <w:rtl/>
        </w:rPr>
        <w:t xml:space="preserve"> بحديث «له غُنمه» والنماء من الغُنم (ابن رشد، بداية المجتهد؛ الموسوعة الفقهية، الدرر السنية). وخالف ابن قدامة الشافعي صراحة في ولد الأمة (ابن قدامة، المغني).</w:t>
      </w:r>
    </w:p>
    <w:p>
      <w:pPr>
        <w:bidi/>
        <w:spacing w:after="120" w:line="340"/>
        <w:jc w:val="both"/>
      </w:pPr>
      <w:r>
        <w:rPr>
          <w:rFonts w:ascii="Times New Roman" w:cs="Traditional Arabic" w:hAnsi="Times New Roman"/>
          <w:b/>
          <w:bCs/>
          <w:sz w:val="28"/>
          <w:szCs w:val="28"/>
          <w:rtl/>
        </w:rPr>
        <w:t xml:space="preserve">التحليل والإشكالية:</w:t>
      </w:r>
      <w:r>
        <w:rPr>
          <w:rFonts w:ascii="Times New Roman" w:cs="Traditional Arabic" w:hAnsi="Times New Roman"/>
          <w:sz w:val="28"/>
          <w:szCs w:val="28"/>
          <w:rtl/>
        </w:rPr>
        <w:t xml:space="preserve"> يكشف هذا الخلاف عن </w:t>
      </w:r>
      <w:r>
        <w:rPr>
          <w:rFonts w:ascii="Times New Roman" w:cs="Traditional Arabic" w:hAnsi="Times New Roman"/>
          <w:b/>
          <w:bCs/>
          <w:sz w:val="28"/>
          <w:szCs w:val="28"/>
          <w:rtl/>
        </w:rPr>
        <w:t xml:space="preserve">إشكالية اتساق</w:t>
      </w:r>
      <w:r>
        <w:rPr>
          <w:rFonts w:ascii="Times New Roman" w:cs="Traditional Arabic" w:hAnsi="Times New Roman"/>
          <w:sz w:val="28"/>
          <w:szCs w:val="28"/>
          <w:rtl/>
        </w:rPr>
        <w:t xml:space="preserve"> داخل بعض الأنظمة. فالحنفية متسقون: الرهن عندهم استيفاء حكمي، والنماء يتبع الأصل، لكنهم يجعلون النماء </w:t>
      </w:r>
      <w:r>
        <w:rPr>
          <w:rFonts w:ascii="Times New Roman" w:cs="Traditional Arabic" w:hAnsi="Times New Roman"/>
          <w:b/>
          <w:bCs/>
          <w:sz w:val="28"/>
          <w:szCs w:val="28"/>
          <w:rtl/>
        </w:rPr>
        <w:t xml:space="preserve">غير مضمون</w:t>
      </w:r>
      <w:r>
        <w:rPr>
          <w:rFonts w:ascii="Times New Roman" w:cs="Traditional Arabic" w:hAnsi="Times New Roman"/>
          <w:sz w:val="28"/>
          <w:szCs w:val="28"/>
          <w:rtl/>
        </w:rPr>
        <w:t xml:space="preserve">، لأنه لم يدخل في القبض الأصلي الذي هو سبب الضمان. والشافعية متسقون كذلك: اليد أمانة، والنماء للمالك، والغنم بالغرم. أما </w:t>
      </w:r>
      <w:r>
        <w:rPr>
          <w:rFonts w:ascii="Times New Roman" w:cs="Traditional Arabic" w:hAnsi="Times New Roman"/>
          <w:b/>
          <w:bCs/>
          <w:sz w:val="28"/>
          <w:szCs w:val="28"/>
          <w:rtl/>
        </w:rPr>
        <w:t xml:space="preserve">الحنابلة</w:t>
      </w:r>
      <w:r>
        <w:rPr>
          <w:rFonts w:ascii="Times New Roman" w:cs="Traditional Arabic" w:hAnsi="Times New Roman"/>
          <w:sz w:val="28"/>
          <w:szCs w:val="28"/>
          <w:rtl/>
        </w:rPr>
        <w:t xml:space="preserve"> فيجمعون بين القول بالأمانة والقول بدخول النماء المنفصل في الرهن، وهو جمع يحتاج إلى تأسيس على قاعدة التبعية لا على تكييف اليد. ويأتي </w:t>
      </w:r>
      <w:r>
        <w:rPr>
          <w:rFonts w:ascii="Times New Roman" w:cs="Traditional Arabic" w:hAnsi="Times New Roman"/>
          <w:b/>
          <w:bCs/>
          <w:sz w:val="28"/>
          <w:szCs w:val="28"/>
          <w:rtl/>
        </w:rPr>
        <w:t xml:space="preserve">المالكية</w:t>
      </w:r>
      <w:r>
        <w:rPr>
          <w:rFonts w:ascii="Times New Roman" w:cs="Traditional Arabic" w:hAnsi="Times New Roman"/>
          <w:sz w:val="28"/>
          <w:szCs w:val="28"/>
          <w:rtl/>
        </w:rPr>
        <w:t xml:space="preserve"> بتفريق ثالث بين النماء الذي على صورة الأصل كالولد، والنماء الذي ليس على صورته كالغلة، وهو تفريق مستمد من أحكام البيع، مما يكشف عن </w:t>
      </w:r>
      <w:r>
        <w:rPr>
          <w:rFonts w:ascii="Times New Roman" w:cs="Traditional Arabic" w:hAnsi="Times New Roman"/>
          <w:b/>
          <w:bCs/>
          <w:sz w:val="28"/>
          <w:szCs w:val="28"/>
          <w:rtl/>
        </w:rPr>
        <w:t xml:space="preserve">منهج قياسي</w:t>
      </w:r>
      <w:r>
        <w:rPr>
          <w:rFonts w:ascii="Times New Roman" w:cs="Traditional Arabic" w:hAnsi="Times New Roman"/>
          <w:sz w:val="28"/>
          <w:szCs w:val="28"/>
          <w:rtl/>
        </w:rPr>
        <w:t xml:space="preserve"> يستعير ضوابط عقد آخر لحل مسألة في الرهن.</w:t>
      </w:r>
    </w:p>
    <w:p>
      <w:pPr>
        <w:pStyle w:val="Heading2"/>
        <w:bidi/>
        <w:spacing w:after="160" w:before="240"/>
        <w:jc w:val="right"/>
      </w:pPr>
      <w:r>
        <w:rPr>
          <w:rFonts w:ascii="Times New Roman" w:cs="Traditional Arabic" w:hAnsi="Times New Roman"/>
          <w:b/>
          <w:bCs/>
          <w:color w:val="2E5496"/>
          <w:sz w:val="30"/>
          <w:szCs w:val="30"/>
          <w:rtl/>
        </w:rPr>
        <w:t xml:space="preserve">المطلب الثالث: العتق والاستيلاد بين حق الحرية وحق الدائن</w:t>
      </w:r>
    </w:p>
    <w:p>
      <w:pPr>
        <w:bidi/>
        <w:spacing w:after="120" w:line="340"/>
        <w:jc w:val="both"/>
      </w:pPr>
      <w:r>
        <w:rPr>
          <w:rFonts w:ascii="Times New Roman" w:cs="Traditional Arabic" w:hAnsi="Times New Roman"/>
          <w:b/>
          <w:bCs/>
          <w:sz w:val="28"/>
          <w:szCs w:val="28"/>
          <w:rtl/>
        </w:rPr>
        <w:t xml:space="preserve">أولًا: إعتاق الراهن للعبد المرهون.</w:t>
      </w:r>
      <w:r>
        <w:rPr>
          <w:rFonts w:ascii="Times New Roman" w:cs="Traditional Arabic" w:hAnsi="Times New Roman"/>
          <w:sz w:val="28"/>
          <w:szCs w:val="28"/>
          <w:rtl/>
        </w:rPr>
        <w:t xml:space="preserve"> هذه من أهم مسائل الباب، لتعارض أصلين: حرمة إبطال حق المرتهن، وتشوّف الشارع إلى الحرية.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center"/>
            </w:pPr>
            <w:r>
              <w:rPr>
                <w:rFonts w:ascii="Times New Roman" w:cs="Traditional Arabic" w:hAnsi="Times New Roman"/>
                <w:b/>
                <w:bCs/>
                <w:sz w:val="24"/>
                <w:szCs w:val="24"/>
                <w:rtl/>
              </w:rPr>
              <w:t xml:space="preserve">المذهب</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center"/>
            </w:pPr>
            <w:r>
              <w:rPr>
                <w:rFonts w:ascii="Times New Roman" w:cs="Traditional Arabic" w:hAnsi="Times New Roman"/>
                <w:b/>
                <w:bCs/>
                <w:sz w:val="24"/>
                <w:szCs w:val="24"/>
                <w:rtl/>
              </w:rPr>
              <w:t xml:space="preserve">حكم العتق</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center"/>
            </w:pPr>
            <w:r>
              <w:rPr>
                <w:rFonts w:ascii="Times New Roman" w:cs="Traditional Arabic" w:hAnsi="Times New Roman"/>
                <w:b/>
                <w:bCs/>
                <w:sz w:val="24"/>
                <w:szCs w:val="24"/>
                <w:rtl/>
              </w:rPr>
              <w:t xml:space="preserve">الأثر على حق المرتهن</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الحنفية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ينفذ مطلقًا</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الموسر يطالب بالدين أو بالقيمة رهنًا، والمعسر يسعى عبده في الأقل من قيمته ومن الدين ثم يرجع على مولاه</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المالكية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ينفذ من الموسر دون المعسر</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يُعجَّل الدين على الموسر، ويُباع العبد على المعسر</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الشافعية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ثلاثة أقوال، والأظهر التفريق بين الموسر والمعسر</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الموسر يغرم القيمة رهنًا</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الحنابلة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ينفذ مطلقًا</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الموسر تؤخذ قيمته رهنًا، والمعسر تبقى القيمة في ذمته</w:t>
            </w:r>
          </w:p>
        </w:tc>
      </w:tr>
    </w:tbl>
    <w:p/>
    <w:p>
      <w:pPr>
        <w:bidi/>
        <w:spacing w:after="120" w:line="340"/>
        <w:jc w:val="both"/>
      </w:pPr>
      <w:r>
        <w:rPr>
          <w:rFonts w:ascii="Times New Roman" w:cs="Traditional Arabic" w:hAnsi="Times New Roman"/>
          <w:sz w:val="28"/>
          <w:szCs w:val="28"/>
          <w:rtl/>
        </w:rPr>
        <w:t xml:space="preserve">وقال عطاء والبتّي وأبو ثور: لا ينفذ مطلقًا. ويتفق الجميع على النفاذ إذا أذن المرتهن (الموصلي، الاختيار؛ ابن رشد، بداية المجتهد؛ ابن قدامة، المغني؛ العلامة الحلي، تذكرة الفقهاء).</w:t>
      </w:r>
    </w:p>
    <w:p>
      <w:pPr>
        <w:bidi/>
        <w:spacing w:after="120" w:line="340"/>
        <w:jc w:val="both"/>
      </w:pPr>
      <w:r>
        <w:rPr>
          <w:rFonts w:ascii="Times New Roman" w:cs="Traditional Arabic" w:hAnsi="Times New Roman"/>
          <w:b/>
          <w:bCs/>
          <w:sz w:val="28"/>
          <w:szCs w:val="28"/>
          <w:rtl/>
        </w:rPr>
        <w:t xml:space="preserve">ثانيًا: وطء الراهن واستيلاده.</w:t>
      </w:r>
      <w:r>
        <w:rPr>
          <w:rFonts w:ascii="Times New Roman" w:cs="Traditional Arabic" w:hAnsi="Times New Roman"/>
          <w:sz w:val="28"/>
          <w:szCs w:val="28"/>
          <w:rtl/>
        </w:rPr>
        <w:t xml:space="preserve"> ذهب أكثر أهل العلم إلى منع الراهن من وطء أمته المرهونة، لأن الوطء قد يُفضي إلى الحمل فتصير أم ولد، و«العلوق ليس له وقت معلوم». ويمنع الشافعية وطء البكر مطلقًا والثيب التي تحبل، وفي الآيسة والصغيرة وجهان. وعند الإمامية لا يطؤها إلا بإذن المرتهن. فإن وطئ فلا حد عليه ولا مهر، لأنها ملكه (ابن قدامة، المغني؛ بهاء الدين المقدسي، العدة؛ العلامة الحلي، تذكرة الفقهاء). فإن حملت وولدت: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center"/>
            </w:pPr>
            <w:r>
              <w:rPr>
                <w:rFonts w:ascii="Times New Roman" w:cs="Traditional Arabic" w:hAnsi="Times New Roman"/>
                <w:b/>
                <w:bCs/>
                <w:sz w:val="24"/>
                <w:szCs w:val="24"/>
                <w:rtl/>
              </w:rPr>
              <w:t xml:space="preserve">المذهب</w:t>
            </w:r>
          </w:p>
        </w:tc>
        <w:tc>
          <w:tcPr>
            <w:tcW w:type="dxa" w:w="4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center"/>
            </w:pPr>
            <w:r>
              <w:rPr>
                <w:rFonts w:ascii="Times New Roman" w:cs="Traditional Arabic" w:hAnsi="Times New Roman"/>
                <w:b/>
                <w:bCs/>
                <w:sz w:val="24"/>
                <w:szCs w:val="24"/>
                <w:rtl/>
              </w:rPr>
              <w:t xml:space="preserve">أثر الاستيلاد</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الحنفية</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تصير أم ولد؛ الموسر حكمه حكم العتق، والمعسر تسعى الأمة وولدها في جميع الدين</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المالكية</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إن كان معسرًا بيعت بعد الوضع وحلول الأجل، والولد حر</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الشافعية</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الإيلاد كالإعتاق: ينفذ من الموسر، ولا ينفذ من المعسر على الأظهر</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الحنابلة</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تخرج من الرهن وعليه قيمتها رهنًا، وتصير أم ولد</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الإمامية</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center"/>
            </w:pPr>
            <w:r>
              <w:rPr>
                <w:rFonts w:ascii="Times New Roman" w:cs="Traditional Arabic" w:hAnsi="Times New Roman"/>
                <w:b w:val="false"/>
                <w:sz w:val="24"/>
                <w:szCs w:val="24"/>
                <w:rtl/>
              </w:rPr>
              <w:t xml:space="preserve">تصير أم ولد ولا يبطل الرهن؛ والمعسر يجوز بيعها في الدين</w:t>
            </w:r>
          </w:p>
        </w:tc>
      </w:tr>
    </w:tbl>
    <w:p/>
    <w:p>
      <w:pPr>
        <w:bidi/>
        <w:spacing w:after="120" w:line="340"/>
        <w:jc w:val="both"/>
      </w:pPr>
      <w:r>
        <w:rPr>
          <w:rFonts w:ascii="Times New Roman" w:cs="Traditional Arabic" w:hAnsi="Times New Roman"/>
          <w:sz w:val="28"/>
          <w:szCs w:val="28"/>
          <w:rtl/>
        </w:rPr>
        <w:t xml:space="preserve">(الموصلي، الاختيار؛ ابن ناجي، شرح الرسالة؛ ابن قدامة، المغني؛ العلامة الحلي، تذكرة الفقهاء).</w:t>
      </w:r>
    </w:p>
    <w:p>
      <w:pPr>
        <w:bidi/>
        <w:spacing w:after="120" w:line="340"/>
        <w:jc w:val="both"/>
      </w:pPr>
      <w:r>
        <w:rPr>
          <w:rFonts w:ascii="Times New Roman" w:cs="Traditional Arabic" w:hAnsi="Times New Roman"/>
          <w:b/>
          <w:bCs/>
          <w:sz w:val="28"/>
          <w:szCs w:val="28"/>
          <w:rtl/>
        </w:rPr>
        <w:t xml:space="preserve">التحليل والإشكالية:</w:t>
      </w:r>
      <w:r>
        <w:rPr>
          <w:rFonts w:ascii="Times New Roman" w:cs="Traditional Arabic" w:hAnsi="Times New Roman"/>
          <w:sz w:val="28"/>
          <w:szCs w:val="28"/>
          <w:rtl/>
        </w:rPr>
        <w:t xml:space="preserve"> تمثل هذه المسائل </w:t>
      </w:r>
      <w:r>
        <w:rPr>
          <w:rFonts w:ascii="Times New Roman" w:cs="Traditional Arabic" w:hAnsi="Times New Roman"/>
          <w:b/>
          <w:bCs/>
          <w:sz w:val="28"/>
          <w:szCs w:val="28"/>
          <w:rtl/>
        </w:rPr>
        <w:t xml:space="preserve">أشد نقاط التوتر</w:t>
      </w:r>
      <w:r>
        <w:rPr>
          <w:rFonts w:ascii="Times New Roman" w:cs="Traditional Arabic" w:hAnsi="Times New Roman"/>
          <w:sz w:val="28"/>
          <w:szCs w:val="28"/>
          <w:rtl/>
        </w:rPr>
        <w:t xml:space="preserve"> في النظام، لأن الحرية في الفقه الإسلامي حق لا يقبل الرجوع: فإذا نفذ العتق لم يعد العبد مالًا يمكن بيعه. ومن ثم فإن الخيار الذي يواجهه الفقيه هو: إما أن ينفذ العتق فيضيع محل الرهن، وإما أن يمنعه فيُهدر تشوف الشارع إلى الحرية. وقد تنوعت الحلول المذهبية على ثلاثة نماذج:</w:t>
      </w:r>
    </w:p>
    <w:p>
      <w:pPr>
        <w:bidi/>
        <w:spacing w:after="120" w:line="340"/>
        <w:ind w:right="360" w:hanging="360"/>
        <w:jc w:val="both"/>
      </w:pPr>
      <w:r>
        <w:rPr>
          <w:rFonts w:ascii="Times New Roman" w:cs="Traditional Arabic" w:hAnsi="Times New Roman"/>
          <w:sz w:val="28"/>
          <w:szCs w:val="28"/>
          <w:rtl/>
        </w:rPr>
        <w:t xml:space="preserve">1. </w:t>
      </w:r>
      <w:r>
        <w:rPr>
          <w:rFonts w:ascii="Times New Roman" w:cs="Traditional Arabic" w:hAnsi="Times New Roman"/>
          <w:b/>
          <w:bCs/>
          <w:sz w:val="28"/>
          <w:szCs w:val="28"/>
          <w:rtl/>
        </w:rPr>
        <w:t xml:space="preserve">نموذج تغليب الحرية مع جبر حق الدائن</w:t>
      </w:r>
      <w:r>
        <w:rPr>
          <w:rFonts w:ascii="Times New Roman" w:cs="Traditional Arabic" w:hAnsi="Times New Roman"/>
          <w:sz w:val="28"/>
          <w:szCs w:val="28"/>
          <w:rtl/>
        </w:rPr>
        <w:t xml:space="preserve"> (الحنفية والحنابلة): ينفذ العتق والاستيلاد دائمًا، ويُجبر حق المرتهن بالقيمة. ويتميز الحنفية بآلية </w:t>
      </w:r>
      <w:r>
        <w:rPr>
          <w:rFonts w:ascii="Times New Roman" w:cs="Traditional Arabic" w:hAnsi="Times New Roman"/>
          <w:b/>
          <w:bCs/>
          <w:sz w:val="28"/>
          <w:szCs w:val="28"/>
          <w:rtl/>
        </w:rPr>
        <w:t xml:space="preserve">السعاية</w:t>
      </w:r>
      <w:r>
        <w:rPr>
          <w:rFonts w:ascii="Times New Roman" w:cs="Traditional Arabic" w:hAnsi="Times New Roman"/>
          <w:sz w:val="28"/>
          <w:szCs w:val="28"/>
          <w:rtl/>
        </w:rPr>
        <w:t xml:space="preserve">، إذ يُكلَّف العبد المعتَق، أو الأمة وولدها، بالسعي في الدين إذا أعسر المالك، فيتحمل المستفيد من الحرية جزءًا من كلفتها، ثم يرجع على المالك إذا أيسر. ويكتفي الحنابلة بجعل القيمة دينًا في ذمة المعسر، فيتحمل المرتهن خطر الإعسار.</w:t>
      </w:r>
    </w:p>
    <w:p>
      <w:pPr>
        <w:bidi/>
        <w:spacing w:after="120" w:line="340"/>
        <w:ind w:right="360" w:hanging="360"/>
        <w:jc w:val="both"/>
      </w:pPr>
      <w:r>
        <w:rPr>
          <w:rFonts w:ascii="Times New Roman" w:cs="Traditional Arabic" w:hAnsi="Times New Roman"/>
          <w:sz w:val="28"/>
          <w:szCs w:val="28"/>
          <w:rtl/>
        </w:rPr>
        <w:t xml:space="preserve">2. </w:t>
      </w:r>
      <w:r>
        <w:rPr>
          <w:rFonts w:ascii="Times New Roman" w:cs="Traditional Arabic" w:hAnsi="Times New Roman"/>
          <w:b/>
          <w:bCs/>
          <w:sz w:val="28"/>
          <w:szCs w:val="28"/>
          <w:rtl/>
        </w:rPr>
        <w:t xml:space="preserve">نموذج التفريق بحسب اليسار</w:t>
      </w:r>
      <w:r>
        <w:rPr>
          <w:rFonts w:ascii="Times New Roman" w:cs="Traditional Arabic" w:hAnsi="Times New Roman"/>
          <w:sz w:val="28"/>
          <w:szCs w:val="28"/>
          <w:rtl/>
        </w:rPr>
        <w:t xml:space="preserve"> (المالكية والأظهر عند الشافعية): ينفذ العتق من الموسر لأن حق الدائن مجبور بماله، ولا ينفذ من المعسر لأن تنفيذه يُهدر حق الدائن بلا جابر. ويبلغ هذا النموذج عند المالكية حد </w:t>
      </w:r>
      <w:r>
        <w:rPr>
          <w:rFonts w:ascii="Times New Roman" w:cs="Traditional Arabic" w:hAnsi="Times New Roman"/>
          <w:b/>
          <w:bCs/>
          <w:sz w:val="28"/>
          <w:szCs w:val="28"/>
          <w:rtl/>
        </w:rPr>
        <w:t xml:space="preserve">بيع أم الولد</w:t>
      </w:r>
      <w:r>
        <w:rPr>
          <w:rFonts w:ascii="Times New Roman" w:cs="Traditional Arabic" w:hAnsi="Times New Roman"/>
          <w:sz w:val="28"/>
          <w:szCs w:val="28"/>
          <w:rtl/>
        </w:rPr>
        <w:t xml:space="preserve"> بعد الوضع إذا كان الراهن معسرًا، وهي من الصور النادرة التي يُستثنى فيها أصل منع بيع أم الولد.</w:t>
      </w:r>
    </w:p>
    <w:p>
      <w:pPr>
        <w:bidi/>
        <w:spacing w:after="120" w:line="340"/>
        <w:ind w:right="360" w:hanging="360"/>
        <w:jc w:val="both"/>
      </w:pPr>
      <w:r>
        <w:rPr>
          <w:rFonts w:ascii="Times New Roman" w:cs="Traditional Arabic" w:hAnsi="Times New Roman"/>
          <w:sz w:val="28"/>
          <w:szCs w:val="28"/>
          <w:rtl/>
        </w:rPr>
        <w:t xml:space="preserve">3. </w:t>
      </w:r>
      <w:r>
        <w:rPr>
          <w:rFonts w:ascii="Times New Roman" w:cs="Traditional Arabic" w:hAnsi="Times New Roman"/>
          <w:b/>
          <w:bCs/>
          <w:sz w:val="28"/>
          <w:szCs w:val="28"/>
          <w:rtl/>
        </w:rPr>
        <w:t xml:space="preserve">نموذج تغليب حق الدائن</w:t>
      </w:r>
      <w:r>
        <w:rPr>
          <w:rFonts w:ascii="Times New Roman" w:cs="Traditional Arabic" w:hAnsi="Times New Roman"/>
          <w:sz w:val="28"/>
          <w:szCs w:val="28"/>
          <w:rtl/>
        </w:rPr>
        <w:t xml:space="preserve"> (عطاء والبتّي وأبو ثور): لا ينفذ العتق مطلقًا، حمايةً للرهن بوصفه عقدًا لازمًا.</w:t>
      </w:r>
    </w:p>
    <w:p>
      <w:pPr>
        <w:bidi/>
        <w:spacing w:after="120" w:line="340"/>
        <w:jc w:val="both"/>
      </w:pPr>
      <w:r>
        <w:rPr>
          <w:rFonts w:ascii="Times New Roman" w:cs="Traditional Arabic" w:hAnsi="Times New Roman"/>
          <w:sz w:val="28"/>
          <w:szCs w:val="28"/>
          <w:rtl/>
        </w:rPr>
        <w:t xml:space="preserve">ويكشف الحل الحنفي عن </w:t>
      </w:r>
      <w:r>
        <w:rPr>
          <w:rFonts w:ascii="Times New Roman" w:cs="Traditional Arabic" w:hAnsi="Times New Roman"/>
          <w:b/>
          <w:bCs/>
          <w:sz w:val="28"/>
          <w:szCs w:val="28"/>
          <w:rtl/>
        </w:rPr>
        <w:t xml:space="preserve">براعة في توزيع العبء</w:t>
      </w:r>
      <w:r>
        <w:rPr>
          <w:rFonts w:ascii="Times New Roman" w:cs="Traditional Arabic" w:hAnsi="Times New Roman"/>
          <w:sz w:val="28"/>
          <w:szCs w:val="28"/>
          <w:rtl/>
        </w:rPr>
        <w:t xml:space="preserve">: فبدلًا من أن يتحمل الدائن وحده خطر إعسار المالك، أو يتحمل العبد وحده خسارة حريته، وزّع العبء بين الثلاثة: المالك بالرجوع عليه، والعبد بالسعاية، والدائن بالانتظار. أما الحل المالكي فأكثر حماية للدائن، والحل الحنبلي أكثر تغليبًا للحرية.</w:t>
      </w:r>
    </w:p>
    <w:p>
      <w:pPr>
        <w:pStyle w:val="Heading2"/>
        <w:bidi/>
        <w:spacing w:after="160" w:before="240"/>
        <w:jc w:val="right"/>
      </w:pPr>
      <w:r>
        <w:rPr>
          <w:rFonts w:ascii="Times New Roman" w:cs="Traditional Arabic" w:hAnsi="Times New Roman"/>
          <w:b/>
          <w:bCs/>
          <w:color w:val="2E5496"/>
          <w:sz w:val="30"/>
          <w:szCs w:val="30"/>
          <w:rtl/>
        </w:rPr>
        <w:t xml:space="preserve">المطلب الرابع: وطء المرتهن وآثاره الجنائية والمدنية</w:t>
      </w:r>
    </w:p>
    <w:p>
      <w:pPr>
        <w:bidi/>
        <w:spacing w:after="120" w:line="340"/>
        <w:jc w:val="both"/>
      </w:pPr>
      <w:r>
        <w:rPr>
          <w:rFonts w:ascii="Times New Roman" w:cs="Traditional Arabic" w:hAnsi="Times New Roman"/>
          <w:sz w:val="28"/>
          <w:szCs w:val="28"/>
          <w:rtl/>
        </w:rPr>
        <w:t xml:space="preserve">اتفقت المذاهب على </w:t>
      </w:r>
      <w:r>
        <w:rPr>
          <w:rFonts w:ascii="Times New Roman" w:cs="Traditional Arabic" w:hAnsi="Times New Roman"/>
          <w:b/>
          <w:bCs/>
          <w:sz w:val="28"/>
          <w:szCs w:val="28"/>
          <w:rtl/>
        </w:rPr>
        <w:t xml:space="preserve">تحريم وطء المرتهن للأمة المرهونة</w:t>
      </w:r>
      <w:r>
        <w:rPr>
          <w:rFonts w:ascii="Times New Roman" w:cs="Traditional Arabic" w:hAnsi="Times New Roman"/>
          <w:sz w:val="28"/>
          <w:szCs w:val="28"/>
          <w:rtl/>
        </w:rPr>
        <w:t xml:space="preserve">، ونقل ابن قدامة فيه الإجماع، لأن الرهن عقد توثّق لا يمنح ملكًا ولا حقًا في البضع (ابن قدامة، المغني). واختلفوا في الآثار:</w:t>
      </w:r>
    </w:p>
    <w:p>
      <w:pPr>
        <w:bidi/>
        <w:spacing w:after="120" w:line="340"/>
        <w:jc w:val="both"/>
      </w:pPr>
      <w:r>
        <w:rPr>
          <w:rFonts w:ascii="Times New Roman" w:cs="Traditional Arabic" w:hAnsi="Times New Roman"/>
          <w:b/>
          <w:bCs/>
          <w:sz w:val="28"/>
          <w:szCs w:val="28"/>
          <w:rtl/>
        </w:rPr>
        <w:t xml:space="preserve">أولًا: الحد.</w:t>
      </w:r>
      <w:r>
        <w:rPr>
          <w:rFonts w:ascii="Times New Roman" w:cs="Traditional Arabic" w:hAnsi="Times New Roman"/>
          <w:sz w:val="28"/>
          <w:szCs w:val="28"/>
          <w:rtl/>
        </w:rPr>
        <w:t xml:space="preserve"> عند </w:t>
      </w:r>
      <w:r>
        <w:rPr>
          <w:rFonts w:ascii="Times New Roman" w:cs="Traditional Arabic" w:hAnsi="Times New Roman"/>
          <w:b/>
          <w:bCs/>
          <w:sz w:val="28"/>
          <w:szCs w:val="28"/>
          <w:rtl/>
        </w:rPr>
        <w:t xml:space="preserve">الحنابلة</w:t>
      </w:r>
      <w:r>
        <w:rPr>
          <w:rFonts w:ascii="Times New Roman" w:cs="Traditional Arabic" w:hAnsi="Times New Roman"/>
          <w:sz w:val="28"/>
          <w:szCs w:val="28"/>
          <w:rtl/>
        </w:rPr>
        <w:t xml:space="preserve"> يُحد العالم بالتحريم، فإن ادعى الجهل وكان محتملًا فلا حد. وعند </w:t>
      </w:r>
      <w:r>
        <w:rPr>
          <w:rFonts w:ascii="Times New Roman" w:cs="Traditional Arabic" w:hAnsi="Times New Roman"/>
          <w:b/>
          <w:bCs/>
          <w:sz w:val="28"/>
          <w:szCs w:val="28"/>
          <w:rtl/>
        </w:rPr>
        <w:t xml:space="preserve">الشافعية</w:t>
      </w:r>
      <w:r>
        <w:rPr>
          <w:rFonts w:ascii="Times New Roman" w:cs="Traditional Arabic" w:hAnsi="Times New Roman"/>
          <w:sz w:val="28"/>
          <w:szCs w:val="28"/>
          <w:rtl/>
        </w:rPr>
        <w:t xml:space="preserve"> يُفرَّق بين الوطء بإذن الراهن وبدونه، وبين العلم والجهل (العمراني، البيان). وعند </w:t>
      </w:r>
      <w:r>
        <w:rPr>
          <w:rFonts w:ascii="Times New Roman" w:cs="Traditional Arabic" w:hAnsi="Times New Roman"/>
          <w:b/>
          <w:bCs/>
          <w:sz w:val="28"/>
          <w:szCs w:val="28"/>
          <w:rtl/>
        </w:rPr>
        <w:t xml:space="preserve">الحنفية</w:t>
      </w:r>
      <w:r>
        <w:rPr>
          <w:rFonts w:ascii="Times New Roman" w:cs="Traditional Arabic" w:hAnsi="Times New Roman"/>
          <w:sz w:val="28"/>
          <w:szCs w:val="28"/>
          <w:rtl/>
        </w:rPr>
        <w:t xml:space="preserve"> روايتان: </w:t>
      </w:r>
      <w:r>
        <w:rPr>
          <w:rFonts w:ascii="Times New Roman" w:cs="Traditional Arabic" w:hAnsi="Times New Roman"/>
          <w:b/>
          <w:bCs/>
          <w:sz w:val="28"/>
          <w:szCs w:val="28"/>
          <w:rtl/>
        </w:rPr>
        <w:t xml:space="preserve">رواية كتاب الحدود</w:t>
      </w:r>
      <w:r>
        <w:rPr>
          <w:rFonts w:ascii="Times New Roman" w:cs="Traditional Arabic" w:hAnsi="Times New Roman"/>
          <w:sz w:val="28"/>
          <w:szCs w:val="28"/>
          <w:rtl/>
        </w:rPr>
        <w:t xml:space="preserve"> التي تجعلها من </w:t>
      </w:r>
      <w:r>
        <w:rPr>
          <w:rFonts w:ascii="Times New Roman" w:cs="Traditional Arabic" w:hAnsi="Times New Roman"/>
          <w:b/>
          <w:bCs/>
          <w:sz w:val="28"/>
          <w:szCs w:val="28"/>
          <w:rtl/>
        </w:rPr>
        <w:t xml:space="preserve">شبهة الفعل</w:t>
      </w:r>
      <w:r>
        <w:rPr>
          <w:rFonts w:ascii="Times New Roman" w:cs="Traditional Arabic" w:hAnsi="Times New Roman"/>
          <w:sz w:val="28"/>
          <w:szCs w:val="28"/>
          <w:rtl/>
        </w:rPr>
        <w:t xml:space="preserve">، فإن قال: ظننت أنها تحل لي لم يُحد، وإلا حُد، و</w:t>
      </w:r>
      <w:r>
        <w:rPr>
          <w:rFonts w:ascii="Times New Roman" w:cs="Traditional Arabic" w:hAnsi="Times New Roman"/>
          <w:b/>
          <w:bCs/>
          <w:sz w:val="28"/>
          <w:szCs w:val="28"/>
          <w:rtl/>
        </w:rPr>
        <w:t xml:space="preserve">رواية كتاب الرهن</w:t>
      </w:r>
      <w:r>
        <w:rPr>
          <w:rFonts w:ascii="Times New Roman" w:cs="Traditional Arabic" w:hAnsi="Times New Roman"/>
          <w:sz w:val="28"/>
          <w:szCs w:val="28"/>
          <w:rtl/>
        </w:rPr>
        <w:t xml:space="preserve"> التي لا توجب الحد مطلقًا لأن الشبهة </w:t>
      </w:r>
      <w:r>
        <w:rPr>
          <w:rFonts w:ascii="Times New Roman" w:cs="Traditional Arabic" w:hAnsi="Times New Roman"/>
          <w:b/>
          <w:bCs/>
          <w:sz w:val="28"/>
          <w:szCs w:val="28"/>
          <w:rtl/>
        </w:rPr>
        <w:t xml:space="preserve">في المحل</w:t>
      </w:r>
      <w:r>
        <w:rPr>
          <w:rFonts w:ascii="Times New Roman" w:cs="Traditional Arabic" w:hAnsi="Times New Roman"/>
          <w:sz w:val="28"/>
          <w:szCs w:val="28"/>
          <w:rtl/>
        </w:rPr>
        <w:t xml:space="preserve">، إذ يد المرتهن يد استيفاء (ابن الهمام، فتح القدير؛ فرج ونسيمة، أثر الشبهات في درء الحدود).</w:t>
      </w:r>
    </w:p>
    <w:p>
      <w:pPr>
        <w:bidi/>
        <w:spacing w:after="120" w:line="340"/>
        <w:jc w:val="both"/>
      </w:pPr>
      <w:r>
        <w:rPr>
          <w:rFonts w:ascii="Times New Roman" w:cs="Traditional Arabic" w:hAnsi="Times New Roman"/>
          <w:b/>
          <w:bCs/>
          <w:sz w:val="28"/>
          <w:szCs w:val="28"/>
          <w:rtl/>
        </w:rPr>
        <w:t xml:space="preserve">ثانيًا: المهر.</w:t>
      </w:r>
      <w:r>
        <w:rPr>
          <w:rFonts w:ascii="Times New Roman" w:cs="Traditional Arabic" w:hAnsi="Times New Roman"/>
          <w:sz w:val="28"/>
          <w:szCs w:val="28"/>
          <w:rtl/>
        </w:rPr>
        <w:t xml:space="preserve"> أوجبه الحنابلة </w:t>
      </w:r>
      <w:r>
        <w:rPr>
          <w:rFonts w:ascii="Times New Roman" w:cs="Traditional Arabic" w:hAnsi="Times New Roman"/>
          <w:b/>
          <w:bCs/>
          <w:sz w:val="28"/>
          <w:szCs w:val="28"/>
          <w:rtl/>
        </w:rPr>
        <w:t xml:space="preserve">للسيد الراهن</w:t>
      </w:r>
      <w:r>
        <w:rPr>
          <w:rFonts w:ascii="Times New Roman" w:cs="Traditional Arabic" w:hAnsi="Times New Roman"/>
          <w:sz w:val="28"/>
          <w:szCs w:val="28"/>
          <w:rtl/>
        </w:rPr>
        <w:t xml:space="preserve"> ولو كانت مطاوعة، وحكى ابن قدامة خلاف أبي حنيفة في مستحقه، وأحد قولي الشافعي في عدم وجوبه مع الإذن (ابن قدامة، المغني).</w:t>
      </w:r>
    </w:p>
    <w:p>
      <w:pPr>
        <w:bidi/>
        <w:spacing w:after="120" w:line="340"/>
        <w:jc w:val="both"/>
      </w:pPr>
      <w:r>
        <w:rPr>
          <w:rFonts w:ascii="Times New Roman" w:cs="Traditional Arabic" w:hAnsi="Times New Roman"/>
          <w:b/>
          <w:bCs/>
          <w:sz w:val="28"/>
          <w:szCs w:val="28"/>
          <w:rtl/>
        </w:rPr>
        <w:t xml:space="preserve">ثالثًا: النسب والحرية.</w:t>
      </w:r>
      <w:r>
        <w:rPr>
          <w:rFonts w:ascii="Times New Roman" w:cs="Traditional Arabic" w:hAnsi="Times New Roman"/>
          <w:sz w:val="28"/>
          <w:szCs w:val="28"/>
          <w:rtl/>
        </w:rPr>
        <w:t xml:space="preserve"> حيث سقط الحد للشبهة </w:t>
      </w:r>
      <w:r>
        <w:rPr>
          <w:rFonts w:ascii="Times New Roman" w:cs="Traditional Arabic" w:hAnsi="Times New Roman"/>
          <w:b/>
          <w:bCs/>
          <w:sz w:val="28"/>
          <w:szCs w:val="28"/>
          <w:rtl/>
        </w:rPr>
        <w:t xml:space="preserve">ثبت النسب وكان الولد حرًا</w:t>
      </w:r>
      <w:r>
        <w:rPr>
          <w:rFonts w:ascii="Times New Roman" w:cs="Traditional Arabic" w:hAnsi="Times New Roman"/>
          <w:sz w:val="28"/>
          <w:szCs w:val="28"/>
          <w:rtl/>
        </w:rPr>
        <w:t xml:space="preserve"> وعلى الواطئ قيمته للراهن، وحيث وجب الحد </w:t>
      </w:r>
      <w:r>
        <w:rPr>
          <w:rFonts w:ascii="Times New Roman" w:cs="Traditional Arabic" w:hAnsi="Times New Roman"/>
          <w:b/>
          <w:bCs/>
          <w:sz w:val="28"/>
          <w:szCs w:val="28"/>
          <w:rtl/>
        </w:rPr>
        <w:t xml:space="preserve">لم يثبت النسب وكان الولد رقيقًا</w:t>
      </w:r>
      <w:r>
        <w:rPr>
          <w:rFonts w:ascii="Times New Roman" w:cs="Traditional Arabic" w:hAnsi="Times New Roman"/>
          <w:sz w:val="28"/>
          <w:szCs w:val="28"/>
          <w:rtl/>
        </w:rPr>
        <w:t xml:space="preserve"> للراهن.</w:t>
      </w:r>
    </w:p>
    <w:p>
      <w:pPr>
        <w:bidi/>
        <w:spacing w:after="120" w:line="340"/>
        <w:jc w:val="both"/>
      </w:pPr>
      <w:r>
        <w:rPr>
          <w:rFonts w:ascii="Times New Roman" w:cs="Traditional Arabic" w:hAnsi="Times New Roman"/>
          <w:b/>
          <w:bCs/>
          <w:sz w:val="28"/>
          <w:szCs w:val="28"/>
          <w:rtl/>
        </w:rPr>
        <w:t xml:space="preserve">التحليل والإشكالية:</w:t>
      </w:r>
      <w:r>
        <w:rPr>
          <w:rFonts w:ascii="Times New Roman" w:cs="Traditional Arabic" w:hAnsi="Times New Roman"/>
          <w:sz w:val="28"/>
          <w:szCs w:val="28"/>
          <w:rtl/>
        </w:rPr>
        <w:t xml:space="preserve"> تكشف هذه المسألة عن </w:t>
      </w:r>
      <w:r>
        <w:rPr>
          <w:rFonts w:ascii="Times New Roman" w:cs="Traditional Arabic" w:hAnsi="Times New Roman"/>
          <w:b/>
          <w:bCs/>
          <w:sz w:val="28"/>
          <w:szCs w:val="28"/>
          <w:rtl/>
        </w:rPr>
        <w:t xml:space="preserve">التلازم البنيوي</w:t>
      </w:r>
      <w:r>
        <w:rPr>
          <w:rFonts w:ascii="Times New Roman" w:cs="Traditional Arabic" w:hAnsi="Times New Roman"/>
          <w:sz w:val="28"/>
          <w:szCs w:val="28"/>
          <w:rtl/>
        </w:rPr>
        <w:t xml:space="preserve"> بين أحكام الرهن المدنية وأحكام الحدود الجنائية. فالرواية الحنفية في كتاب الرهن ليست حكمًا معزولًا، بل نتيجة منطقية لتكييف يد المرتهن بأنها </w:t>
      </w:r>
      <w:r>
        <w:rPr>
          <w:rFonts w:ascii="Times New Roman" w:cs="Traditional Arabic" w:hAnsi="Times New Roman"/>
          <w:b/>
          <w:bCs/>
          <w:sz w:val="28"/>
          <w:szCs w:val="28"/>
          <w:rtl/>
        </w:rPr>
        <w:t xml:space="preserve">يد استيفاء</w:t>
      </w:r>
      <w:r>
        <w:rPr>
          <w:rFonts w:ascii="Times New Roman" w:cs="Traditional Arabic" w:hAnsi="Times New Roman"/>
          <w:sz w:val="28"/>
          <w:szCs w:val="28"/>
          <w:rtl/>
        </w:rPr>
        <w:t xml:space="preserve">: فإذا كان المرتهن كالمستوفي لحقه من الأمة، قامت له فيها شبهة ملك تدرأ الحد. أما رواية كتاب الحدود فتنظر إلى الرهن من زاوية أضيق، فلا تعتد إلا بشبهة الاشتباه في ذهن الفاعل. ويدل التعارض بين الروايتين داخل المذهب الواحد على أن </w:t>
      </w:r>
      <w:r>
        <w:rPr>
          <w:rFonts w:ascii="Times New Roman" w:cs="Traditional Arabic" w:hAnsi="Times New Roman"/>
          <w:b/>
          <w:bCs/>
          <w:sz w:val="28"/>
          <w:szCs w:val="28"/>
          <w:rtl/>
        </w:rPr>
        <w:t xml:space="preserve">تكييف العقد المدني يمتد أثره إلى المجال الجنائي</w:t>
      </w:r>
      <w:r>
        <w:rPr>
          <w:rFonts w:ascii="Times New Roman" w:cs="Traditional Arabic" w:hAnsi="Times New Roman"/>
          <w:sz w:val="28"/>
          <w:szCs w:val="28"/>
          <w:rtl/>
        </w:rPr>
        <w:t xml:space="preserve">. ويكشف التلازم بين سقوط الحد وثبوت النسب عن مبدأ حمائي للولد: فكلما وُجدت شبهة معتبرة، ألحق الفقه الولد بأبيه وحرره، ولم يجعله يدفع ثمن فعل أبيه.</w:t>
      </w:r>
    </w:p>
    <w:p>
      <w:pPr>
        <w:pStyle w:val="Heading2"/>
        <w:bidi/>
        <w:spacing w:after="160" w:before="240"/>
        <w:jc w:val="right"/>
      </w:pPr>
      <w:r>
        <w:rPr>
          <w:rFonts w:ascii="Times New Roman" w:cs="Traditional Arabic" w:hAnsi="Times New Roman"/>
          <w:b/>
          <w:bCs/>
          <w:color w:val="2E5496"/>
          <w:sz w:val="30"/>
          <w:szCs w:val="30"/>
          <w:rtl/>
        </w:rPr>
        <w:t xml:space="preserve">المطلب الخامس: الجنايات وانتقال الحق إلى البدل</w:t>
      </w:r>
    </w:p>
    <w:p>
      <w:pPr>
        <w:bidi/>
        <w:spacing w:after="120" w:line="340"/>
        <w:jc w:val="both"/>
      </w:pPr>
      <w:r>
        <w:rPr>
          <w:rFonts w:ascii="Times New Roman" w:cs="Traditional Arabic" w:hAnsi="Times New Roman"/>
          <w:b/>
          <w:bCs/>
          <w:sz w:val="28"/>
          <w:szCs w:val="28"/>
          <w:rtl/>
        </w:rPr>
        <w:t xml:space="preserve">أولًا: جناية العبد المرهون.</w:t>
      </w:r>
      <w:r>
        <w:rPr>
          <w:rFonts w:ascii="Times New Roman" w:cs="Traditional Arabic" w:hAnsi="Times New Roman"/>
          <w:sz w:val="28"/>
          <w:szCs w:val="28"/>
          <w:rtl/>
        </w:rPr>
        <w:t xml:space="preserve"> إذا جنى العبد المرهون على غيره تزاحم على رقبته حقان. فعند </w:t>
      </w:r>
      <w:r>
        <w:rPr>
          <w:rFonts w:ascii="Times New Roman" w:cs="Traditional Arabic" w:hAnsi="Times New Roman"/>
          <w:b/>
          <w:bCs/>
          <w:sz w:val="28"/>
          <w:szCs w:val="28"/>
          <w:rtl/>
        </w:rPr>
        <w:t xml:space="preserve">الحنابلة</w:t>
      </w:r>
      <w:r>
        <w:rPr>
          <w:rFonts w:ascii="Times New Roman" w:cs="Traditional Arabic" w:hAnsi="Times New Roman"/>
          <w:sz w:val="28"/>
          <w:szCs w:val="28"/>
          <w:rtl/>
        </w:rPr>
        <w:t xml:space="preserve"> المجني عليه </w:t>
      </w:r>
      <w:r>
        <w:rPr>
          <w:rFonts w:ascii="Times New Roman" w:cs="Traditional Arabic" w:hAnsi="Times New Roman"/>
          <w:b/>
          <w:bCs/>
          <w:sz w:val="28"/>
          <w:szCs w:val="28"/>
          <w:rtl/>
        </w:rPr>
        <w:t xml:space="preserve">أحق برقبة العبد من المرتهن</w:t>
      </w:r>
      <w:r>
        <w:rPr>
          <w:rFonts w:ascii="Times New Roman" w:cs="Traditional Arabic" w:hAnsi="Times New Roman"/>
          <w:sz w:val="28"/>
          <w:szCs w:val="28"/>
          <w:rtl/>
        </w:rPr>
        <w:t xml:space="preserve">، لأن حقه متعلق بالرقبة ابتداءً ولم يثبت باختياره، فإن فداه السيد بقي رهنًا، وإلا بيع في الجناية وما فضل يبقى رهنًا (ابن قدامة، المغني). وعند </w:t>
      </w:r>
      <w:r>
        <w:rPr>
          <w:rFonts w:ascii="Times New Roman" w:cs="Traditional Arabic" w:hAnsi="Times New Roman"/>
          <w:b/>
          <w:bCs/>
          <w:sz w:val="28"/>
          <w:szCs w:val="28"/>
          <w:rtl/>
        </w:rPr>
        <w:t xml:space="preserve">الحنفية</w:t>
      </w:r>
      <w:r>
        <w:rPr>
          <w:rFonts w:ascii="Times New Roman" w:cs="Traditional Arabic" w:hAnsi="Times New Roman"/>
          <w:sz w:val="28"/>
          <w:szCs w:val="28"/>
          <w:rtl/>
        </w:rPr>
        <w:t xml:space="preserve"> جناية الرهن على الراهن وماله </w:t>
      </w:r>
      <w:r>
        <w:rPr>
          <w:rFonts w:ascii="Times New Roman" w:cs="Traditional Arabic" w:hAnsi="Times New Roman"/>
          <w:b/>
          <w:bCs/>
          <w:sz w:val="28"/>
          <w:szCs w:val="28"/>
          <w:rtl/>
        </w:rPr>
        <w:t xml:space="preserve">هدر</w:t>
      </w:r>
      <w:r>
        <w:rPr>
          <w:rFonts w:ascii="Times New Roman" w:cs="Traditional Arabic" w:hAnsi="Times New Roman"/>
          <w:sz w:val="28"/>
          <w:szCs w:val="28"/>
          <w:rtl/>
        </w:rPr>
        <w:t xml:space="preserve">، وجنايته على المرتهن يعتبرها الصاحبان، ولا يعتبرها أبو حنيفة في الأصح إذا كانت قيمته مساوية للدين أو أقل (الموصلي، الاختيار).</w:t>
      </w:r>
    </w:p>
    <w:p>
      <w:pPr>
        <w:bidi/>
        <w:spacing w:after="120" w:line="340"/>
        <w:jc w:val="both"/>
      </w:pPr>
      <w:r>
        <w:rPr>
          <w:rFonts w:ascii="Times New Roman" w:cs="Traditional Arabic" w:hAnsi="Times New Roman"/>
          <w:b/>
          <w:bCs/>
          <w:sz w:val="28"/>
          <w:szCs w:val="28"/>
          <w:rtl/>
        </w:rPr>
        <w:t xml:space="preserve">ثانيًا: الجناية على العبد المرهون.</w:t>
      </w:r>
      <w:r>
        <w:rPr>
          <w:rFonts w:ascii="Times New Roman" w:cs="Traditional Arabic" w:hAnsi="Times New Roman"/>
          <w:sz w:val="28"/>
          <w:szCs w:val="28"/>
          <w:rtl/>
        </w:rPr>
        <w:t xml:space="preserve"> الخصم في المطالبة هو </w:t>
      </w:r>
      <w:r>
        <w:rPr>
          <w:rFonts w:ascii="Times New Roman" w:cs="Traditional Arabic" w:hAnsi="Times New Roman"/>
          <w:b/>
          <w:bCs/>
          <w:sz w:val="28"/>
          <w:szCs w:val="28"/>
          <w:rtl/>
        </w:rPr>
        <w:t xml:space="preserve">السيد الراهن</w:t>
      </w:r>
      <w:r>
        <w:rPr>
          <w:rFonts w:ascii="Times New Roman" w:cs="Traditional Arabic" w:hAnsi="Times New Roman"/>
          <w:sz w:val="28"/>
          <w:szCs w:val="28"/>
          <w:rtl/>
        </w:rPr>
        <w:t xml:space="preserve"> لأنه المالك، و</w:t>
      </w:r>
      <w:r>
        <w:rPr>
          <w:rFonts w:ascii="Times New Roman" w:cs="Traditional Arabic" w:hAnsi="Times New Roman"/>
          <w:b/>
          <w:bCs/>
          <w:sz w:val="28"/>
          <w:szCs w:val="28"/>
          <w:rtl/>
        </w:rPr>
        <w:t xml:space="preserve">ما يُقبض من الأرش أو القيمة يكون رهنًا مكانه</w:t>
      </w:r>
      <w:r>
        <w:rPr>
          <w:rFonts w:ascii="Times New Roman" w:cs="Traditional Arabic" w:hAnsi="Times New Roman"/>
          <w:sz w:val="28"/>
          <w:szCs w:val="28"/>
          <w:rtl/>
        </w:rPr>
        <w:t xml:space="preserve">. ومن تطبيقاته أن الأمة المرهونة إذا أُسقط جنينها ففيه عُشر قيمة أمه رهنًا معها، وأن السيد إذا اقتص من عبده المرهون الجاني عليه فيما دون النفس لزمته قيمته رهنًا مكانه. وعند الحنفية جناية الراهن على الرهن مضمونة، وإن استهلكه أجنبي ضمن قيمته يوم هلك (ابن قدامة، المغني؛ الموصلي، الاختيار).</w:t>
      </w:r>
    </w:p>
    <w:p>
      <w:pPr>
        <w:bidi/>
        <w:spacing w:after="120" w:line="340"/>
        <w:jc w:val="both"/>
      </w:pPr>
      <w:r>
        <w:rPr>
          <w:rFonts w:ascii="Times New Roman" w:cs="Traditional Arabic" w:hAnsi="Times New Roman"/>
          <w:b/>
          <w:bCs/>
          <w:sz w:val="28"/>
          <w:szCs w:val="28"/>
          <w:rtl/>
        </w:rPr>
        <w:t xml:space="preserve">التحليل:</w:t>
      </w:r>
      <w:r>
        <w:rPr>
          <w:rFonts w:ascii="Times New Roman" w:cs="Traditional Arabic" w:hAnsi="Times New Roman"/>
          <w:sz w:val="28"/>
          <w:szCs w:val="28"/>
          <w:rtl/>
        </w:rPr>
        <w:t xml:space="preserve"> يقوم هذا الباب على مبدأين. الأول </w:t>
      </w:r>
      <w:r>
        <w:rPr>
          <w:rFonts w:ascii="Times New Roman" w:cs="Traditional Arabic" w:hAnsi="Times New Roman"/>
          <w:b/>
          <w:bCs/>
          <w:sz w:val="28"/>
          <w:szCs w:val="28"/>
          <w:rtl/>
        </w:rPr>
        <w:t xml:space="preserve">مبدأ ترتيب الحقوق بحسب مصدرها</w:t>
      </w:r>
      <w:r>
        <w:rPr>
          <w:rFonts w:ascii="Times New Roman" w:cs="Traditional Arabic" w:hAnsi="Times New Roman"/>
          <w:sz w:val="28"/>
          <w:szCs w:val="28"/>
          <w:rtl/>
        </w:rPr>
        <w:t xml:space="preserve">: فالحق الذي ثبت بغير اختيار صاحبه، كحق المجني عليه، يتقدم على الحق الذي ثبت بالاختيار، كحق المرتهن الذي رضي بالرهن وتحمل مخاطره. والثاني </w:t>
      </w:r>
      <w:r>
        <w:rPr>
          <w:rFonts w:ascii="Times New Roman" w:cs="Traditional Arabic" w:hAnsi="Times New Roman"/>
          <w:b/>
          <w:bCs/>
          <w:sz w:val="28"/>
          <w:szCs w:val="28"/>
          <w:rtl/>
        </w:rPr>
        <w:t xml:space="preserve">مبدأ الحلول العيني</w:t>
      </w:r>
      <w:r>
        <w:rPr>
          <w:rFonts w:ascii="Times New Roman" w:cs="Traditional Arabic" w:hAnsi="Times New Roman"/>
          <w:sz w:val="28"/>
          <w:szCs w:val="28"/>
          <w:rtl/>
        </w:rPr>
        <w:t xml:space="preserve">: فحق المرتهن يتعلق بمالية المرهون لا بذاته، فينتقل إلى كل ما يحل محله من بدل أو تعويض. وهذا المبدأ هو ذاته الذي أتاح للحنابلة إنفاذ العتق والاستيلاد مع جعل القيمة رهنًا، مما يدل على أنه </w:t>
      </w:r>
      <w:r>
        <w:rPr>
          <w:rFonts w:ascii="Times New Roman" w:cs="Traditional Arabic" w:hAnsi="Times New Roman"/>
          <w:b/>
          <w:bCs/>
          <w:sz w:val="28"/>
          <w:szCs w:val="28"/>
          <w:rtl/>
        </w:rPr>
        <w:t xml:space="preserve">مبدأ ناظم</w:t>
      </w:r>
      <w:r>
        <w:rPr>
          <w:rFonts w:ascii="Times New Roman" w:cs="Traditional Arabic" w:hAnsi="Times New Roman"/>
          <w:sz w:val="28"/>
          <w:szCs w:val="28"/>
          <w:rtl/>
        </w:rPr>
        <w:t xml:space="preserve"> للنظام كله.</w:t>
      </w:r>
    </w:p>
    <w:p>
      <w:r>
        <w:br w:type="page"/>
      </w:r>
    </w:p>
    <w:p>
      <w:pPr>
        <w:pStyle w:val="Heading1"/>
        <w:bidi/>
        <w:spacing w:after="160" w:before="360"/>
        <w:jc w:val="center"/>
      </w:pPr>
      <w:r>
        <w:rPr>
          <w:rFonts w:ascii="Times New Roman" w:cs="Traditional Arabic" w:hAnsi="Times New Roman"/>
          <w:b/>
          <w:bCs/>
          <w:color w:val="1F3864"/>
          <w:sz w:val="34"/>
          <w:szCs w:val="34"/>
          <w:rtl/>
        </w:rPr>
        <w:t xml:space="preserve">المبحث الرابع: قراءة تحليلية في الخلاف المذهبي</w:t>
      </w:r>
    </w:p>
    <w:p>
      <w:pPr>
        <w:bidi/>
        <w:spacing w:after="120" w:line="340"/>
        <w:jc w:val="both"/>
      </w:pPr>
      <w:r>
        <w:rPr>
          <w:rFonts w:ascii="Times New Roman" w:cs="Traditional Arabic" w:hAnsi="Times New Roman"/>
          <w:sz w:val="28"/>
          <w:szCs w:val="28"/>
          <w:rtl/>
        </w:rPr>
        <w:t xml:space="preserve">بعد عرض المسائل وتحليلها منفردة، يحسن الارتقاء إلى مستوى أعلى من التجريد، للبحث عن الأسس الجامعة التي يرجع إليها الخلاف، ثم تقويم مدى اتساق كل نظام مذهبي مع أصوله.</w:t>
      </w:r>
    </w:p>
    <w:p>
      <w:pPr>
        <w:pStyle w:val="Heading2"/>
        <w:bidi/>
        <w:spacing w:after="160" w:before="240"/>
        <w:jc w:val="right"/>
      </w:pPr>
      <w:r>
        <w:rPr>
          <w:rFonts w:ascii="Times New Roman" w:cs="Traditional Arabic" w:hAnsi="Times New Roman"/>
          <w:b/>
          <w:bCs/>
          <w:color w:val="2E5496"/>
          <w:sz w:val="30"/>
          <w:szCs w:val="30"/>
          <w:rtl/>
        </w:rPr>
        <w:t xml:space="preserve">المطلب الأول: الأسس التي يرجع إليها الخلاف</w:t>
      </w:r>
    </w:p>
    <w:p>
      <w:pPr>
        <w:bidi/>
        <w:spacing w:after="120" w:line="340"/>
        <w:jc w:val="both"/>
      </w:pPr>
      <w:r>
        <w:rPr>
          <w:rFonts w:ascii="Times New Roman" w:cs="Traditional Arabic" w:hAnsi="Times New Roman"/>
          <w:sz w:val="28"/>
          <w:szCs w:val="28"/>
          <w:rtl/>
        </w:rPr>
        <w:t xml:space="preserve">يمكن رد الخلاف المذهبي في رهن الرقيق إلى سبعة أسس:</w:t>
      </w:r>
    </w:p>
    <w:p>
      <w:pPr>
        <w:bidi/>
        <w:spacing w:after="120" w:line="340"/>
        <w:ind w:right="360" w:hanging="360"/>
        <w:jc w:val="both"/>
      </w:pPr>
      <w:r>
        <w:rPr>
          <w:rFonts w:ascii="Times New Roman" w:cs="Traditional Arabic" w:hAnsi="Times New Roman"/>
          <w:sz w:val="28"/>
          <w:szCs w:val="28"/>
          <w:rtl/>
        </w:rPr>
        <w:t xml:space="preserve">1. </w:t>
      </w:r>
      <w:r>
        <w:rPr>
          <w:rFonts w:ascii="Times New Roman" w:cs="Traditional Arabic" w:hAnsi="Times New Roman"/>
          <w:b/>
          <w:bCs/>
          <w:sz w:val="28"/>
          <w:szCs w:val="28"/>
          <w:rtl/>
        </w:rPr>
        <w:t xml:space="preserve">تكييف عقد الرهن:</w:t>
      </w:r>
      <w:r>
        <w:rPr>
          <w:rFonts w:ascii="Times New Roman" w:cs="Traditional Arabic" w:hAnsi="Times New Roman"/>
          <w:sz w:val="28"/>
          <w:szCs w:val="28"/>
          <w:rtl/>
        </w:rPr>
        <w:t xml:space="preserve"> هل هو عقد استيثاق فحسب، كما يرى الجمهور، فتكون يد المرتهن أمانة ويبقى للراهن ملك تام مقيد؟ أم هو عقد استيفاء حكمي، كما يرى الحنفية، فتكون يد المرتهن يد ضمان؟ ويفسر هذا الأساس وحده الخلاف في تبعة الهلاك، وفي شبهة المحل عند وطء المرتهن.</w:t>
      </w:r>
    </w:p>
    <w:p>
      <w:pPr>
        <w:bidi/>
        <w:spacing w:after="120" w:line="340"/>
        <w:ind w:right="360" w:hanging="360"/>
        <w:jc w:val="both"/>
      </w:pPr>
      <w:r>
        <w:rPr>
          <w:rFonts w:ascii="Times New Roman" w:cs="Traditional Arabic" w:hAnsi="Times New Roman"/>
          <w:sz w:val="28"/>
          <w:szCs w:val="28"/>
          <w:rtl/>
        </w:rPr>
        <w:t xml:space="preserve">2. </w:t>
      </w:r>
      <w:r>
        <w:rPr>
          <w:rFonts w:ascii="Times New Roman" w:cs="Traditional Arabic" w:hAnsi="Times New Roman"/>
          <w:b/>
          <w:bCs/>
          <w:sz w:val="28"/>
          <w:szCs w:val="28"/>
          <w:rtl/>
        </w:rPr>
        <w:t xml:space="preserve">تفسير حديث «له غُنمه وعليه غُرمه»:</w:t>
      </w:r>
      <w:r>
        <w:rPr>
          <w:rFonts w:ascii="Times New Roman" w:cs="Traditional Arabic" w:hAnsi="Times New Roman"/>
          <w:sz w:val="28"/>
          <w:szCs w:val="28"/>
          <w:rtl/>
        </w:rPr>
        <w:t xml:space="preserve"> فسّره الشافعية بأن النماء للراهن والهلاك عليه، وفسّره الحنفية بأن الغُنم ما زاد من قيمة الرهن على الدين، والغُرم ما نقص منه. ويفسر هذا الخلاف التفسيري حكم النماء وتبعة الهلاك معًا.</w:t>
      </w:r>
    </w:p>
    <w:p>
      <w:pPr>
        <w:bidi/>
        <w:spacing w:after="120" w:line="340"/>
        <w:ind w:right="360" w:hanging="360"/>
        <w:jc w:val="both"/>
      </w:pPr>
      <w:r>
        <w:rPr>
          <w:rFonts w:ascii="Times New Roman" w:cs="Traditional Arabic" w:hAnsi="Times New Roman"/>
          <w:sz w:val="28"/>
          <w:szCs w:val="28"/>
          <w:rtl/>
        </w:rPr>
        <w:t xml:space="preserve">3. </w:t>
      </w:r>
      <w:r>
        <w:rPr>
          <w:rFonts w:ascii="Times New Roman" w:cs="Traditional Arabic" w:hAnsi="Times New Roman"/>
          <w:b/>
          <w:bCs/>
          <w:sz w:val="28"/>
          <w:szCs w:val="28"/>
          <w:rtl/>
        </w:rPr>
        <w:t xml:space="preserve">قاعدة التبعية بين الأصل والفرع:</w:t>
      </w:r>
      <w:r>
        <w:rPr>
          <w:rFonts w:ascii="Times New Roman" w:cs="Traditional Arabic" w:hAnsi="Times New Roman"/>
          <w:sz w:val="28"/>
          <w:szCs w:val="28"/>
          <w:rtl/>
        </w:rPr>
        <w:t xml:space="preserve"> أخذ بها الحنفية والحنابلة في ولد الأمة المرهونة، وقيدها المالكية بما كان على صورة الأصل، ونفاها الشافعية في النماء المنفصل.</w:t>
      </w:r>
    </w:p>
    <w:p>
      <w:pPr>
        <w:bidi/>
        <w:spacing w:after="120" w:line="340"/>
        <w:ind w:right="360" w:hanging="360"/>
        <w:jc w:val="both"/>
      </w:pPr>
      <w:r>
        <w:rPr>
          <w:rFonts w:ascii="Times New Roman" w:cs="Traditional Arabic" w:hAnsi="Times New Roman"/>
          <w:sz w:val="28"/>
          <w:szCs w:val="28"/>
          <w:rtl/>
        </w:rPr>
        <w:t xml:space="preserve">4. </w:t>
      </w:r>
      <w:r>
        <w:rPr>
          <w:rFonts w:ascii="Times New Roman" w:cs="Traditional Arabic" w:hAnsi="Times New Roman"/>
          <w:b/>
          <w:bCs/>
          <w:sz w:val="28"/>
          <w:szCs w:val="28"/>
          <w:rtl/>
        </w:rPr>
        <w:t xml:space="preserve">الموازنة بين حق الدائن وتشوّف الشارع إلى الحرية:</w:t>
      </w:r>
      <w:r>
        <w:rPr>
          <w:rFonts w:ascii="Times New Roman" w:cs="Traditional Arabic" w:hAnsi="Times New Roman"/>
          <w:sz w:val="28"/>
          <w:szCs w:val="28"/>
          <w:rtl/>
        </w:rPr>
        <w:t xml:space="preserve"> فمن غلّب جانب الحرية نفّذ العتق والاستيلاد مع جبر حق المرتهن، ومن غلّب حق الدائن منع النفاذ من المعسر.</w:t>
      </w:r>
    </w:p>
    <w:p>
      <w:pPr>
        <w:bidi/>
        <w:spacing w:after="120" w:line="340"/>
        <w:ind w:right="360" w:hanging="360"/>
        <w:jc w:val="both"/>
      </w:pPr>
      <w:r>
        <w:rPr>
          <w:rFonts w:ascii="Times New Roman" w:cs="Traditional Arabic" w:hAnsi="Times New Roman"/>
          <w:sz w:val="28"/>
          <w:szCs w:val="28"/>
          <w:rtl/>
        </w:rPr>
        <w:t xml:space="preserve">5. </w:t>
      </w:r>
      <w:r>
        <w:rPr>
          <w:rFonts w:ascii="Times New Roman" w:cs="Traditional Arabic" w:hAnsi="Times New Roman"/>
          <w:b/>
          <w:bCs/>
          <w:sz w:val="28"/>
          <w:szCs w:val="28"/>
          <w:rtl/>
        </w:rPr>
        <w:t xml:space="preserve">قاعدة «ما جاز بيعه جاز رهنه»:</w:t>
      </w:r>
      <w:r>
        <w:rPr>
          <w:rFonts w:ascii="Times New Roman" w:cs="Traditional Arabic" w:hAnsi="Times New Roman"/>
          <w:sz w:val="28"/>
          <w:szCs w:val="28"/>
          <w:rtl/>
        </w:rPr>
        <w:t xml:space="preserve"> وتطبيقها على المدبَّر والمكاتَب بحسب الموقف من جواز بيعهما.</w:t>
      </w:r>
    </w:p>
    <w:p>
      <w:pPr>
        <w:bidi/>
        <w:spacing w:after="120" w:line="340"/>
        <w:ind w:right="360" w:hanging="360"/>
        <w:jc w:val="both"/>
      </w:pPr>
      <w:r>
        <w:rPr>
          <w:rFonts w:ascii="Times New Roman" w:cs="Traditional Arabic" w:hAnsi="Times New Roman"/>
          <w:sz w:val="28"/>
          <w:szCs w:val="28"/>
          <w:rtl/>
        </w:rPr>
        <w:t xml:space="preserve">6. </w:t>
      </w:r>
      <w:r>
        <w:rPr>
          <w:rFonts w:ascii="Times New Roman" w:cs="Traditional Arabic" w:hAnsi="Times New Roman"/>
          <w:b/>
          <w:bCs/>
          <w:sz w:val="28"/>
          <w:szCs w:val="28"/>
          <w:rtl/>
        </w:rPr>
        <w:t xml:space="preserve">قاعدة درء الحدود بالشبهات:</w:t>
      </w:r>
      <w:r>
        <w:rPr>
          <w:rFonts w:ascii="Times New Roman" w:cs="Traditional Arabic" w:hAnsi="Times New Roman"/>
          <w:sz w:val="28"/>
          <w:szCs w:val="28"/>
          <w:rtl/>
        </w:rPr>
        <w:t xml:space="preserve"> وتفاوت المذاهب في تكييف الشبهة القائمة في وطء المرتهن بين شبهة الفعل وشبهة المحل وانعدام الشبهة.</w:t>
      </w:r>
    </w:p>
    <w:p>
      <w:pPr>
        <w:bidi/>
        <w:spacing w:after="120" w:line="340"/>
        <w:ind w:right="360" w:hanging="360"/>
        <w:jc w:val="both"/>
      </w:pPr>
      <w:r>
        <w:rPr>
          <w:rFonts w:ascii="Times New Roman" w:cs="Traditional Arabic" w:hAnsi="Times New Roman"/>
          <w:sz w:val="28"/>
          <w:szCs w:val="28"/>
          <w:rtl/>
        </w:rPr>
        <w:t xml:space="preserve">7. </w:t>
      </w:r>
      <w:r>
        <w:rPr>
          <w:rFonts w:ascii="Times New Roman" w:cs="Traditional Arabic" w:hAnsi="Times New Roman"/>
          <w:b/>
          <w:bCs/>
          <w:sz w:val="28"/>
          <w:szCs w:val="28"/>
          <w:rtl/>
        </w:rPr>
        <w:t xml:space="preserve">سد الذرائع وتحريم الخلوة:</w:t>
      </w:r>
      <w:r>
        <w:rPr>
          <w:rFonts w:ascii="Times New Roman" w:cs="Traditional Arabic" w:hAnsi="Times New Roman"/>
          <w:sz w:val="28"/>
          <w:szCs w:val="28"/>
          <w:rtl/>
        </w:rPr>
        <w:t xml:space="preserve"> وهو ما يفسر أحكام حيازة الأمة، وكراهة رهن الحسناء عند غير العدل، ومنع الراهن من الوطء احتياطًا.</w:t>
      </w:r>
    </w:p>
    <w:p>
      <w:pPr>
        <w:bidi/>
        <w:spacing w:after="120" w:line="340"/>
        <w:jc w:val="both"/>
      </w:pPr>
      <w:r>
        <w:rPr>
          <w:rFonts w:ascii="Times New Roman" w:cs="Traditional Arabic" w:hAnsi="Times New Roman"/>
          <w:sz w:val="28"/>
          <w:szCs w:val="28"/>
          <w:rtl/>
        </w:rPr>
        <w:t xml:space="preserve">ويتضح من هذا التصنيف أن الأساس الأول، وهو </w:t>
      </w:r>
      <w:r>
        <w:rPr>
          <w:rFonts w:ascii="Times New Roman" w:cs="Traditional Arabic" w:hAnsi="Times New Roman"/>
          <w:b/>
          <w:bCs/>
          <w:sz w:val="28"/>
          <w:szCs w:val="28"/>
          <w:rtl/>
        </w:rPr>
        <w:t xml:space="preserve">تكييف عقد الرهن</w:t>
      </w:r>
      <w:r>
        <w:rPr>
          <w:rFonts w:ascii="Times New Roman" w:cs="Traditional Arabic" w:hAnsi="Times New Roman"/>
          <w:sz w:val="28"/>
          <w:szCs w:val="28"/>
          <w:rtl/>
        </w:rPr>
        <w:t xml:space="preserve">، أساس محوري تتفرع عنه آثار في مسائل متعددة: الضمان، والنماء، والحد. أما الأسس الأخرى فتعمل في نطاقات أضيق.</w:t>
      </w:r>
    </w:p>
    <w:p>
      <w:pPr>
        <w:pStyle w:val="Heading2"/>
        <w:bidi/>
        <w:spacing w:after="160" w:before="240"/>
        <w:jc w:val="right"/>
      </w:pPr>
      <w:r>
        <w:rPr>
          <w:rFonts w:ascii="Times New Roman" w:cs="Traditional Arabic" w:hAnsi="Times New Roman"/>
          <w:b/>
          <w:bCs/>
          <w:color w:val="2E5496"/>
          <w:sz w:val="30"/>
          <w:szCs w:val="30"/>
          <w:rtl/>
        </w:rPr>
        <w:t xml:space="preserve">المطلب الثاني: تقويم اتساق الأنظمة المذهبية</w:t>
      </w:r>
    </w:p>
    <w:p>
      <w:pPr>
        <w:bidi/>
        <w:spacing w:after="120" w:line="340"/>
        <w:jc w:val="both"/>
      </w:pPr>
      <w:r>
        <w:rPr>
          <w:rFonts w:ascii="Times New Roman" w:cs="Traditional Arabic" w:hAnsi="Times New Roman"/>
          <w:b/>
          <w:bCs/>
          <w:sz w:val="28"/>
          <w:szCs w:val="28"/>
          <w:rtl/>
        </w:rPr>
        <w:t xml:space="preserve">أولًا: النظام الحنفي.</w:t>
      </w:r>
      <w:r>
        <w:rPr>
          <w:rFonts w:ascii="Times New Roman" w:cs="Traditional Arabic" w:hAnsi="Times New Roman"/>
          <w:sz w:val="28"/>
          <w:szCs w:val="28"/>
          <w:rtl/>
        </w:rPr>
        <w:t xml:space="preserve"> يتميز بـ </w:t>
      </w:r>
      <w:r>
        <w:rPr>
          <w:rFonts w:ascii="Times New Roman" w:cs="Traditional Arabic" w:hAnsi="Times New Roman"/>
          <w:b/>
          <w:bCs/>
          <w:sz w:val="28"/>
          <w:szCs w:val="28"/>
          <w:rtl/>
        </w:rPr>
        <w:t xml:space="preserve">اتساق داخلي عالٍ</w:t>
      </w:r>
      <w:r>
        <w:rPr>
          <w:rFonts w:ascii="Times New Roman" w:cs="Traditional Arabic" w:hAnsi="Times New Roman"/>
          <w:sz w:val="28"/>
          <w:szCs w:val="28"/>
          <w:rtl/>
        </w:rPr>
        <w:t xml:space="preserve">، إذ تنطلق أحكامه من تكييف واحد: الرهن استيفاء حكمي. فمن هذا التكييف تتولد يد الضمان، والضمان بالأقل من القيمة والدين، وتبعية النماء، وشبهة المحل في رواية كتاب الرهن. كما يتميز بآلية </w:t>
      </w:r>
      <w:r>
        <w:rPr>
          <w:rFonts w:ascii="Times New Roman" w:cs="Traditional Arabic" w:hAnsi="Times New Roman"/>
          <w:b/>
          <w:bCs/>
          <w:sz w:val="28"/>
          <w:szCs w:val="28"/>
          <w:rtl/>
        </w:rPr>
        <w:t xml:space="preserve">السعاية</w:t>
      </w:r>
      <w:r>
        <w:rPr>
          <w:rFonts w:ascii="Times New Roman" w:cs="Traditional Arabic" w:hAnsi="Times New Roman"/>
          <w:sz w:val="28"/>
          <w:szCs w:val="28"/>
          <w:rtl/>
        </w:rPr>
        <w:t xml:space="preserve"> التي توزع أعباء العتق والاستيلاد توزيعًا متوازنًا. غير أن وجود روايتين في حد المرتهن يكشف عن توتر بين النظرة المدنية للرهن والنظرة الجنائية للوطء، وهو توتر حسمته رواية كتاب الرهن لصالح الاتساق.</w:t>
      </w:r>
    </w:p>
    <w:p>
      <w:pPr>
        <w:bidi/>
        <w:spacing w:after="120" w:line="340"/>
        <w:jc w:val="both"/>
      </w:pPr>
      <w:r>
        <w:rPr>
          <w:rFonts w:ascii="Times New Roman" w:cs="Traditional Arabic" w:hAnsi="Times New Roman"/>
          <w:b/>
          <w:bCs/>
          <w:sz w:val="28"/>
          <w:szCs w:val="28"/>
          <w:rtl/>
        </w:rPr>
        <w:t xml:space="preserve">ثانيًا: النظام الشافعي.</w:t>
      </w:r>
      <w:r>
        <w:rPr>
          <w:rFonts w:ascii="Times New Roman" w:cs="Traditional Arabic" w:hAnsi="Times New Roman"/>
          <w:sz w:val="28"/>
          <w:szCs w:val="28"/>
          <w:rtl/>
        </w:rPr>
        <w:t xml:space="preserve"> يتميز بـ </w:t>
      </w:r>
      <w:r>
        <w:rPr>
          <w:rFonts w:ascii="Times New Roman" w:cs="Traditional Arabic" w:hAnsi="Times New Roman"/>
          <w:b/>
          <w:bCs/>
          <w:sz w:val="28"/>
          <w:szCs w:val="28"/>
          <w:rtl/>
        </w:rPr>
        <w:t xml:space="preserve">اتساق صارم</w:t>
      </w:r>
      <w:r>
        <w:rPr>
          <w:rFonts w:ascii="Times New Roman" w:cs="Traditional Arabic" w:hAnsi="Times New Roman"/>
          <w:sz w:val="28"/>
          <w:szCs w:val="28"/>
          <w:rtl/>
        </w:rPr>
        <w:t xml:space="preserve"> مع تكييف الرهن بأنه توثيق: فاليد أمانة، والنماء المنفصل للمالك، والتبعة عليه. ويتميز بالحذر في مسائل العتق والاستيلاد، فلا ينفذهما من المعسر على الأظهر، حمايةً للرهن بوصفه عقدًا لازمًا. كما يتميز بتشدد في منع تعارض المصالح، فيمنع المرتهن من تولي البيع بنفسه.</w:t>
      </w:r>
    </w:p>
    <w:p>
      <w:pPr>
        <w:bidi/>
        <w:spacing w:after="120" w:line="340"/>
        <w:jc w:val="both"/>
      </w:pPr>
      <w:r>
        <w:rPr>
          <w:rFonts w:ascii="Times New Roman" w:cs="Traditional Arabic" w:hAnsi="Times New Roman"/>
          <w:b/>
          <w:bCs/>
          <w:sz w:val="28"/>
          <w:szCs w:val="28"/>
          <w:rtl/>
        </w:rPr>
        <w:t xml:space="preserve">ثالثًا: النظام المالكي.</w:t>
      </w:r>
      <w:r>
        <w:rPr>
          <w:rFonts w:ascii="Times New Roman" w:cs="Traditional Arabic" w:hAnsi="Times New Roman"/>
          <w:sz w:val="28"/>
          <w:szCs w:val="28"/>
          <w:rtl/>
        </w:rPr>
        <w:t xml:space="preserve"> يتميز بـ </w:t>
      </w:r>
      <w:r>
        <w:rPr>
          <w:rFonts w:ascii="Times New Roman" w:cs="Traditional Arabic" w:hAnsi="Times New Roman"/>
          <w:b/>
          <w:bCs/>
          <w:sz w:val="28"/>
          <w:szCs w:val="28"/>
          <w:rtl/>
        </w:rPr>
        <w:t xml:space="preserve">الواقعية والاستحسان</w:t>
      </w:r>
      <w:r>
        <w:rPr>
          <w:rFonts w:ascii="Times New Roman" w:cs="Traditional Arabic" w:hAnsi="Times New Roman"/>
          <w:sz w:val="28"/>
          <w:szCs w:val="28"/>
          <w:rtl/>
        </w:rPr>
        <w:t xml:space="preserve">، إذ يفرّق في الضمان بين ما يُغاب عليه وما لا يُغاب عليه بناءً على قرينة التهمة، ويفرّق في النماء بين ما على صورة الأصل وما ليس على صورته بناءً على أحكام البيع، ويشترط استدامة القبض فيجعل الحيازة الفعلية جوهر الرهن. ويبلغ حرصه على حق الدائن حد إجازة بيع أم الولد بعد الوضع إذا أعسر الراهن.</w:t>
      </w:r>
    </w:p>
    <w:p>
      <w:pPr>
        <w:bidi/>
        <w:spacing w:after="120" w:line="340"/>
        <w:jc w:val="both"/>
      </w:pPr>
      <w:r>
        <w:rPr>
          <w:rFonts w:ascii="Times New Roman" w:cs="Traditional Arabic" w:hAnsi="Times New Roman"/>
          <w:b/>
          <w:bCs/>
          <w:sz w:val="28"/>
          <w:szCs w:val="28"/>
          <w:rtl/>
        </w:rPr>
        <w:t xml:space="preserve">رابعًا: النظام الحنبلي.</w:t>
      </w:r>
      <w:r>
        <w:rPr>
          <w:rFonts w:ascii="Times New Roman" w:cs="Traditional Arabic" w:hAnsi="Times New Roman"/>
          <w:sz w:val="28"/>
          <w:szCs w:val="28"/>
          <w:rtl/>
        </w:rPr>
        <w:t xml:space="preserve"> يتميز بـ </w:t>
      </w:r>
      <w:r>
        <w:rPr>
          <w:rFonts w:ascii="Times New Roman" w:cs="Traditional Arabic" w:hAnsi="Times New Roman"/>
          <w:b/>
          <w:bCs/>
          <w:sz w:val="28"/>
          <w:szCs w:val="28"/>
          <w:rtl/>
        </w:rPr>
        <w:t xml:space="preserve">تغليب الحرية</w:t>
      </w:r>
      <w:r>
        <w:rPr>
          <w:rFonts w:ascii="Times New Roman" w:cs="Traditional Arabic" w:hAnsi="Times New Roman"/>
          <w:sz w:val="28"/>
          <w:szCs w:val="28"/>
          <w:rtl/>
        </w:rPr>
        <w:t xml:space="preserve"> في العتق والاستيلاد، مع جبر حق المرتهن بالقيمة، وبالتوسع في دخول النماء في الرهن، وبالتفصيل الدقيق في المسائل العملية كحيازة الأمة والختان والمعلق عتقه بصفة. غير أنه يجمع بين القول بالأمانة والقول بدخول النماء المنفصل، وهو جمع يحتاج إلى تأسيس مستقل على قاعدة التبعية.</w:t>
      </w:r>
    </w:p>
    <w:p>
      <w:pPr>
        <w:bidi/>
        <w:spacing w:after="120" w:line="340"/>
        <w:jc w:val="both"/>
      </w:pPr>
      <w:r>
        <w:rPr>
          <w:rFonts w:ascii="Times New Roman" w:cs="Traditional Arabic" w:hAnsi="Times New Roman"/>
          <w:b/>
          <w:bCs/>
          <w:sz w:val="28"/>
          <w:szCs w:val="28"/>
          <w:rtl/>
        </w:rPr>
        <w:t xml:space="preserve">خامسًا: القول الإمامي.</w:t>
      </w:r>
      <w:r>
        <w:rPr>
          <w:rFonts w:ascii="Times New Roman" w:cs="Traditional Arabic" w:hAnsi="Times New Roman"/>
          <w:sz w:val="28"/>
          <w:szCs w:val="28"/>
          <w:rtl/>
        </w:rPr>
        <w:t xml:space="preserve"> بحسب ما نقله العلامة الحلي، يقترب في منع وطء الراهن إلا بالإذن من الجمهور، وينفرد بالقول بأن الاستيلاد لا يبطل الرهن، فيجوز بيع أم الولد في الدين عند إعسار الراهن، مع حرية الولد.</w:t>
      </w:r>
    </w:p>
    <w:p>
      <w:pPr>
        <w:bidi/>
        <w:spacing w:after="120" w:line="340"/>
        <w:jc w:val="both"/>
      </w:pPr>
      <w:r>
        <w:rPr>
          <w:rFonts w:ascii="Times New Roman" w:cs="Traditional Arabic" w:hAnsi="Times New Roman"/>
          <w:b/>
          <w:bCs/>
          <w:sz w:val="28"/>
          <w:szCs w:val="28"/>
          <w:rtl/>
        </w:rPr>
        <w:t xml:space="preserve">الحصيلة:</w:t>
      </w:r>
      <w:r>
        <w:rPr>
          <w:rFonts w:ascii="Times New Roman" w:cs="Traditional Arabic" w:hAnsi="Times New Roman"/>
          <w:sz w:val="28"/>
          <w:szCs w:val="28"/>
          <w:rtl/>
        </w:rPr>
        <w:t xml:space="preserve"> ليس في هذا التقويم تفضيل مطلق لمذهب على آخر، بل يكشف أن كل مذهب بنى نظامًا متماسكًا انطلاقًا من أولوياته: الحنفية من </w:t>
      </w:r>
      <w:r>
        <w:rPr>
          <w:rFonts w:ascii="Times New Roman" w:cs="Traditional Arabic" w:hAnsi="Times New Roman"/>
          <w:b/>
          <w:bCs/>
          <w:sz w:val="28"/>
          <w:szCs w:val="28"/>
          <w:rtl/>
        </w:rPr>
        <w:t xml:space="preserve">التكييف النظري للعقد</w:t>
      </w:r>
      <w:r>
        <w:rPr>
          <w:rFonts w:ascii="Times New Roman" w:cs="Traditional Arabic" w:hAnsi="Times New Roman"/>
          <w:sz w:val="28"/>
          <w:szCs w:val="28"/>
          <w:rtl/>
        </w:rPr>
        <w:t xml:space="preserve">، والشافعية من </w:t>
      </w:r>
      <w:r>
        <w:rPr>
          <w:rFonts w:ascii="Times New Roman" w:cs="Traditional Arabic" w:hAnsi="Times New Roman"/>
          <w:b/>
          <w:bCs/>
          <w:sz w:val="28"/>
          <w:szCs w:val="28"/>
          <w:rtl/>
        </w:rPr>
        <w:t xml:space="preserve">لزوم العقد وصرامة التوثيق</w:t>
      </w:r>
      <w:r>
        <w:rPr>
          <w:rFonts w:ascii="Times New Roman" w:cs="Traditional Arabic" w:hAnsi="Times New Roman"/>
          <w:sz w:val="28"/>
          <w:szCs w:val="28"/>
          <w:rtl/>
        </w:rPr>
        <w:t xml:space="preserve">، والمالكية من </w:t>
      </w:r>
      <w:r>
        <w:rPr>
          <w:rFonts w:ascii="Times New Roman" w:cs="Traditional Arabic" w:hAnsi="Times New Roman"/>
          <w:b/>
          <w:bCs/>
          <w:sz w:val="28"/>
          <w:szCs w:val="28"/>
          <w:rtl/>
        </w:rPr>
        <w:t xml:space="preserve">الواقعية ودفع التهمة</w:t>
      </w:r>
      <w:r>
        <w:rPr>
          <w:rFonts w:ascii="Times New Roman" w:cs="Traditional Arabic" w:hAnsi="Times New Roman"/>
          <w:sz w:val="28"/>
          <w:szCs w:val="28"/>
          <w:rtl/>
        </w:rPr>
        <w:t xml:space="preserve">، والحنابلة من </w:t>
      </w:r>
      <w:r>
        <w:rPr>
          <w:rFonts w:ascii="Times New Roman" w:cs="Traditional Arabic" w:hAnsi="Times New Roman"/>
          <w:b/>
          <w:bCs/>
          <w:sz w:val="28"/>
          <w:szCs w:val="28"/>
          <w:rtl/>
        </w:rPr>
        <w:t xml:space="preserve">تغليب الحرية مع جبر الحقوق بالبدل</w:t>
      </w:r>
      <w:r>
        <w:rPr>
          <w:rFonts w:ascii="Times New Roman" w:cs="Traditional Arabic" w:hAnsi="Times New Roman"/>
          <w:sz w:val="28"/>
          <w:szCs w:val="28"/>
          <w:rtl/>
        </w:rPr>
        <w:t xml:space="preserve">.</w:t>
      </w:r>
    </w:p>
    <w:p>
      <w:r>
        <w:br w:type="page"/>
      </w:r>
    </w:p>
    <w:p>
      <w:pPr>
        <w:pStyle w:val="Heading1"/>
        <w:bidi/>
        <w:spacing w:after="160" w:before="360"/>
        <w:jc w:val="center"/>
      </w:pPr>
      <w:r>
        <w:rPr>
          <w:rFonts w:ascii="Times New Roman" w:cs="Traditional Arabic" w:hAnsi="Times New Roman"/>
          <w:b/>
          <w:bCs/>
          <w:color w:val="1F3864"/>
          <w:sz w:val="34"/>
          <w:szCs w:val="34"/>
          <w:rtl/>
        </w:rPr>
        <w:t xml:space="preserve">خاتمة</w:t>
      </w:r>
    </w:p>
    <w:p>
      <w:pPr>
        <w:bidi/>
        <w:spacing w:after="120" w:line="340"/>
        <w:jc w:val="both"/>
      </w:pPr>
      <w:r>
        <w:rPr>
          <w:rFonts w:ascii="Times New Roman" w:cs="Traditional Arabic" w:hAnsi="Times New Roman"/>
          <w:sz w:val="28"/>
          <w:szCs w:val="28"/>
          <w:rtl/>
        </w:rPr>
        <w:t xml:space="preserve">حاول هذا المقال الإجابة عن إشكالية بناء المذاهب الفقهية لنظام قانوني لرهن الرقيق يوفّق بين حقوق متزاحمة، وقد انتهى إلى جملة من النتائج والآفاق.</w:t>
      </w:r>
    </w:p>
    <w:p>
      <w:pPr>
        <w:pStyle w:val="Heading2"/>
        <w:bidi/>
        <w:spacing w:after="160" w:before="240"/>
        <w:jc w:val="right"/>
      </w:pPr>
      <w:r>
        <w:rPr>
          <w:rFonts w:ascii="Times New Roman" w:cs="Traditional Arabic" w:hAnsi="Times New Roman"/>
          <w:b/>
          <w:bCs/>
          <w:color w:val="2E5496"/>
          <w:sz w:val="30"/>
          <w:szCs w:val="30"/>
          <w:rtl/>
        </w:rPr>
        <w:t xml:space="preserve">أولًا: النتائج</w:t>
      </w:r>
    </w:p>
    <w:p>
      <w:pPr>
        <w:bidi/>
        <w:spacing w:after="120" w:line="340"/>
        <w:ind w:right="360" w:hanging="360"/>
        <w:jc w:val="both"/>
      </w:pPr>
      <w:r>
        <w:rPr>
          <w:rFonts w:ascii="Times New Roman" w:cs="Traditional Arabic" w:hAnsi="Times New Roman"/>
          <w:sz w:val="28"/>
          <w:szCs w:val="28"/>
          <w:rtl/>
        </w:rPr>
        <w:t xml:space="preserve">1. اتفقت المذاهب على جواز رهن الرقيق الخالص بناءً على قاعدة «ما جاز بيعه جاز رهنه»، واختلفت في رهن من انعقد له سبب الحرية، فاتفقت على منع رهن أم الولد، واختلفت في المدبَّر والمكاتَب بحسب موقفها من جواز بيعهما.</w:t>
      </w:r>
    </w:p>
    <w:p>
      <w:pPr>
        <w:bidi/>
        <w:spacing w:after="120" w:line="340"/>
        <w:ind w:right="360" w:hanging="360"/>
        <w:jc w:val="both"/>
      </w:pPr>
      <w:r>
        <w:rPr>
          <w:rFonts w:ascii="Times New Roman" w:cs="Traditional Arabic" w:hAnsi="Times New Roman"/>
          <w:sz w:val="28"/>
          <w:szCs w:val="28"/>
          <w:rtl/>
        </w:rPr>
        <w:t xml:space="preserve">2. بنى الفقهاء نظام رهن الرقيق على </w:t>
      </w:r>
      <w:r>
        <w:rPr>
          <w:rFonts w:ascii="Times New Roman" w:cs="Traditional Arabic" w:hAnsi="Times New Roman"/>
          <w:b/>
          <w:bCs/>
          <w:sz w:val="28"/>
          <w:szCs w:val="28"/>
          <w:rtl/>
        </w:rPr>
        <w:t xml:space="preserve">التمييز بين تعلق حق الدائن بمالية المرهون وثبوت يده عليه</w:t>
      </w:r>
      <w:r>
        <w:rPr>
          <w:rFonts w:ascii="Times New Roman" w:cs="Traditional Arabic" w:hAnsi="Times New Roman"/>
          <w:sz w:val="28"/>
          <w:szCs w:val="28"/>
          <w:rtl/>
        </w:rPr>
        <w:t xml:space="preserve">، وهو تمييز أتاح لهم تصحيح رهن العبد المسلم عند غير المسلم بوضعه عند عدل مسلم، ووضع الأمة عند من تؤمن عليه، دون إبطال الرهن.</w:t>
      </w:r>
    </w:p>
    <w:p>
      <w:pPr>
        <w:bidi/>
        <w:spacing w:after="120" w:line="340"/>
        <w:ind w:right="360" w:hanging="360"/>
        <w:jc w:val="both"/>
      </w:pPr>
      <w:r>
        <w:rPr>
          <w:rFonts w:ascii="Times New Roman" w:cs="Traditional Arabic" w:hAnsi="Times New Roman"/>
          <w:sz w:val="28"/>
          <w:szCs w:val="28"/>
          <w:rtl/>
        </w:rPr>
        <w:t xml:space="preserve">3. قدّم الفقهاء </w:t>
      </w:r>
      <w:r>
        <w:rPr>
          <w:rFonts w:ascii="Times New Roman" w:cs="Traditional Arabic" w:hAnsi="Times New Roman"/>
          <w:b/>
          <w:bCs/>
          <w:sz w:val="28"/>
          <w:szCs w:val="28"/>
          <w:rtl/>
        </w:rPr>
        <w:t xml:space="preserve">صيانة الأمة وحماية الرابطة بين الأم وولدها</w:t>
      </w:r>
      <w:r>
        <w:rPr>
          <w:rFonts w:ascii="Times New Roman" w:cs="Traditional Arabic" w:hAnsi="Times New Roman"/>
          <w:sz w:val="28"/>
          <w:szCs w:val="28"/>
          <w:rtl/>
        </w:rPr>
        <w:t xml:space="preserve"> على مصلحة الدائن في الحيازة والبيع، باستعمال تقنيات دقيقة كإفساد الشرط دون العقد، والجمع في البيع مع توزيع الثمن.</w:t>
      </w:r>
    </w:p>
    <w:p>
      <w:pPr>
        <w:bidi/>
        <w:spacing w:after="120" w:line="340"/>
        <w:ind w:right="360" w:hanging="360"/>
        <w:jc w:val="both"/>
      </w:pPr>
      <w:r>
        <w:rPr>
          <w:rFonts w:ascii="Times New Roman" w:cs="Traditional Arabic" w:hAnsi="Times New Roman"/>
          <w:sz w:val="28"/>
          <w:szCs w:val="28"/>
          <w:rtl/>
        </w:rPr>
        <w:t xml:space="preserve">4. يرجع الخلاف في تبعة الهلاك إلى </w:t>
      </w:r>
      <w:r>
        <w:rPr>
          <w:rFonts w:ascii="Times New Roman" w:cs="Traditional Arabic" w:hAnsi="Times New Roman"/>
          <w:b/>
          <w:bCs/>
          <w:sz w:val="28"/>
          <w:szCs w:val="28"/>
          <w:rtl/>
        </w:rPr>
        <w:t xml:space="preserve">تكييف يد المرتهن</w:t>
      </w:r>
      <w:r>
        <w:rPr>
          <w:rFonts w:ascii="Times New Roman" w:cs="Traditional Arabic" w:hAnsi="Times New Roman"/>
          <w:sz w:val="28"/>
          <w:szCs w:val="28"/>
          <w:rtl/>
        </w:rPr>
        <w:t xml:space="preserve">: يد ضمان عند الحنفية، ويد أمانة عند الجمهور، مع تفريق مالكي استحساني يجعل الرقيق في دائرة الأمانة.</w:t>
      </w:r>
    </w:p>
    <w:p>
      <w:pPr>
        <w:bidi/>
        <w:spacing w:after="120" w:line="340"/>
        <w:ind w:right="360" w:hanging="360"/>
        <w:jc w:val="both"/>
      </w:pPr>
      <w:r>
        <w:rPr>
          <w:rFonts w:ascii="Times New Roman" w:cs="Traditional Arabic" w:hAnsi="Times New Roman"/>
          <w:sz w:val="28"/>
          <w:szCs w:val="28"/>
          <w:rtl/>
        </w:rPr>
        <w:t xml:space="preserve">5. يمثل العتق والاستيلاد </w:t>
      </w:r>
      <w:r>
        <w:rPr>
          <w:rFonts w:ascii="Times New Roman" w:cs="Traditional Arabic" w:hAnsi="Times New Roman"/>
          <w:b/>
          <w:bCs/>
          <w:sz w:val="28"/>
          <w:szCs w:val="28"/>
          <w:rtl/>
        </w:rPr>
        <w:t xml:space="preserve">أشد نقاط التوتر</w:t>
      </w:r>
      <w:r>
        <w:rPr>
          <w:rFonts w:ascii="Times New Roman" w:cs="Traditional Arabic" w:hAnsi="Times New Roman"/>
          <w:sz w:val="28"/>
          <w:szCs w:val="28"/>
          <w:rtl/>
        </w:rPr>
        <w:t xml:space="preserve"> في النظام، وقد تنوعت حلوله بين تغليب الحرية مع جبر حق الدائن بالقيمة أو السعاية (الحنفية والحنابلة)، والتفريق بحسب يسار الراهن (المالكية والشافعية).</w:t>
      </w:r>
    </w:p>
    <w:p>
      <w:pPr>
        <w:bidi/>
        <w:spacing w:after="120" w:line="340"/>
        <w:ind w:right="360" w:hanging="360"/>
        <w:jc w:val="both"/>
      </w:pPr>
      <w:r>
        <w:rPr>
          <w:rFonts w:ascii="Times New Roman" w:cs="Traditional Arabic" w:hAnsi="Times New Roman"/>
          <w:sz w:val="28"/>
          <w:szCs w:val="28"/>
          <w:rtl/>
        </w:rPr>
        <w:t xml:space="preserve">6. يمتد أثر تكييف عقد الرهن إلى </w:t>
      </w:r>
      <w:r>
        <w:rPr>
          <w:rFonts w:ascii="Times New Roman" w:cs="Traditional Arabic" w:hAnsi="Times New Roman"/>
          <w:b/>
          <w:bCs/>
          <w:sz w:val="28"/>
          <w:szCs w:val="28"/>
          <w:rtl/>
        </w:rPr>
        <w:t xml:space="preserve">المجال الجنائي</w:t>
      </w:r>
      <w:r>
        <w:rPr>
          <w:rFonts w:ascii="Times New Roman" w:cs="Traditional Arabic" w:hAnsi="Times New Roman"/>
          <w:sz w:val="28"/>
          <w:szCs w:val="28"/>
          <w:rtl/>
        </w:rPr>
        <w:t xml:space="preserve">، كما يظهر في رواية كتاب الرهن الحنفية التي تدرأ الحد عن المرتهن الواطئ لشبهة المحل.</w:t>
      </w:r>
    </w:p>
    <w:p>
      <w:pPr>
        <w:bidi/>
        <w:spacing w:after="120" w:line="340"/>
        <w:ind w:right="360" w:hanging="360"/>
        <w:jc w:val="both"/>
      </w:pPr>
      <w:r>
        <w:rPr>
          <w:rFonts w:ascii="Times New Roman" w:cs="Traditional Arabic" w:hAnsi="Times New Roman"/>
          <w:sz w:val="28"/>
          <w:szCs w:val="28"/>
          <w:rtl/>
        </w:rPr>
        <w:t xml:space="preserve">7. يحكم باب الجنايات </w:t>
      </w:r>
      <w:r>
        <w:rPr>
          <w:rFonts w:ascii="Times New Roman" w:cs="Traditional Arabic" w:hAnsi="Times New Roman"/>
          <w:b/>
          <w:bCs/>
          <w:sz w:val="28"/>
          <w:szCs w:val="28"/>
          <w:rtl/>
        </w:rPr>
        <w:t xml:space="preserve">مبدأ الحلول العيني</w:t>
      </w:r>
      <w:r>
        <w:rPr>
          <w:rFonts w:ascii="Times New Roman" w:cs="Traditional Arabic" w:hAnsi="Times New Roman"/>
          <w:sz w:val="28"/>
          <w:szCs w:val="28"/>
          <w:rtl/>
        </w:rPr>
        <w:t xml:space="preserve">، إذ ينتقل حق المرتهن إلى كل بدل يحل محل المرهون، و</w:t>
      </w:r>
      <w:r>
        <w:rPr>
          <w:rFonts w:ascii="Times New Roman" w:cs="Traditional Arabic" w:hAnsi="Times New Roman"/>
          <w:b/>
          <w:bCs/>
          <w:sz w:val="28"/>
          <w:szCs w:val="28"/>
          <w:rtl/>
        </w:rPr>
        <w:t xml:space="preserve">مبدأ ترتيب الحقوق بحسب مصدرها</w:t>
      </w:r>
      <w:r>
        <w:rPr>
          <w:rFonts w:ascii="Times New Roman" w:cs="Traditional Arabic" w:hAnsi="Times New Roman"/>
          <w:sz w:val="28"/>
          <w:szCs w:val="28"/>
          <w:rtl/>
        </w:rPr>
        <w:t xml:space="preserve">، إذ يتقدم حق المجني عليه على حق المرتهن.</w:t>
      </w:r>
    </w:p>
    <w:p>
      <w:pPr>
        <w:pStyle w:val="Heading2"/>
        <w:bidi/>
        <w:spacing w:after="160" w:before="240"/>
        <w:jc w:val="right"/>
      </w:pPr>
      <w:r>
        <w:rPr>
          <w:rFonts w:ascii="Times New Roman" w:cs="Traditional Arabic" w:hAnsi="Times New Roman"/>
          <w:b/>
          <w:bCs/>
          <w:color w:val="2E5496"/>
          <w:sz w:val="30"/>
          <w:szCs w:val="30"/>
          <w:rtl/>
        </w:rPr>
        <w:t xml:space="preserve">ثانيًا: الآفاق</w:t>
      </w:r>
    </w:p>
    <w:p>
      <w:pPr>
        <w:bidi/>
        <w:spacing w:after="120" w:line="340"/>
        <w:jc w:val="both"/>
      </w:pPr>
      <w:r>
        <w:rPr>
          <w:rFonts w:ascii="Times New Roman" w:cs="Traditional Arabic" w:hAnsi="Times New Roman"/>
          <w:sz w:val="28"/>
          <w:szCs w:val="28"/>
          <w:rtl/>
        </w:rPr>
        <w:t xml:space="preserve">يبقى رهن الرقيق اليوم موضوعًا </w:t>
      </w:r>
      <w:r>
        <w:rPr>
          <w:rFonts w:ascii="Times New Roman" w:cs="Traditional Arabic" w:hAnsi="Times New Roman"/>
          <w:b/>
          <w:bCs/>
          <w:sz w:val="28"/>
          <w:szCs w:val="28"/>
          <w:rtl/>
        </w:rPr>
        <w:t xml:space="preserve">تاريخيًا</w:t>
      </w:r>
      <w:r>
        <w:rPr>
          <w:rFonts w:ascii="Times New Roman" w:cs="Traditional Arabic" w:hAnsi="Times New Roman"/>
          <w:sz w:val="28"/>
          <w:szCs w:val="28"/>
          <w:rtl/>
        </w:rPr>
        <w:t xml:space="preserve"> بعد إلغاء الرق، غير أن القواعد التي تولدت منه لم تنقض بانقضائه. فطبيعة يد المرتهن، وتبعية النماء، وتقييد تصرف المالك في المرهون، وانتقال حق الدائن إلى البدل، وترتيب الحقوق المتزاحمة على المال الواحد، كلها قواعد لا تزال حاضرة في قوانين المعاملات المدنية في البلاد العربية المستمدة من الفقه الإسلامي، ومنها ما تأثر بالمذهب الحنفي عبر مجلة الأحكام العدلية. ومن ثم يوصي هذا البحث بأمرين: أولهما </w:t>
      </w:r>
      <w:r>
        <w:rPr>
          <w:rFonts w:ascii="Times New Roman" w:cs="Traditional Arabic" w:hAnsi="Times New Roman"/>
          <w:b/>
          <w:bCs/>
          <w:sz w:val="28"/>
          <w:szCs w:val="28"/>
          <w:rtl/>
        </w:rPr>
        <w:t xml:space="preserve">دراسة الأصول الفقهية لقواعد الرهن في القوانين المدنية العربية</w:t>
      </w:r>
      <w:r>
        <w:rPr>
          <w:rFonts w:ascii="Times New Roman" w:cs="Traditional Arabic" w:hAnsi="Times New Roman"/>
          <w:sz w:val="28"/>
          <w:szCs w:val="28"/>
          <w:rtl/>
        </w:rPr>
        <w:t xml:space="preserve"> دراسة تأصيلية تكشف عن جذورها في هذه الأبواب، لما في ذلك من فائدة في تفسير النصوص التشريعية وسد ثغراتها. وثانيهما </w:t>
      </w:r>
      <w:r>
        <w:rPr>
          <w:rFonts w:ascii="Times New Roman" w:cs="Traditional Arabic" w:hAnsi="Times New Roman"/>
          <w:b/>
          <w:bCs/>
          <w:sz w:val="28"/>
          <w:szCs w:val="28"/>
          <w:rtl/>
        </w:rPr>
        <w:t xml:space="preserve">تحقيق المسائل التي لم تُحسم في هذا البحث</w:t>
      </w:r>
      <w:r>
        <w:rPr>
          <w:rFonts w:ascii="Times New Roman" w:cs="Traditional Arabic" w:hAnsi="Times New Roman"/>
          <w:sz w:val="28"/>
          <w:szCs w:val="28"/>
          <w:rtl/>
        </w:rPr>
        <w:t xml:space="preserve"> من مصادرها الأصلية، ولاسيما رهن المدبَّر عند المالكية، ومستحق المهر في وطء المرتهن عند الحنفية، بالرجوع إلى المدونة ومختصر خليل وشروحه، وإلى المبسوط للسرخسي وبدائع الصنائع للكاساني.</w:t>
      </w:r>
    </w:p>
    <w:p>
      <w:r>
        <w:br w:type="page"/>
      </w:r>
    </w:p>
    <w:p>
      <w:pPr>
        <w:pStyle w:val="Heading1"/>
        <w:bidi/>
        <w:spacing w:after="160" w:before="360"/>
        <w:jc w:val="center"/>
      </w:pPr>
      <w:r>
        <w:rPr>
          <w:rFonts w:ascii="Times New Roman" w:cs="Traditional Arabic" w:hAnsi="Times New Roman"/>
          <w:b/>
          <w:bCs/>
          <w:color w:val="1F3864"/>
          <w:sz w:val="34"/>
          <w:szCs w:val="34"/>
          <w:rtl/>
        </w:rPr>
        <w:t xml:space="preserve">قائمة المصادر والمراجع</w:t>
      </w:r>
    </w:p>
    <w:p>
      <w:pPr>
        <w:pStyle w:val="Heading2"/>
        <w:bidi/>
        <w:spacing w:after="160" w:before="240"/>
        <w:jc w:val="right"/>
      </w:pPr>
      <w:r>
        <w:rPr>
          <w:rFonts w:ascii="Times New Roman" w:cs="Traditional Arabic" w:hAnsi="Times New Roman"/>
          <w:b/>
          <w:bCs/>
          <w:color w:val="2E5496"/>
          <w:sz w:val="30"/>
          <w:szCs w:val="30"/>
          <w:rtl/>
        </w:rPr>
        <w:t xml:space="preserve">أولًا: القرآن الكريم والسنة النبوية</w:t>
      </w:r>
    </w:p>
    <w:p>
      <w:pPr>
        <w:bidi/>
        <w:spacing w:after="120" w:line="340"/>
        <w:ind w:right="360" w:hanging="360"/>
        <w:jc w:val="both"/>
      </w:pPr>
      <w:r>
        <w:rPr>
          <w:rFonts w:ascii="Times New Roman" w:cs="Traditional Arabic" w:hAnsi="Times New Roman"/>
          <w:sz w:val="28"/>
          <w:szCs w:val="28"/>
          <w:rtl/>
        </w:rPr>
        <w:t xml:space="preserve">1. القرآن الكريم.</w:t>
      </w:r>
    </w:p>
    <w:p>
      <w:pPr>
        <w:bidi/>
        <w:spacing w:after="120" w:line="340"/>
        <w:ind w:right="360" w:hanging="360"/>
        <w:jc w:val="both"/>
      </w:pPr>
      <w:r>
        <w:rPr>
          <w:rFonts w:ascii="Times New Roman" w:cs="Traditional Arabic" w:hAnsi="Times New Roman"/>
          <w:sz w:val="28"/>
          <w:szCs w:val="28"/>
          <w:rtl/>
        </w:rPr>
        <w:t xml:space="preserve">2. البخاري، محمد بن إسماعيل، الجامع الصحيح (صحيح البخاري)، كتاب الرهن.</w:t>
      </w:r>
    </w:p>
    <w:p>
      <w:pPr>
        <w:bidi/>
        <w:spacing w:after="120" w:line="340"/>
        <w:ind w:right="360" w:hanging="360"/>
        <w:jc w:val="both"/>
      </w:pPr>
      <w:r>
        <w:rPr>
          <w:rFonts w:ascii="Times New Roman" w:cs="Traditional Arabic" w:hAnsi="Times New Roman"/>
          <w:sz w:val="28"/>
          <w:szCs w:val="28"/>
          <w:rtl/>
        </w:rPr>
        <w:t xml:space="preserve">3. الترمذي، محمد بن عيسى، السنن، باب كراهية الفرق بين الوالدة وولدها في البيع.</w:t>
      </w:r>
    </w:p>
    <w:p>
      <w:pPr>
        <w:pStyle w:val="Heading2"/>
        <w:bidi/>
        <w:spacing w:after="160" w:before="240"/>
        <w:jc w:val="right"/>
      </w:pPr>
      <w:r>
        <w:rPr>
          <w:rFonts w:ascii="Times New Roman" w:cs="Traditional Arabic" w:hAnsi="Times New Roman"/>
          <w:b/>
          <w:bCs/>
          <w:color w:val="2E5496"/>
          <w:sz w:val="30"/>
          <w:szCs w:val="30"/>
          <w:rtl/>
        </w:rPr>
        <w:t xml:space="preserve">ثانيًا: مصادر الفقه الحنفي</w:t>
      </w:r>
    </w:p>
    <w:p>
      <w:pPr>
        <w:bidi/>
        <w:spacing w:after="120" w:line="340"/>
        <w:ind w:right="360" w:hanging="360"/>
        <w:jc w:val="both"/>
      </w:pPr>
      <w:r>
        <w:rPr>
          <w:rFonts w:ascii="Times New Roman" w:cs="Traditional Arabic" w:hAnsi="Times New Roman"/>
          <w:sz w:val="28"/>
          <w:szCs w:val="28"/>
          <w:rtl/>
        </w:rPr>
        <w:t xml:space="preserve">4. الموصلي، عبد الله بن محمود بن مودود، الاختيار لتعليل المختار، كتاب الرهن، ج2.</w:t>
      </w:r>
    </w:p>
    <w:p>
      <w:pPr>
        <w:bidi/>
        <w:spacing w:after="120" w:line="340"/>
        <w:ind w:right="360" w:hanging="360"/>
        <w:jc w:val="both"/>
      </w:pPr>
      <w:r>
        <w:rPr>
          <w:rFonts w:ascii="Times New Roman" w:cs="Traditional Arabic" w:hAnsi="Times New Roman"/>
          <w:sz w:val="28"/>
          <w:szCs w:val="28"/>
          <w:rtl/>
        </w:rPr>
        <w:t xml:space="preserve">5. الكاساني، علاء الدين أبو بكر بن مسعود، بدائع الصنائع في ترتيب الشرائع، كتاب الرهن.</w:t>
      </w:r>
    </w:p>
    <w:p>
      <w:pPr>
        <w:bidi/>
        <w:spacing w:after="120" w:line="340"/>
        <w:ind w:right="360" w:hanging="360"/>
        <w:jc w:val="both"/>
      </w:pPr>
      <w:r>
        <w:rPr>
          <w:rFonts w:ascii="Times New Roman" w:cs="Traditional Arabic" w:hAnsi="Times New Roman"/>
          <w:sz w:val="28"/>
          <w:szCs w:val="28"/>
          <w:rtl/>
        </w:rPr>
        <w:t xml:space="preserve">6. ابن الهمام، كمال الدين محمد بن عبد الواحد، فتح القدير، كتاب الحدود، باب الوطء الذي يوجب الحد والذي لا يوجبه.</w:t>
      </w:r>
    </w:p>
    <w:p>
      <w:pPr>
        <w:pStyle w:val="Heading2"/>
        <w:bidi/>
        <w:spacing w:after="160" w:before="240"/>
        <w:jc w:val="right"/>
      </w:pPr>
      <w:r>
        <w:rPr>
          <w:rFonts w:ascii="Times New Roman" w:cs="Traditional Arabic" w:hAnsi="Times New Roman"/>
          <w:b/>
          <w:bCs/>
          <w:color w:val="2E5496"/>
          <w:sz w:val="30"/>
          <w:szCs w:val="30"/>
          <w:rtl/>
        </w:rPr>
        <w:t xml:space="preserve">ثالثًا: مصادر الفقه المالكي</w:t>
      </w:r>
    </w:p>
    <w:p>
      <w:pPr>
        <w:bidi/>
        <w:spacing w:after="120" w:line="340"/>
        <w:ind w:right="360" w:hanging="360"/>
        <w:jc w:val="both"/>
      </w:pPr>
      <w:r>
        <w:rPr>
          <w:rFonts w:ascii="Times New Roman" w:cs="Traditional Arabic" w:hAnsi="Times New Roman"/>
          <w:sz w:val="28"/>
          <w:szCs w:val="28"/>
          <w:rtl/>
        </w:rPr>
        <w:t xml:space="preserve">7. ابن رشد الحفيد، محمد بن أحمد، بداية المجتهد ونهاية المقتصد، كتاب الرهون.</w:t>
      </w:r>
    </w:p>
    <w:p>
      <w:pPr>
        <w:bidi/>
        <w:spacing w:after="120" w:line="340"/>
        <w:ind w:right="360" w:hanging="360"/>
        <w:jc w:val="both"/>
      </w:pPr>
      <w:r>
        <w:rPr>
          <w:rFonts w:ascii="Times New Roman" w:cs="Traditional Arabic" w:hAnsi="Times New Roman"/>
          <w:sz w:val="28"/>
          <w:szCs w:val="28"/>
          <w:rtl/>
        </w:rPr>
        <w:t xml:space="preserve">8. الدردير، أحمد بن محمد، الشرح الكبير على مختصر خليل، مع حاشية الدسوقي، باب الرهن، ج3.</w:t>
      </w:r>
    </w:p>
    <w:p>
      <w:pPr>
        <w:bidi/>
        <w:spacing w:after="120" w:line="340"/>
        <w:ind w:right="360" w:hanging="360"/>
        <w:jc w:val="both"/>
      </w:pPr>
      <w:r>
        <w:rPr>
          <w:rFonts w:ascii="Times New Roman" w:cs="Traditional Arabic" w:hAnsi="Times New Roman"/>
          <w:sz w:val="28"/>
          <w:szCs w:val="28"/>
          <w:rtl/>
        </w:rPr>
        <w:t xml:space="preserve">9. ابن ناجي التنوخي، قاسم بن عيسى، شرح ابن ناجي على متن الرسالة.</w:t>
      </w:r>
    </w:p>
    <w:p>
      <w:pPr>
        <w:bidi/>
        <w:spacing w:after="120" w:line="340"/>
        <w:ind w:right="360" w:hanging="360"/>
        <w:jc w:val="both"/>
      </w:pPr>
      <w:r>
        <w:rPr>
          <w:rFonts w:ascii="Times New Roman" w:cs="Traditional Arabic" w:hAnsi="Times New Roman"/>
          <w:sz w:val="28"/>
          <w:szCs w:val="28"/>
          <w:rtl/>
        </w:rPr>
        <w:t xml:space="preserve">10. ابن عبد البر، يوسف بن عبد الله، الكافي في فقه أهل المدينة، كتاب أم الولد.</w:t>
      </w:r>
    </w:p>
    <w:p>
      <w:pPr>
        <w:pStyle w:val="Heading2"/>
        <w:bidi/>
        <w:spacing w:after="160" w:before="240"/>
        <w:jc w:val="right"/>
      </w:pPr>
      <w:r>
        <w:rPr>
          <w:rFonts w:ascii="Times New Roman" w:cs="Traditional Arabic" w:hAnsi="Times New Roman"/>
          <w:b/>
          <w:bCs/>
          <w:color w:val="2E5496"/>
          <w:sz w:val="30"/>
          <w:szCs w:val="30"/>
          <w:rtl/>
        </w:rPr>
        <w:t xml:space="preserve">رابعًا: مصادر الفقه الشافعي</w:t>
      </w:r>
    </w:p>
    <w:p>
      <w:pPr>
        <w:bidi/>
        <w:spacing w:after="120" w:line="340"/>
        <w:ind w:right="360" w:hanging="360"/>
        <w:jc w:val="both"/>
      </w:pPr>
      <w:r>
        <w:rPr>
          <w:rFonts w:ascii="Times New Roman" w:cs="Traditional Arabic" w:hAnsi="Times New Roman"/>
          <w:sz w:val="28"/>
          <w:szCs w:val="28"/>
          <w:rtl/>
        </w:rPr>
        <w:t xml:space="preserve">11. النووي، يحيى بن شرف، روضة الطالبين وعمدة المفتين، كتاب الرهن، ج4.</w:t>
      </w:r>
    </w:p>
    <w:p>
      <w:pPr>
        <w:bidi/>
        <w:spacing w:after="120" w:line="340"/>
        <w:ind w:right="360" w:hanging="360"/>
        <w:jc w:val="both"/>
      </w:pPr>
      <w:r>
        <w:rPr>
          <w:rFonts w:ascii="Times New Roman" w:cs="Traditional Arabic" w:hAnsi="Times New Roman"/>
          <w:sz w:val="28"/>
          <w:szCs w:val="28"/>
          <w:rtl/>
        </w:rPr>
        <w:t xml:space="preserve">12. النووي، يحيى بن شرف، المجموع شرح المهذب، ج9.</w:t>
      </w:r>
    </w:p>
    <w:p>
      <w:pPr>
        <w:bidi/>
        <w:spacing w:after="120" w:line="340"/>
        <w:ind w:right="360" w:hanging="360"/>
        <w:jc w:val="both"/>
      </w:pPr>
      <w:r>
        <w:rPr>
          <w:rFonts w:ascii="Times New Roman" w:cs="Traditional Arabic" w:hAnsi="Times New Roman"/>
          <w:sz w:val="28"/>
          <w:szCs w:val="28"/>
          <w:rtl/>
        </w:rPr>
        <w:t xml:space="preserve">13. الرافعي، عبد الكريم بن محمد، فتح العزيز شرح الوجيز، ج10، كتاب الرهن.</w:t>
      </w:r>
    </w:p>
    <w:p>
      <w:pPr>
        <w:bidi/>
        <w:spacing w:after="120" w:line="340"/>
        <w:ind w:right="360" w:hanging="360"/>
        <w:jc w:val="both"/>
      </w:pPr>
      <w:r>
        <w:rPr>
          <w:rFonts w:ascii="Times New Roman" w:cs="Traditional Arabic" w:hAnsi="Times New Roman"/>
          <w:sz w:val="28"/>
          <w:szCs w:val="28"/>
          <w:rtl/>
        </w:rPr>
        <w:t xml:space="preserve">14. العمراني، يحيى بن أبي الخير، البيان في مذهب الإمام الشافعي، كتاب الرهن.</w:t>
      </w:r>
    </w:p>
    <w:p>
      <w:pPr>
        <w:pStyle w:val="Heading2"/>
        <w:bidi/>
        <w:spacing w:after="160" w:before="240"/>
        <w:jc w:val="right"/>
      </w:pPr>
      <w:r>
        <w:rPr>
          <w:rFonts w:ascii="Times New Roman" w:cs="Traditional Arabic" w:hAnsi="Times New Roman"/>
          <w:b/>
          <w:bCs/>
          <w:color w:val="2E5496"/>
          <w:sz w:val="30"/>
          <w:szCs w:val="30"/>
          <w:rtl/>
        </w:rPr>
        <w:t xml:space="preserve">خامسًا: مصادر الفقه الحنبلي</w:t>
      </w:r>
    </w:p>
    <w:p>
      <w:pPr>
        <w:bidi/>
        <w:spacing w:after="120" w:line="340"/>
        <w:ind w:right="360" w:hanging="360"/>
        <w:jc w:val="both"/>
      </w:pPr>
      <w:r>
        <w:rPr>
          <w:rFonts w:ascii="Times New Roman" w:cs="Traditional Arabic" w:hAnsi="Times New Roman"/>
          <w:sz w:val="28"/>
          <w:szCs w:val="28"/>
          <w:rtl/>
        </w:rPr>
        <w:t xml:space="preserve">15. ابن قدامة، موفق الدين عبد الله بن أحمد، المغني، كتاب الرهن، ج4.</w:t>
      </w:r>
    </w:p>
    <w:p>
      <w:pPr>
        <w:bidi/>
        <w:spacing w:after="120" w:line="340"/>
        <w:ind w:right="360" w:hanging="360"/>
        <w:jc w:val="both"/>
      </w:pPr>
      <w:r>
        <w:rPr>
          <w:rFonts w:ascii="Times New Roman" w:cs="Traditional Arabic" w:hAnsi="Times New Roman"/>
          <w:sz w:val="28"/>
          <w:szCs w:val="28"/>
          <w:rtl/>
        </w:rPr>
        <w:t xml:space="preserve">16. المرداوي، علاء الدين علي بن سليمان، الإنصاف في معرفة الراجح من الخلاف.</w:t>
      </w:r>
    </w:p>
    <w:p>
      <w:pPr>
        <w:bidi/>
        <w:spacing w:after="120" w:line="340"/>
        <w:ind w:right="360" w:hanging="360"/>
        <w:jc w:val="both"/>
      </w:pPr>
      <w:r>
        <w:rPr>
          <w:rFonts w:ascii="Times New Roman" w:cs="Traditional Arabic" w:hAnsi="Times New Roman"/>
          <w:sz w:val="28"/>
          <w:szCs w:val="28"/>
          <w:rtl/>
        </w:rPr>
        <w:t xml:space="preserve">17. بهاء الدين المقدسي، عبد الرحمن بن إبراهيم، العدة شرح العمدة.</w:t>
      </w:r>
    </w:p>
    <w:p>
      <w:pPr>
        <w:pStyle w:val="Heading2"/>
        <w:bidi/>
        <w:spacing w:after="160" w:before="240"/>
        <w:jc w:val="right"/>
      </w:pPr>
      <w:r>
        <w:rPr>
          <w:rFonts w:ascii="Times New Roman" w:cs="Traditional Arabic" w:hAnsi="Times New Roman"/>
          <w:b/>
          <w:bCs/>
          <w:color w:val="2E5496"/>
          <w:sz w:val="30"/>
          <w:szCs w:val="30"/>
          <w:rtl/>
        </w:rPr>
        <w:t xml:space="preserve">سادسًا: مصادر الفقه الإمامي</w:t>
      </w:r>
    </w:p>
    <w:p>
      <w:pPr>
        <w:bidi/>
        <w:spacing w:after="120" w:line="340"/>
        <w:ind w:right="360" w:hanging="360"/>
        <w:jc w:val="both"/>
      </w:pPr>
      <w:r>
        <w:rPr>
          <w:rFonts w:ascii="Times New Roman" w:cs="Traditional Arabic" w:hAnsi="Times New Roman"/>
          <w:sz w:val="28"/>
          <w:szCs w:val="28"/>
          <w:rtl/>
        </w:rPr>
        <w:t xml:space="preserve">18. العلامة الحلي، الحسن بن يوسف بن المطهر، تذكرة الفقهاء، كتاب الرهن.</w:t>
      </w:r>
    </w:p>
    <w:p>
      <w:pPr>
        <w:pStyle w:val="Heading2"/>
        <w:bidi/>
        <w:spacing w:after="160" w:before="240"/>
        <w:jc w:val="right"/>
      </w:pPr>
      <w:r>
        <w:rPr>
          <w:rFonts w:ascii="Times New Roman" w:cs="Traditional Arabic" w:hAnsi="Times New Roman"/>
          <w:b/>
          <w:bCs/>
          <w:color w:val="2E5496"/>
          <w:sz w:val="30"/>
          <w:szCs w:val="30"/>
          <w:rtl/>
        </w:rPr>
        <w:t xml:space="preserve">سابعًا: المراجع المعاصرة</w:t>
      </w:r>
    </w:p>
    <w:p>
      <w:pPr>
        <w:bidi/>
        <w:spacing w:after="120" w:line="340"/>
        <w:ind w:right="360" w:hanging="360"/>
        <w:jc w:val="both"/>
      </w:pPr>
      <w:r>
        <w:rPr>
          <w:rFonts w:ascii="Times New Roman" w:cs="Traditional Arabic" w:hAnsi="Times New Roman"/>
          <w:sz w:val="28"/>
          <w:szCs w:val="28"/>
          <w:rtl/>
        </w:rPr>
        <w:t xml:space="preserve">19. الجزيري، عبد الرحمن، الفقه على المذاهب الأربعة، ج2، مباحث الرهن.</w:t>
      </w:r>
    </w:p>
    <w:p>
      <w:pPr>
        <w:bidi/>
        <w:spacing w:after="120" w:line="340"/>
        <w:ind w:right="360" w:hanging="360"/>
        <w:jc w:val="both"/>
      </w:pPr>
      <w:r>
        <w:rPr>
          <w:rFonts w:ascii="Times New Roman" w:cs="Traditional Arabic" w:hAnsi="Times New Roman"/>
          <w:sz w:val="28"/>
          <w:szCs w:val="28"/>
          <w:rtl/>
        </w:rPr>
        <w:t xml:space="preserve">20. موسوعة الإجماع في الفقه الإسلامي، ج4.</w:t>
      </w:r>
    </w:p>
    <w:p>
      <w:pPr>
        <w:bidi/>
        <w:spacing w:after="120" w:line="340"/>
        <w:ind w:right="360" w:hanging="360"/>
        <w:jc w:val="both"/>
      </w:pPr>
      <w:r>
        <w:rPr>
          <w:rFonts w:ascii="Times New Roman" w:cs="Traditional Arabic" w:hAnsi="Times New Roman"/>
          <w:sz w:val="28"/>
          <w:szCs w:val="28"/>
          <w:rtl/>
        </w:rPr>
        <w:t xml:space="preserve">21. الموسوعة الفقهية، مؤسسة الدرر السنية، مبحث نماء الرهن المنفصل.</w:t>
      </w:r>
    </w:p>
    <w:p>
      <w:pPr>
        <w:bidi/>
        <w:spacing w:after="120" w:line="340"/>
        <w:ind w:right="360" w:hanging="360"/>
        <w:jc w:val="both"/>
      </w:pPr>
      <w:r>
        <w:rPr>
          <w:rFonts w:ascii="Times New Roman" w:cs="Traditional Arabic" w:hAnsi="Times New Roman"/>
          <w:sz w:val="28"/>
          <w:szCs w:val="28"/>
          <w:rtl/>
        </w:rPr>
        <w:t xml:space="preserve">22. فرج، نوري إبراهيم، ونسيمة، «أثر الشبهات في درء الحدود»، مجلة الرسالة، الجامعة الإسلامية العالمية بماليزيا، مج7، ع2، 2023.</w:t>
      </w:r>
    </w:p>
    <w:p>
      <w:pPr>
        <w:bidi/>
        <w:spacing w:after="120" w:line="340"/>
        <w:ind w:right="360" w:hanging="360"/>
        <w:jc w:val="both"/>
      </w:pPr>
      <w:r>
        <w:rPr>
          <w:rFonts w:ascii="Times New Roman" w:cs="Traditional Arabic" w:hAnsi="Times New Roman"/>
          <w:sz w:val="28"/>
          <w:szCs w:val="28"/>
          <w:rtl/>
        </w:rPr>
        <w:t xml:space="preserve">23. «حكم نماء الرهن وغلته في المذاهب الأربعة»، مجلة الفرقان.</w:t>
      </w:r>
    </w:p>
    <w:p>
      <w:pPr>
        <w:bidi/>
        <w:spacing w:after="120" w:line="340"/>
        <w:ind w:right="360" w:hanging="360"/>
        <w:jc w:val="both"/>
      </w:pPr>
      <w:r>
        <w:rPr>
          <w:rFonts w:ascii="Times New Roman" w:cs="Traditional Arabic" w:hAnsi="Times New Roman"/>
          <w:sz w:val="28"/>
          <w:szCs w:val="28"/>
          <w:rtl/>
        </w:rPr>
        <w:t xml:space="preserve">24. فركوس، محمد علي، «البيان لصفة يد المرتهن بين الأمانة والضمان».</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00" w:hanging="300"/>
      </w:pPr>
    </w:lvl>
    <w:lvl w:ilvl="1" w15:tentative="1">
      <w:start w:val="1"/>
      <w:numFmt w:val="bullet"/>
      <w:lvlText w:val="○"/>
      <w:lvlJc w:val="right"/>
      <w:pPr>
        <w:ind w:right="900" w:hanging="300"/>
      </w:pPr>
    </w:lvl>
    <w:lvl w:ilvl="2" w15:tentative="1">
      <w:start w:val="1"/>
      <w:numFmt w:val="bullet"/>
      <w:lvlText w:val="■"/>
      <w:lvlJc w:val="right"/>
      <w:pPr>
        <w:ind w:right="13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hAnsi="Times New Roman"/>
        <w:sz w:val="28"/>
        <w:szCs w:val="28"/>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b/>
      <w:bCs/>
      <w:sz w:val="34"/>
      <w:szCs w:val="34"/>
    </w:rPr>
  </w:style>
  <w:style w:type="paragraph" w:styleId="Heading2">
    <w:name w:val="Heading 2"/>
    <w:basedOn w:val="Normal"/>
    <w:next w:val="Normal"/>
    <w:qFormat/>
    <w:pPr>
      <w:keepNext/>
      <w:outlineLvl w:val="1"/>
    </w:pPr>
    <w:rPr>
      <w:b/>
      <w:bCs/>
      <w:sz w:val="30"/>
      <w:szCs w:val="30"/>
    </w:rPr>
  </w:style>
  <w:style w:type="paragraph" w:styleId="Heading3">
    <w:name w:val="Heading 3"/>
    <w:basedOn w:val="Normal"/>
    <w:next w:val="Normal"/>
    <w:qFormat/>
    <w:pPr>
      <w:keepNext/>
      <w:outlineLvl w:val="2"/>
    </w:pPr>
    <w:rPr>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2026-10-11T00:05:17.826Z</dcterms:created>
  <dcterms:modified xsi:type="dcterms:W3CDTF">2026-10-11T00:05:17.833Z</dcterms:modified>
</cp:coreProperties>
</file>

<file path=docProps/custom.xml><?xml version="1.0" encoding="utf-8"?>
<Properties xmlns="http://schemas.openxmlformats.org/officeDocument/2006/custom-properties" xmlns:vt="http://schemas.openxmlformats.org/officeDocument/2006/docPropsVTypes"/>
</file>