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0" w:before="2400"/>
        <w:jc w:val="center"/>
      </w:pPr>
      <w:r>
        <w:rPr>
          <w:rFonts w:ascii="Times New Roman" w:cs="Traditional Arabic" w:hAnsi="Times New Roman"/>
          <w:b/>
          <w:bCs/>
          <w:color w:val="1F3864"/>
          <w:sz w:val="40"/>
          <w:szCs w:val="40"/>
          <w:rtl/>
        </w:rPr>
        <w:t xml:space="preserve">قواعد الإنكوتيرمز (Incoterms®) في قانون التجارة الدولية: دراسة تأصيلية تحليلية في الماهية والتطور والتطبيقات والإشكاليات القانونية</w:t>
      </w:r>
    </w:p>
    <w:p>
      <w:pPr>
        <w:pStyle w:val="Heading1"/>
        <w:bidi/>
        <w:spacing w:after="160" w:before="360"/>
        <w:jc w:val="center"/>
      </w:pPr>
      <w:r>
        <w:rPr>
          <w:rFonts w:ascii="Times New Roman" w:cs="Traditional Arabic" w:hAnsi="Times New Roman"/>
          <w:b/>
          <w:bCs/>
          <w:color w:val="1F3864"/>
          <w:sz w:val="34"/>
          <w:szCs w:val="34"/>
          <w:rtl/>
        </w:rPr>
        <w:t xml:space="preserve">الملخّص</w:t>
      </w:r>
    </w:p>
    <w:p>
      <w:pPr>
        <w:bidi/>
        <w:spacing w:after="120" w:line="340"/>
        <w:jc w:val="both"/>
      </w:pPr>
      <w:r>
        <w:rPr>
          <w:rFonts w:ascii="Times New Roman" w:cs="Traditional Arabic" w:hAnsi="Times New Roman"/>
          <w:sz w:val="28"/>
          <w:szCs w:val="28"/>
          <w:rtl/>
        </w:rPr>
        <w:t xml:space="preserve">تتناول هذه الدراسة قواعد الإنكوتيرمز بوصفها مؤسسة من مؤسسات قانون التجارة الدولية، فتحلل طبيعتها القانونية وتطورها منذ 1936 إلى إصدار 2020، وتطبيقاتها في عقود البيع والنقل والتأمين والاعتماد المستندي، ثم تعالج الإشكاليات الناشئة عنها، كقوتها الإلزامية وعلاقتها باتفاقية فيينا وانتقال الملكية والرقمنة.</w:t>
      </w:r>
    </w:p>
    <w:p>
      <w:pPr>
        <w:pStyle w:val="Heading1"/>
        <w:bidi/>
        <w:spacing w:after="160" w:before="360"/>
        <w:jc w:val="center"/>
      </w:pPr>
      <w:r>
        <w:rPr>
          <w:rFonts w:ascii="Times New Roman" w:cs="Traditional Arabic" w:hAnsi="Times New Roman"/>
          <w:b/>
          <w:bCs/>
          <w:color w:val="1F3864"/>
          <w:sz w:val="34"/>
          <w:szCs w:val="34"/>
          <w:rtl/>
        </w:rPr>
        <w:t xml:space="preserve">خطة البحث</w:t>
      </w:r>
    </w:p>
    <w:p>
      <w:pPr>
        <w:pStyle w:val="ListParagraph"/>
        <w:numPr>
          <w:ilvl w:val="0"/>
          <w:numId w:val="2"/>
        </w:numPr>
        <w:bidi/>
        <w:spacing w:after="80" w:line="320"/>
        <w:jc w:val="right"/>
      </w:pPr>
      <w:r>
        <w:rPr>
          <w:rFonts w:ascii="Times New Roman" w:cs="Traditional Arabic" w:hAnsi="Times New Roman"/>
          <w:b/>
          <w:bCs/>
          <w:sz w:val="28"/>
          <w:szCs w:val="28"/>
          <w:rtl/>
        </w:rPr>
        <w:t xml:space="preserve">مقدمة</w:t>
      </w:r>
    </w:p>
    <w:p>
      <w:pPr>
        <w:pStyle w:val="ListParagraph"/>
        <w:numPr>
          <w:ilvl w:val="0"/>
          <w:numId w:val="2"/>
        </w:numPr>
        <w:bidi/>
        <w:spacing w:after="80" w:line="320"/>
        <w:jc w:val="right"/>
      </w:pPr>
      <w:r>
        <w:rPr>
          <w:rFonts w:ascii="Times New Roman" w:cs="Traditional Arabic" w:hAnsi="Times New Roman"/>
          <w:b/>
          <w:bCs/>
          <w:sz w:val="28"/>
          <w:szCs w:val="28"/>
          <w:rtl/>
        </w:rPr>
        <w:t xml:space="preserve">المبحث الأول: ماهية قواعد الإنكوتيرمز وتطورها التاريخي</w:t>
      </w:r>
    </w:p>
    <w:p>
      <w:pPr>
        <w:pStyle w:val="ListParagraph"/>
        <w:numPr>
          <w:ilvl w:val="1"/>
          <w:numId w:val="2"/>
        </w:numPr>
        <w:bidi/>
        <w:spacing w:after="80" w:line="320"/>
        <w:jc w:val="right"/>
      </w:pPr>
      <w:r>
        <w:rPr>
          <w:rFonts w:ascii="Times New Roman" w:cs="Traditional Arabic" w:hAnsi="Times New Roman"/>
          <w:sz w:val="28"/>
          <w:szCs w:val="28"/>
          <w:rtl/>
        </w:rPr>
        <w:t xml:space="preserve">المطلب الأول: مفهوم قواعد الإنكوتيرمز وطبيعتها القانونية</w:t>
      </w:r>
    </w:p>
    <w:p>
      <w:pPr>
        <w:pStyle w:val="ListParagraph"/>
        <w:numPr>
          <w:ilvl w:val="2"/>
          <w:numId w:val="2"/>
        </w:numPr>
        <w:bidi/>
        <w:spacing w:after="80" w:line="320"/>
        <w:jc w:val="right"/>
      </w:pPr>
      <w:r>
        <w:rPr>
          <w:rFonts w:ascii="Times New Roman" w:cs="Traditional Arabic" w:hAnsi="Times New Roman"/>
          <w:sz w:val="28"/>
          <w:szCs w:val="28"/>
          <w:rtl/>
        </w:rPr>
        <w:t xml:space="preserve">الفرع الأول: التعريف وتحديد النطاق</w:t>
      </w:r>
    </w:p>
    <w:p>
      <w:pPr>
        <w:pStyle w:val="ListParagraph"/>
        <w:numPr>
          <w:ilvl w:val="2"/>
          <w:numId w:val="2"/>
        </w:numPr>
        <w:bidi/>
        <w:spacing w:after="80" w:line="320"/>
        <w:jc w:val="right"/>
      </w:pPr>
      <w:r>
        <w:rPr>
          <w:rFonts w:ascii="Times New Roman" w:cs="Traditional Arabic" w:hAnsi="Times New Roman"/>
          <w:sz w:val="28"/>
          <w:szCs w:val="28"/>
          <w:rtl/>
        </w:rPr>
        <w:t xml:space="preserve">الفرع الثاني: التكييف القانوني لقواعد الإنكوتيرمز</w:t>
      </w:r>
    </w:p>
    <w:p>
      <w:pPr>
        <w:pStyle w:val="ListParagraph"/>
        <w:numPr>
          <w:ilvl w:val="1"/>
          <w:numId w:val="2"/>
        </w:numPr>
        <w:bidi/>
        <w:spacing w:after="80" w:line="320"/>
        <w:jc w:val="right"/>
      </w:pPr>
      <w:r>
        <w:rPr>
          <w:rFonts w:ascii="Times New Roman" w:cs="Traditional Arabic" w:hAnsi="Times New Roman"/>
          <w:sz w:val="28"/>
          <w:szCs w:val="28"/>
          <w:rtl/>
        </w:rPr>
        <w:t xml:space="preserve">المطلب الثاني: التطور التاريخي لقواعد الإنكوتيرمز</w:t>
      </w:r>
    </w:p>
    <w:p>
      <w:pPr>
        <w:pStyle w:val="ListParagraph"/>
        <w:numPr>
          <w:ilvl w:val="2"/>
          <w:numId w:val="2"/>
        </w:numPr>
        <w:bidi/>
        <w:spacing w:after="80" w:line="320"/>
        <w:jc w:val="right"/>
      </w:pPr>
      <w:r>
        <w:rPr>
          <w:rFonts w:ascii="Times New Roman" w:cs="Traditional Arabic" w:hAnsi="Times New Roman"/>
          <w:sz w:val="28"/>
          <w:szCs w:val="28"/>
          <w:rtl/>
        </w:rPr>
        <w:t xml:space="preserve">الفرع الأول: من الأعراف التجارية إلى التقنين الخاص (1919–1936)</w:t>
      </w:r>
    </w:p>
    <w:p>
      <w:pPr>
        <w:pStyle w:val="ListParagraph"/>
        <w:numPr>
          <w:ilvl w:val="2"/>
          <w:numId w:val="2"/>
        </w:numPr>
        <w:bidi/>
        <w:spacing w:after="80" w:line="320"/>
        <w:jc w:val="right"/>
      </w:pPr>
      <w:r>
        <w:rPr>
          <w:rFonts w:ascii="Times New Roman" w:cs="Traditional Arabic" w:hAnsi="Times New Roman"/>
          <w:sz w:val="28"/>
          <w:szCs w:val="28"/>
          <w:rtl/>
        </w:rPr>
        <w:t xml:space="preserve">الفرع الثاني: مسار المراجعات المتعاقبة (1953–2020) وآفاق المراجعة القادمة</w:t>
      </w:r>
    </w:p>
    <w:p>
      <w:pPr>
        <w:pStyle w:val="ListParagraph"/>
        <w:numPr>
          <w:ilvl w:val="0"/>
          <w:numId w:val="2"/>
        </w:numPr>
        <w:bidi/>
        <w:spacing w:after="80" w:line="320"/>
        <w:jc w:val="right"/>
      </w:pPr>
      <w:r>
        <w:rPr>
          <w:rFonts w:ascii="Times New Roman" w:cs="Traditional Arabic" w:hAnsi="Times New Roman"/>
          <w:b/>
          <w:bCs/>
          <w:sz w:val="28"/>
          <w:szCs w:val="28"/>
          <w:rtl/>
        </w:rPr>
        <w:t xml:space="preserve">المبحث الثاني: تطبيقات قواعد الإنكوتيرمز في المعاملات التجارية الدولية</w:t>
      </w:r>
    </w:p>
    <w:p>
      <w:pPr>
        <w:pStyle w:val="ListParagraph"/>
        <w:numPr>
          <w:ilvl w:val="1"/>
          <w:numId w:val="2"/>
        </w:numPr>
        <w:bidi/>
        <w:spacing w:after="80" w:line="320"/>
        <w:jc w:val="right"/>
      </w:pPr>
      <w:r>
        <w:rPr>
          <w:rFonts w:ascii="Times New Roman" w:cs="Traditional Arabic" w:hAnsi="Times New Roman"/>
          <w:sz w:val="28"/>
          <w:szCs w:val="28"/>
          <w:rtl/>
        </w:rPr>
        <w:t xml:space="preserve">المطلب الأول: البنية التقنية للقواعد وتوزيع الالتزامات</w:t>
      </w:r>
    </w:p>
    <w:p>
      <w:pPr>
        <w:pStyle w:val="ListParagraph"/>
        <w:numPr>
          <w:ilvl w:val="2"/>
          <w:numId w:val="2"/>
        </w:numPr>
        <w:bidi/>
        <w:spacing w:after="80" w:line="320"/>
        <w:jc w:val="right"/>
      </w:pPr>
      <w:r>
        <w:rPr>
          <w:rFonts w:ascii="Times New Roman" w:cs="Traditional Arabic" w:hAnsi="Times New Roman"/>
          <w:sz w:val="28"/>
          <w:szCs w:val="28"/>
          <w:rtl/>
        </w:rPr>
        <w:t xml:space="preserve">الفرع الأول: تصنيف القواعد ومنطق ترتيبها</w:t>
      </w:r>
    </w:p>
    <w:p>
      <w:pPr>
        <w:pStyle w:val="ListParagraph"/>
        <w:numPr>
          <w:ilvl w:val="2"/>
          <w:numId w:val="2"/>
        </w:numPr>
        <w:bidi/>
        <w:spacing w:after="80" w:line="320"/>
        <w:jc w:val="right"/>
      </w:pPr>
      <w:r>
        <w:rPr>
          <w:rFonts w:ascii="Times New Roman" w:cs="Traditional Arabic" w:hAnsi="Times New Roman"/>
          <w:sz w:val="28"/>
          <w:szCs w:val="28"/>
          <w:rtl/>
        </w:rPr>
        <w:t xml:space="preserve">الفرع الثاني: الالتزامات المتقابلة ومعيار التسليم وانتقال تبعة الهلاك</w:t>
      </w:r>
    </w:p>
    <w:p>
      <w:pPr>
        <w:pStyle w:val="ListParagraph"/>
        <w:numPr>
          <w:ilvl w:val="1"/>
          <w:numId w:val="2"/>
        </w:numPr>
        <w:bidi/>
        <w:spacing w:after="80" w:line="320"/>
        <w:jc w:val="right"/>
      </w:pPr>
      <w:r>
        <w:rPr>
          <w:rFonts w:ascii="Times New Roman" w:cs="Traditional Arabic" w:hAnsi="Times New Roman"/>
          <w:sz w:val="28"/>
          <w:szCs w:val="28"/>
          <w:rtl/>
        </w:rPr>
        <w:t xml:space="preserve">المطلب الثاني: موقع الإنكوتيرمز في شبكة العقود المرتبطة بالبيع الدولي</w:t>
      </w:r>
    </w:p>
    <w:p>
      <w:pPr>
        <w:pStyle w:val="ListParagraph"/>
        <w:numPr>
          <w:ilvl w:val="2"/>
          <w:numId w:val="2"/>
        </w:numPr>
        <w:bidi/>
        <w:spacing w:after="80" w:line="320"/>
        <w:jc w:val="right"/>
      </w:pPr>
      <w:r>
        <w:rPr>
          <w:rFonts w:ascii="Times New Roman" w:cs="Traditional Arabic" w:hAnsi="Times New Roman"/>
          <w:sz w:val="28"/>
          <w:szCs w:val="28"/>
          <w:rtl/>
        </w:rPr>
        <w:t xml:space="preserve">الفرع الأول: الإنكوتيرمز وعقدا النقل والتأمين</w:t>
      </w:r>
    </w:p>
    <w:p>
      <w:pPr>
        <w:pStyle w:val="ListParagraph"/>
        <w:numPr>
          <w:ilvl w:val="2"/>
          <w:numId w:val="2"/>
        </w:numPr>
        <w:bidi/>
        <w:spacing w:after="80" w:line="320"/>
        <w:jc w:val="right"/>
      </w:pPr>
      <w:r>
        <w:rPr>
          <w:rFonts w:ascii="Times New Roman" w:cs="Traditional Arabic" w:hAnsi="Times New Roman"/>
          <w:sz w:val="28"/>
          <w:szCs w:val="28"/>
          <w:rtl/>
        </w:rPr>
        <w:t xml:space="preserve">الفرع الثاني: الإنكوتيرمز والاعتماد المستندي والقيمة الجمركية</w:t>
      </w:r>
    </w:p>
    <w:p>
      <w:pPr>
        <w:pStyle w:val="ListParagraph"/>
        <w:numPr>
          <w:ilvl w:val="0"/>
          <w:numId w:val="2"/>
        </w:numPr>
        <w:bidi/>
        <w:spacing w:after="80" w:line="320"/>
        <w:jc w:val="right"/>
      </w:pPr>
      <w:r>
        <w:rPr>
          <w:rFonts w:ascii="Times New Roman" w:cs="Traditional Arabic" w:hAnsi="Times New Roman"/>
          <w:b/>
          <w:bCs/>
          <w:sz w:val="28"/>
          <w:szCs w:val="28"/>
          <w:rtl/>
        </w:rPr>
        <w:t xml:space="preserve">المبحث الثالث: الإشكاليات القانونية المترتبة على قواعد الإنكوتيرمز</w:t>
      </w:r>
    </w:p>
    <w:p>
      <w:pPr>
        <w:pStyle w:val="ListParagraph"/>
        <w:numPr>
          <w:ilvl w:val="1"/>
          <w:numId w:val="2"/>
        </w:numPr>
        <w:bidi/>
        <w:spacing w:after="80" w:line="320"/>
        <w:jc w:val="right"/>
      </w:pPr>
      <w:r>
        <w:rPr>
          <w:rFonts w:ascii="Times New Roman" w:cs="Traditional Arabic" w:hAnsi="Times New Roman"/>
          <w:sz w:val="28"/>
          <w:szCs w:val="28"/>
          <w:rtl/>
        </w:rPr>
        <w:t xml:space="preserve">المطلب الأول: إشكاليات القوة الإلزامية والتفسير</w:t>
      </w:r>
    </w:p>
    <w:p>
      <w:pPr>
        <w:pStyle w:val="ListParagraph"/>
        <w:numPr>
          <w:ilvl w:val="2"/>
          <w:numId w:val="2"/>
        </w:numPr>
        <w:bidi/>
        <w:spacing w:after="80" w:line="320"/>
        <w:jc w:val="right"/>
      </w:pPr>
      <w:r>
        <w:rPr>
          <w:rFonts w:ascii="Times New Roman" w:cs="Traditional Arabic" w:hAnsi="Times New Roman"/>
          <w:sz w:val="28"/>
          <w:szCs w:val="28"/>
          <w:rtl/>
        </w:rPr>
        <w:t xml:space="preserve">الفرع الأول: إشكالية الإدماج في العقد وحجية القواعد بوصفها عرفًا</w:t>
      </w:r>
    </w:p>
    <w:p>
      <w:pPr>
        <w:pStyle w:val="ListParagraph"/>
        <w:numPr>
          <w:ilvl w:val="2"/>
          <w:numId w:val="2"/>
        </w:numPr>
        <w:bidi/>
        <w:spacing w:after="80" w:line="320"/>
        <w:jc w:val="right"/>
      </w:pPr>
      <w:r>
        <w:rPr>
          <w:rFonts w:ascii="Times New Roman" w:cs="Traditional Arabic" w:hAnsi="Times New Roman"/>
          <w:sz w:val="28"/>
          <w:szCs w:val="28"/>
          <w:rtl/>
        </w:rPr>
        <w:t xml:space="preserve">الفرع الثاني: إشكالية تعدد الإصدارات والتعديلات الاتفاقية والتفسيرات الوطنية</w:t>
      </w:r>
    </w:p>
    <w:p>
      <w:pPr>
        <w:pStyle w:val="ListParagraph"/>
        <w:numPr>
          <w:ilvl w:val="1"/>
          <w:numId w:val="2"/>
        </w:numPr>
        <w:bidi/>
        <w:spacing w:after="80" w:line="320"/>
        <w:jc w:val="right"/>
      </w:pPr>
      <w:r>
        <w:rPr>
          <w:rFonts w:ascii="Times New Roman" w:cs="Traditional Arabic" w:hAnsi="Times New Roman"/>
          <w:sz w:val="28"/>
          <w:szCs w:val="28"/>
          <w:rtl/>
        </w:rPr>
        <w:t xml:space="preserve">المطلب الثاني: إشكاليات الحدود الموضوعية للقواعد</w:t>
      </w:r>
    </w:p>
    <w:p>
      <w:pPr>
        <w:pStyle w:val="ListParagraph"/>
        <w:numPr>
          <w:ilvl w:val="2"/>
          <w:numId w:val="2"/>
        </w:numPr>
        <w:bidi/>
        <w:spacing w:after="80" w:line="320"/>
        <w:jc w:val="right"/>
      </w:pPr>
      <w:r>
        <w:rPr>
          <w:rFonts w:ascii="Times New Roman" w:cs="Traditional Arabic" w:hAnsi="Times New Roman"/>
          <w:sz w:val="28"/>
          <w:szCs w:val="28"/>
          <w:rtl/>
        </w:rPr>
        <w:t xml:space="preserve">الفرع الأول: العلاقة مع اتفاقية فيينا للبيع الدولي للبضائع</w:t>
      </w:r>
    </w:p>
    <w:p>
      <w:pPr>
        <w:pStyle w:val="ListParagraph"/>
        <w:numPr>
          <w:ilvl w:val="2"/>
          <w:numId w:val="2"/>
        </w:numPr>
        <w:bidi/>
        <w:spacing w:after="80" w:line="320"/>
        <w:jc w:val="right"/>
      </w:pPr>
      <w:r>
        <w:rPr>
          <w:rFonts w:ascii="Times New Roman" w:cs="Traditional Arabic" w:hAnsi="Times New Roman"/>
          <w:sz w:val="28"/>
          <w:szCs w:val="28"/>
          <w:rtl/>
        </w:rPr>
        <w:t xml:space="preserve">الفرع الثاني: مسألة انتقال الملكية وجزاء الإخلال</w:t>
      </w:r>
    </w:p>
    <w:p>
      <w:pPr>
        <w:pStyle w:val="ListParagraph"/>
        <w:numPr>
          <w:ilvl w:val="2"/>
          <w:numId w:val="2"/>
        </w:numPr>
        <w:bidi/>
        <w:spacing w:after="80" w:line="320"/>
        <w:jc w:val="right"/>
      </w:pPr>
      <w:r>
        <w:rPr>
          <w:rFonts w:ascii="Times New Roman" w:cs="Traditional Arabic" w:hAnsi="Times New Roman"/>
          <w:sz w:val="28"/>
          <w:szCs w:val="28"/>
          <w:rtl/>
        </w:rPr>
        <w:t xml:space="preserve">الفرع الثالث: إشكاليات النقل بالحاويات والرقمنة والتحديات المستجدة</w:t>
      </w:r>
    </w:p>
    <w:p>
      <w:pPr>
        <w:pStyle w:val="ListParagraph"/>
        <w:numPr>
          <w:ilvl w:val="0"/>
          <w:numId w:val="2"/>
        </w:numPr>
        <w:bidi/>
        <w:spacing w:after="80" w:line="320"/>
        <w:jc w:val="right"/>
      </w:pPr>
      <w:r>
        <w:rPr>
          <w:rFonts w:ascii="Times New Roman" w:cs="Traditional Arabic" w:hAnsi="Times New Roman"/>
          <w:b/>
          <w:bCs/>
          <w:sz w:val="28"/>
          <w:szCs w:val="28"/>
          <w:rtl/>
        </w:rPr>
        <w:t xml:space="preserve">خاتمة: النتائج والتوصيات</w:t>
      </w:r>
    </w:p>
    <w:p>
      <w:pPr>
        <w:pStyle w:val="ListParagraph"/>
        <w:numPr>
          <w:ilvl w:val="0"/>
          <w:numId w:val="2"/>
        </w:numPr>
        <w:bidi/>
        <w:spacing w:after="80" w:line="320"/>
        <w:jc w:val="right"/>
      </w:pPr>
      <w:r>
        <w:rPr>
          <w:rFonts w:ascii="Times New Roman" w:cs="Traditional Arabic" w:hAnsi="Times New Roman"/>
          <w:b/>
          <w:bCs/>
          <w:sz w:val="28"/>
          <w:szCs w:val="28"/>
          <w:rtl/>
        </w:rPr>
        <w:t xml:space="preserve">قائمة المصادر والمراجع</w:t>
      </w:r>
    </w:p>
    <w:p>
      <w:pPr>
        <w:pStyle w:val="Heading1"/>
        <w:bidi/>
        <w:spacing w:after="160" w:before="360"/>
        <w:jc w:val="center"/>
      </w:pPr>
      <w:r>
        <w:rPr>
          <w:rFonts w:ascii="Times New Roman" w:cs="Traditional Arabic" w:hAnsi="Times New Roman"/>
          <w:b/>
          <w:bCs/>
          <w:color w:val="1F3864"/>
          <w:sz w:val="34"/>
          <w:szCs w:val="34"/>
          <w:rtl/>
        </w:rPr>
        <w:t xml:space="preserve">مقدمة</w:t>
      </w:r>
    </w:p>
    <w:p>
      <w:pPr>
        <w:bidi/>
        <w:spacing w:after="120" w:line="340"/>
        <w:jc w:val="both"/>
      </w:pPr>
      <w:r>
        <w:rPr>
          <w:rFonts w:ascii="Times New Roman" w:cs="Traditional Arabic" w:hAnsi="Times New Roman"/>
          <w:sz w:val="28"/>
          <w:szCs w:val="28"/>
          <w:rtl/>
        </w:rPr>
        <w:t xml:space="preserve">يقوم عقد البيع الدولي للبضائع على مسافة مزدوجة تفصل بين طرفيه: مسافة جغرافية تجعل البضاعة تقطع آلاف الكيلومترات عبر البحار أو الأجواء أو الطرق البرية قبل أن تبلغ يد المشتري، ومسافة قانونية تجعل كل طرف خاضعًا لنظام قانوني وطني مختلف في مفاهيمه ومصطلحاته وقواعده الآمرة. ومن رحم هذه المسافة المزدوجة نشأت الحاجة إلى لغة مشتركة يفهمها التاجر في الدار البيضاء كما يفهمها نظيره في شنغهاي أو هامبورغ أو ساو باولو، لغة تجيب في كلمات قليلة عن أسئلة جوهرية: متى يُعدّ البائع قد نفّذ التزامه بالتسليم؟ ومن يتعاقد مع الناقل ويدفع أجرة النقل؟ ومن يتحمل تبعة هلاك البضاعة أو تلفها في الطريق؟ ومن يقوم بإجراءات التخليص الجمركي للتصدير والاستيراد؟ ومن يلتزم بإبرام عقد التأمين؟</w:t>
      </w:r>
    </w:p>
    <w:p>
      <w:pPr>
        <w:bidi/>
        <w:spacing w:after="120" w:line="340"/>
        <w:jc w:val="both"/>
      </w:pPr>
      <w:r>
        <w:rPr>
          <w:rFonts w:ascii="Times New Roman" w:cs="Traditional Arabic" w:hAnsi="Times New Roman"/>
          <w:sz w:val="28"/>
          <w:szCs w:val="28"/>
          <w:rtl/>
        </w:rPr>
        <w:t xml:space="preserve">لقد كانت الإجابة عن هذه الأسئلة، قبل قرن من الزمن، رهينة أعراف موانئ وأسواق متباينة؛ فمصطلح «فوب» (FOB) مثلًا كان يُفهم في موانئ إنجلترا على نحو يختلف عن فهمه في موانئ الولايات المتحدة أو فرنسا، وكان التاجر الذي يستعمله يجهل في الغالب أن نظيره الأجنبي يحمّله معنى مغايرًا. وقد أفضت هذه الفوضى الاصطلاحية إلى منازعات كثيرة وإلى ارتفاع تكاليف المعاملات وإلى فقدان الثقة في التجارة عبر الحدود. من هنا بادرت </w:t>
      </w:r>
      <w:r>
        <w:rPr>
          <w:rFonts w:ascii="Times New Roman" w:cs="Traditional Arabic" w:hAnsi="Times New Roman"/>
          <w:b/>
          <w:bCs/>
          <w:sz w:val="28"/>
          <w:szCs w:val="28"/>
          <w:rtl/>
        </w:rPr>
        <w:t xml:space="preserve">غرفة التجارة الدولية (ICC)</w:t>
      </w:r>
      <w:r>
        <w:rPr>
          <w:rFonts w:ascii="Times New Roman" w:cs="Traditional Arabic" w:hAnsi="Times New Roman"/>
          <w:sz w:val="28"/>
          <w:szCs w:val="28"/>
          <w:rtl/>
        </w:rPr>
        <w:t xml:space="preserve">، منذ تأسيسها في باريس سنة 1919، إلى دراسة المصطلحات التجارية المتداولة وتوحيد تفسيرها، فأصدرت سنة </w:t>
      </w:r>
      <w:r>
        <w:rPr>
          <w:rFonts w:ascii="Times New Roman" w:cs="Traditional Arabic" w:hAnsi="Times New Roman"/>
          <w:b/>
          <w:bCs/>
          <w:sz w:val="28"/>
          <w:szCs w:val="28"/>
          <w:rtl/>
        </w:rPr>
        <w:t xml:space="preserve">1936</w:t>
      </w:r>
      <w:r>
        <w:rPr>
          <w:rFonts w:ascii="Times New Roman" w:cs="Traditional Arabic" w:hAnsi="Times New Roman"/>
          <w:sz w:val="28"/>
          <w:szCs w:val="28"/>
          <w:rtl/>
        </w:rPr>
        <w:t xml:space="preserve"> المجموعة الأولى من «القواعد الدولية لتفسير المصطلحات التجارية» المعروفة اختصارًا بـ </w:t>
      </w:r>
      <w:r>
        <w:rPr>
          <w:rFonts w:ascii="Times New Roman" w:cs="Traditional Arabic" w:hAnsi="Times New Roman"/>
          <w:b/>
          <w:bCs/>
          <w:sz w:val="28"/>
          <w:szCs w:val="28"/>
          <w:rtl/>
        </w:rPr>
        <w:t xml:space="preserve">«الإنكوتيرمز» (International Commercial Terms)</w:t>
      </w:r>
      <w:r>
        <w:rPr>
          <w:rFonts w:ascii="Times New Roman" w:cs="Traditional Arabic" w:hAnsi="Times New Roman"/>
          <w:sz w:val="28"/>
          <w:szCs w:val="28"/>
          <w:rtl/>
        </w:rPr>
        <w:t xml:space="preserve">، ثم توالت مراجعاتها حتى الإصدار الساري حاليًا، وهو </w:t>
      </w:r>
      <w:r>
        <w:rPr>
          <w:rFonts w:ascii="Times New Roman" w:cs="Traditional Arabic" w:hAnsi="Times New Roman"/>
          <w:b/>
          <w:bCs/>
          <w:sz w:val="28"/>
          <w:szCs w:val="28"/>
          <w:rtl/>
        </w:rPr>
        <w:t xml:space="preserve">إنكوتيرمز 2020</w:t>
      </w:r>
      <w:r>
        <w:rPr>
          <w:rFonts w:ascii="Times New Roman" w:cs="Traditional Arabic" w:hAnsi="Times New Roman"/>
          <w:sz w:val="28"/>
          <w:szCs w:val="28"/>
          <w:rtl/>
        </w:rPr>
        <w:t xml:space="preserve"> الذي دخل حيز النفاذ في الأول من يناير 2020.</w:t>
      </w:r>
    </w:p>
    <w:p>
      <w:pPr>
        <w:bidi/>
        <w:spacing w:after="120" w:line="340"/>
        <w:jc w:val="both"/>
      </w:pPr>
      <w:r>
        <w:rPr>
          <w:rFonts w:ascii="Times New Roman" w:cs="Traditional Arabic" w:hAnsi="Times New Roman"/>
          <w:sz w:val="28"/>
          <w:szCs w:val="28"/>
          <w:rtl/>
        </w:rPr>
        <w:t xml:space="preserve">وتكتسي دراسة هذه القواعد أهمية بالغة من عدة زوايا. فمن الناحية </w:t>
      </w:r>
      <w:r>
        <w:rPr>
          <w:rFonts w:ascii="Times New Roman" w:cs="Traditional Arabic" w:hAnsi="Times New Roman"/>
          <w:b/>
          <w:bCs/>
          <w:sz w:val="28"/>
          <w:szCs w:val="28"/>
          <w:rtl/>
        </w:rPr>
        <w:t xml:space="preserve">النظرية</w:t>
      </w:r>
      <w:r>
        <w:rPr>
          <w:rFonts w:ascii="Times New Roman" w:cs="Traditional Arabic" w:hAnsi="Times New Roman"/>
          <w:sz w:val="28"/>
          <w:szCs w:val="28"/>
          <w:rtl/>
        </w:rPr>
        <w:t xml:space="preserve">، تمثل الإنكوتيرمز نموذجًا متميزًا لما يسميه الفقه «قانون التجار» أو «القانون عبر الدولي» (Lex Mercatoria)، أي تلك القواعد التي تنشأ خارج الإطار التشريعي للدولة، بمبادرة من هيئات مهنية خاصة، ثم تكتسب قوة إلزامية إما عن طريق الإرادة التعاقدية أو عن طريق اندماجها في الأعراف التجارية الدولية. وهي بذلك تطرح أسئلة عميقة عن مصادر القانون في المجال التجاري الدولي، وعن العلاقة بين القواعد الخاصة والتشريعات الوطنية والاتفاقيات الدولية. ومن الناحية </w:t>
      </w:r>
      <w:r>
        <w:rPr>
          <w:rFonts w:ascii="Times New Roman" w:cs="Traditional Arabic" w:hAnsi="Times New Roman"/>
          <w:b/>
          <w:bCs/>
          <w:sz w:val="28"/>
          <w:szCs w:val="28"/>
          <w:rtl/>
        </w:rPr>
        <w:t xml:space="preserve">العملية</w:t>
      </w:r>
      <w:r>
        <w:rPr>
          <w:rFonts w:ascii="Times New Roman" w:cs="Traditional Arabic" w:hAnsi="Times New Roman"/>
          <w:sz w:val="28"/>
          <w:szCs w:val="28"/>
          <w:rtl/>
        </w:rPr>
        <w:t xml:space="preserve">، فإن الإنكوتيرمز حاضرة في نسبة كبيرة من عقود البيع الدولي، وفي الاعتمادات المستندية، وفي بوالص الشحن ووثائق التأمين، وفي التصريحات الجمركية، بحيث يندر أن تخلو معاملة تجارية دولية من الإشارة إلى إحدى قواعدها. ومن الناحية </w:t>
      </w:r>
      <w:r>
        <w:rPr>
          <w:rFonts w:ascii="Times New Roman" w:cs="Traditional Arabic" w:hAnsi="Times New Roman"/>
          <w:b/>
          <w:bCs/>
          <w:sz w:val="28"/>
          <w:szCs w:val="28"/>
          <w:rtl/>
        </w:rPr>
        <w:t xml:space="preserve">القضائية والتحكيمية</w:t>
      </w:r>
      <w:r>
        <w:rPr>
          <w:rFonts w:ascii="Times New Roman" w:cs="Traditional Arabic" w:hAnsi="Times New Roman"/>
          <w:sz w:val="28"/>
          <w:szCs w:val="28"/>
          <w:rtl/>
        </w:rPr>
        <w:t xml:space="preserve">، فقد أفرزت هذه القواعد اجتهادات عديدة أمام المحاكم الوطنية وهيئات التحكيم، تناولت مسائل الإدماج والتفسير وتبعة الهلاك والتعارض مع القوانين الوطنية.</w:t>
      </w:r>
    </w:p>
    <w:p>
      <w:pPr>
        <w:bidi/>
        <w:spacing w:after="120" w:line="340"/>
        <w:jc w:val="both"/>
      </w:pPr>
      <w:r>
        <w:rPr>
          <w:rFonts w:ascii="Times New Roman" w:cs="Traditional Arabic" w:hAnsi="Times New Roman"/>
          <w:b/>
          <w:bCs/>
          <w:sz w:val="28"/>
          <w:szCs w:val="28"/>
          <w:rtl/>
        </w:rPr>
        <w:t xml:space="preserve">إشكالية البحث</w:t>
      </w:r>
      <w:r>
        <w:rPr>
          <w:rFonts w:ascii="Times New Roman" w:cs="Traditional Arabic" w:hAnsi="Times New Roman"/>
          <w:sz w:val="28"/>
          <w:szCs w:val="28"/>
          <w:rtl/>
        </w:rPr>
        <w:t xml:space="preserve">: تتمحور إشكالية هذه الدراسة حول السؤال الآتي: </w:t>
      </w:r>
      <w:r>
        <w:rPr>
          <w:rFonts w:ascii="Times New Roman" w:cs="Traditional Arabic" w:hAnsi="Times New Roman"/>
          <w:b/>
          <w:bCs/>
          <w:sz w:val="28"/>
          <w:szCs w:val="28"/>
          <w:rtl/>
        </w:rPr>
        <w:t xml:space="preserve">إلى أي حد استطاعت قواعد الإنكوتيرمز، بوصفها تقنينًا خاصًا صادرًا عن هيئة مهنية غير حكومية، أن تؤدي وظيفة توحيد قانون البيع الدولي وتحقيق الأمن القانوني للمتعاملين، وما هي حدود هذه الوظيفة في ضوء الإشكاليات القانونية التي أفرزها تطبيقها؟</w:t>
      </w:r>
      <w:r>
        <w:rPr>
          <w:rFonts w:ascii="Times New Roman" w:cs="Traditional Arabic" w:hAnsi="Times New Roman"/>
          <w:sz w:val="28"/>
          <w:szCs w:val="28"/>
          <w:rtl/>
        </w:rPr>
        <w:t xml:space="preserve"> وتتفرع عن هذه الإشكالية الرئيسية تساؤلات فرعية: ما الطبيعة القانونية لهذه القواعد: هل هي عرف تجاري دولي، أم شروط عقدية نموذجية، أم هي مزيج بينهما؟ وكيف تطورت عبر مراجعاتها المتعاقبة استجابةً لتحولات النقل والتجارة؟ وما هي تطبيقاتها في شبكة العقود المرتبطة بالبيع الدولي؟ وما هي أبرز الإشكاليات القانونية التي تثيرها، سواء على مستوى قوتها الإلزامية أو على مستوى حدودها الموضوعية؟</w:t>
      </w:r>
    </w:p>
    <w:p>
      <w:pPr>
        <w:bidi/>
        <w:spacing w:after="120" w:line="340"/>
        <w:jc w:val="both"/>
      </w:pPr>
      <w:r>
        <w:rPr>
          <w:rFonts w:ascii="Times New Roman" w:cs="Traditional Arabic" w:hAnsi="Times New Roman"/>
          <w:b/>
          <w:bCs/>
          <w:sz w:val="28"/>
          <w:szCs w:val="28"/>
          <w:rtl/>
        </w:rPr>
        <w:t xml:space="preserve">منهج البحث</w:t>
      </w:r>
      <w:r>
        <w:rPr>
          <w:rFonts w:ascii="Times New Roman" w:cs="Traditional Arabic" w:hAnsi="Times New Roman"/>
          <w:sz w:val="28"/>
          <w:szCs w:val="28"/>
          <w:rtl/>
        </w:rPr>
        <w:t xml:space="preserve">: تعتمد هذه الدراسة على </w:t>
      </w:r>
      <w:r>
        <w:rPr>
          <w:rFonts w:ascii="Times New Roman" w:cs="Traditional Arabic" w:hAnsi="Times New Roman"/>
          <w:b/>
          <w:bCs/>
          <w:sz w:val="28"/>
          <w:szCs w:val="28"/>
          <w:rtl/>
        </w:rPr>
        <w:t xml:space="preserve">المنهج التحليلي</w:t>
      </w:r>
      <w:r>
        <w:rPr>
          <w:rFonts w:ascii="Times New Roman" w:cs="Traditional Arabic" w:hAnsi="Times New Roman"/>
          <w:sz w:val="28"/>
          <w:szCs w:val="28"/>
          <w:rtl/>
        </w:rPr>
        <w:t xml:space="preserve"> الذي يقوم على تفكيك نصوص القواعد وتحليل مضامينها واستخلاص منطقها الداخلي، مع الاستعانة بـ </w:t>
      </w:r>
      <w:r>
        <w:rPr>
          <w:rFonts w:ascii="Times New Roman" w:cs="Traditional Arabic" w:hAnsi="Times New Roman"/>
          <w:b/>
          <w:bCs/>
          <w:sz w:val="28"/>
          <w:szCs w:val="28"/>
          <w:rtl/>
        </w:rPr>
        <w:t xml:space="preserve">المنهج التاريخي</w:t>
      </w:r>
      <w:r>
        <w:rPr>
          <w:rFonts w:ascii="Times New Roman" w:cs="Traditional Arabic" w:hAnsi="Times New Roman"/>
          <w:sz w:val="28"/>
          <w:szCs w:val="28"/>
          <w:rtl/>
        </w:rPr>
        <w:t xml:space="preserve"> لتتبع تطور القواعد منذ نشأتها، و</w:t>
      </w:r>
      <w:r>
        <w:rPr>
          <w:rFonts w:ascii="Times New Roman" w:cs="Traditional Arabic" w:hAnsi="Times New Roman"/>
          <w:b/>
          <w:bCs/>
          <w:sz w:val="28"/>
          <w:szCs w:val="28"/>
          <w:rtl/>
        </w:rPr>
        <w:t xml:space="preserve">المنهج المقارن</w:t>
      </w:r>
      <w:r>
        <w:rPr>
          <w:rFonts w:ascii="Times New Roman" w:cs="Traditional Arabic" w:hAnsi="Times New Roman"/>
          <w:sz w:val="28"/>
          <w:szCs w:val="28"/>
          <w:rtl/>
        </w:rPr>
        <w:t xml:space="preserve"> في حدود ما تقتضيه المقارنة بين الإصدارات المتعاقبة، وبين القواعد والأنظمة الوطنية والاتفاقيات الدولية، ولاسيما اتفاقية الأمم المتحدة بشأن عقود البيع الدولي للبضائع (فيينا 1980).</w:t>
      </w:r>
    </w:p>
    <w:p>
      <w:pPr>
        <w:bidi/>
        <w:spacing w:after="120" w:line="340"/>
        <w:jc w:val="both"/>
      </w:pPr>
      <w:r>
        <w:rPr>
          <w:rFonts w:ascii="Times New Roman" w:cs="Traditional Arabic" w:hAnsi="Times New Roman"/>
          <w:b/>
          <w:bCs/>
          <w:sz w:val="28"/>
          <w:szCs w:val="28"/>
          <w:rtl/>
        </w:rPr>
        <w:t xml:space="preserve">خطة البحث</w:t>
      </w:r>
      <w:r>
        <w:rPr>
          <w:rFonts w:ascii="Times New Roman" w:cs="Traditional Arabic" w:hAnsi="Times New Roman"/>
          <w:sz w:val="28"/>
          <w:szCs w:val="28"/>
          <w:rtl/>
        </w:rPr>
        <w:t xml:space="preserve">: تنقسم الدراسة إلى ثلاثة مباحث: نخصص </w:t>
      </w:r>
      <w:r>
        <w:rPr>
          <w:rFonts w:ascii="Times New Roman" w:cs="Traditional Arabic" w:hAnsi="Times New Roman"/>
          <w:b/>
          <w:bCs/>
          <w:sz w:val="28"/>
          <w:szCs w:val="28"/>
          <w:rtl/>
        </w:rPr>
        <w:t xml:space="preserve">المبحث الأول</w:t>
      </w:r>
      <w:r>
        <w:rPr>
          <w:rFonts w:ascii="Times New Roman" w:cs="Traditional Arabic" w:hAnsi="Times New Roman"/>
          <w:sz w:val="28"/>
          <w:szCs w:val="28"/>
          <w:rtl/>
        </w:rPr>
        <w:t xml:space="preserve"> لماهية قواعد الإنكوتيرمز وتطورها التاريخي، ونتناول في </w:t>
      </w:r>
      <w:r>
        <w:rPr>
          <w:rFonts w:ascii="Times New Roman" w:cs="Traditional Arabic" w:hAnsi="Times New Roman"/>
          <w:b/>
          <w:bCs/>
          <w:sz w:val="28"/>
          <w:szCs w:val="28"/>
          <w:rtl/>
        </w:rPr>
        <w:t xml:space="preserve">المبحث الثاني</w:t>
      </w:r>
      <w:r>
        <w:rPr>
          <w:rFonts w:ascii="Times New Roman" w:cs="Traditional Arabic" w:hAnsi="Times New Roman"/>
          <w:sz w:val="28"/>
          <w:szCs w:val="28"/>
          <w:rtl/>
        </w:rPr>
        <w:t xml:space="preserve"> تطبيقاتها في المعاملات التجارية الدولية، ونعالج في </w:t>
      </w:r>
      <w:r>
        <w:rPr>
          <w:rFonts w:ascii="Times New Roman" w:cs="Traditional Arabic" w:hAnsi="Times New Roman"/>
          <w:b/>
          <w:bCs/>
          <w:sz w:val="28"/>
          <w:szCs w:val="28"/>
          <w:rtl/>
        </w:rPr>
        <w:t xml:space="preserve">المبحث الثالث</w:t>
      </w:r>
      <w:r>
        <w:rPr>
          <w:rFonts w:ascii="Times New Roman" w:cs="Traditional Arabic" w:hAnsi="Times New Roman"/>
          <w:sz w:val="28"/>
          <w:szCs w:val="28"/>
          <w:rtl/>
        </w:rPr>
        <w:t xml:space="preserve"> أبرز الإشكاليات القانونية المترتبة عليها، ثم نختم بخلاصة تتضمن النتائج والتوصيات.</w:t>
      </w:r>
    </w:p>
    <w:p>
      <w:r>
        <w:br w:type="page"/>
      </w:r>
    </w:p>
    <w:p>
      <w:pPr>
        <w:pStyle w:val="Heading1"/>
        <w:bidi/>
        <w:spacing w:after="160" w:before="360"/>
        <w:jc w:val="center"/>
      </w:pPr>
      <w:r>
        <w:rPr>
          <w:rFonts w:ascii="Times New Roman" w:cs="Traditional Arabic" w:hAnsi="Times New Roman"/>
          <w:b/>
          <w:bCs/>
          <w:color w:val="1F3864"/>
          <w:sz w:val="34"/>
          <w:szCs w:val="34"/>
          <w:rtl/>
        </w:rPr>
        <w:t xml:space="preserve">المبحث الأول: ماهية قواعد الإنكوتيرمز وتطورها التاريخي</w:t>
      </w:r>
    </w:p>
    <w:p>
      <w:pPr>
        <w:bidi/>
        <w:spacing w:after="120" w:line="340"/>
        <w:jc w:val="both"/>
      </w:pPr>
      <w:r>
        <w:rPr>
          <w:rFonts w:ascii="Times New Roman" w:cs="Traditional Arabic" w:hAnsi="Times New Roman"/>
          <w:sz w:val="28"/>
          <w:szCs w:val="28"/>
          <w:rtl/>
        </w:rPr>
        <w:t xml:space="preserve">لا يمكن الإحاطة بأي مؤسسة قانونية دون تحديد ماهيتها وتتبع نشأتها؛ ذلك أن فهم الطبيعة القانونية لقواعد الإنكوتيرمز يتوقف إلى حد بعيد على فهم الظروف التي نشأت فيها والغايات التي صيغت من أجلها. لذلك نتناول في المطلب الأول مفهوم هذه القواعد وطبيعتها القانونية، ونخصص المطلب الثاني لتطورها التاريخي.</w:t>
      </w:r>
    </w:p>
    <w:p>
      <w:pPr>
        <w:pStyle w:val="Heading2"/>
        <w:bidi/>
        <w:spacing w:after="160" w:before="240"/>
        <w:jc w:val="right"/>
      </w:pPr>
      <w:r>
        <w:rPr>
          <w:rFonts w:ascii="Times New Roman" w:cs="Traditional Arabic" w:hAnsi="Times New Roman"/>
          <w:b/>
          <w:bCs/>
          <w:color w:val="2E5496"/>
          <w:sz w:val="30"/>
          <w:szCs w:val="30"/>
          <w:rtl/>
        </w:rPr>
        <w:t xml:space="preserve">المطلب الأول: مفهوم قواعد الإنكوتيرمز وطبيعتها القانونية</w:t>
      </w:r>
    </w:p>
    <w:p>
      <w:pPr>
        <w:pStyle w:val="Heading3"/>
        <w:bidi/>
        <w:spacing w:after="160" w:before="240"/>
        <w:jc w:val="right"/>
      </w:pPr>
      <w:r>
        <w:rPr>
          <w:rFonts w:ascii="Times New Roman" w:cs="Traditional Arabic" w:hAnsi="Times New Roman"/>
          <w:b/>
          <w:bCs/>
          <w:color w:val="2E5496"/>
          <w:sz w:val="28"/>
          <w:szCs w:val="28"/>
          <w:rtl/>
        </w:rPr>
        <w:t xml:space="preserve">الفرع الأول: التعريف وتحديد النطاق</w:t>
      </w:r>
    </w:p>
    <w:p>
      <w:pPr>
        <w:bidi/>
        <w:spacing w:after="120" w:line="340"/>
        <w:jc w:val="both"/>
      </w:pPr>
      <w:r>
        <w:rPr>
          <w:rFonts w:ascii="Times New Roman" w:cs="Traditional Arabic" w:hAnsi="Times New Roman"/>
          <w:sz w:val="28"/>
          <w:szCs w:val="28"/>
          <w:rtl/>
        </w:rPr>
        <w:t xml:space="preserve">يمكن تعريف قواعد الإنكوتيرمز بأنها </w:t>
      </w:r>
      <w:r>
        <w:rPr>
          <w:rFonts w:ascii="Times New Roman" w:cs="Traditional Arabic" w:hAnsi="Times New Roman"/>
          <w:b/>
          <w:bCs/>
          <w:sz w:val="28"/>
          <w:szCs w:val="28"/>
          <w:rtl/>
        </w:rPr>
        <w:t xml:space="preserve">مجموعة من القواعد الموحدة التي تضعها غرفة التجارة الدولية لتفسير مصطلحات تجارية مختصرة، مؤلفة من ثلاثة أحرف، تحدد توزيع الالتزامات والتكاليف والمخاطر بين البائع والمشتري فيما يتعلق بتسليم البضائع في عقود البيع</w:t>
      </w:r>
      <w:r>
        <w:rPr>
          <w:rFonts w:ascii="Times New Roman" w:cs="Traditional Arabic" w:hAnsi="Times New Roman"/>
          <w:sz w:val="28"/>
          <w:szCs w:val="28"/>
          <w:rtl/>
        </w:rPr>
        <w:t xml:space="preserve">. ويتضح من هذا التعريف أن للقواعد ثلاثة عناصر مكونة:</w:t>
      </w:r>
    </w:p>
    <w:p>
      <w:pPr>
        <w:bidi/>
        <w:spacing w:after="120" w:line="340"/>
        <w:jc w:val="both"/>
      </w:pPr>
      <w:r>
        <w:rPr>
          <w:rFonts w:ascii="Times New Roman" w:cs="Traditional Arabic" w:hAnsi="Times New Roman"/>
          <w:b/>
          <w:bCs/>
          <w:sz w:val="28"/>
          <w:szCs w:val="28"/>
          <w:rtl/>
        </w:rPr>
        <w:t xml:space="preserve">أولًا: العنصر العضوي</w:t>
      </w:r>
      <w:r>
        <w:rPr>
          <w:rFonts w:ascii="Times New Roman" w:cs="Traditional Arabic" w:hAnsi="Times New Roman"/>
          <w:sz w:val="28"/>
          <w:szCs w:val="28"/>
          <w:rtl/>
        </w:rPr>
        <w:t xml:space="preserve">، ويتمثل في الجهة المصدِرة، وهي غرفة التجارة الدولية، التي تعد منظمة غير حكومية تمثل مجتمع الأعمال عالميًا، ولها لجان وطنية في عشرات الدول. وقد سجلت الغرفة مصطلح «Incoterms®» علامة تجارية، وهو ما يفسر إلحاق رمز العلامة المسجلة به في المنشورات الرسمية، ويبرز حرص الغرفة على حماية أصالة النص ومنع التحريفات.</w:t>
      </w:r>
    </w:p>
    <w:p>
      <w:pPr>
        <w:bidi/>
        <w:spacing w:after="120" w:line="340"/>
        <w:jc w:val="both"/>
      </w:pPr>
      <w:r>
        <w:rPr>
          <w:rFonts w:ascii="Times New Roman" w:cs="Traditional Arabic" w:hAnsi="Times New Roman"/>
          <w:b/>
          <w:bCs/>
          <w:sz w:val="28"/>
          <w:szCs w:val="28"/>
          <w:rtl/>
        </w:rPr>
        <w:t xml:space="preserve">ثانيًا: العنصر الموضوعي</w:t>
      </w:r>
      <w:r>
        <w:rPr>
          <w:rFonts w:ascii="Times New Roman" w:cs="Traditional Arabic" w:hAnsi="Times New Roman"/>
          <w:sz w:val="28"/>
          <w:szCs w:val="28"/>
          <w:rtl/>
        </w:rPr>
        <w:t xml:space="preserve">، ويتمثل في مضمون القواعد، وهو توزيع طائفة محددة من الالتزامات: التسليم، وانتقال تبعة الهلاك، والنقل، والتأمين، ومستندات التسليم والنقل، والتخليص الجمركي للتصدير والاستيراد، والتغليف ووضع العلامات، والفحص، والإخطارات المتبادلة، وتوزيع التكاليف. وقد صيغ كل مصطلح في الإصدار الحالي في شكل عشرة التزامات مرقمة للبائع (A1–A10) تقابلها عشرة التزامات للمشتري (B1–B10)، في بنية متناظرة تيسر المقارنة.</w:t>
      </w:r>
    </w:p>
    <w:p>
      <w:pPr>
        <w:bidi/>
        <w:spacing w:after="120" w:line="340"/>
        <w:jc w:val="both"/>
      </w:pPr>
      <w:r>
        <w:rPr>
          <w:rFonts w:ascii="Times New Roman" w:cs="Traditional Arabic" w:hAnsi="Times New Roman"/>
          <w:b/>
          <w:bCs/>
          <w:sz w:val="28"/>
          <w:szCs w:val="28"/>
          <w:rtl/>
        </w:rPr>
        <w:t xml:space="preserve">ثالثًا: العنصر الغائي</w:t>
      </w:r>
      <w:r>
        <w:rPr>
          <w:rFonts w:ascii="Times New Roman" w:cs="Traditional Arabic" w:hAnsi="Times New Roman"/>
          <w:sz w:val="28"/>
          <w:szCs w:val="28"/>
          <w:rtl/>
        </w:rPr>
        <w:t xml:space="preserve">، ويتمثل في الغاية من القواعد، وهي توحيد تفسير المصطلحات التجارية والحد من سوء الفهم والمنازعات الناشئة عن اختلاف الأعراف الوطنية، وبالتالي خفض تكاليف المعاملات وتعزيز الأمن القانوني.</w:t>
      </w:r>
    </w:p>
    <w:p>
      <w:pPr>
        <w:bidi/>
        <w:spacing w:after="120" w:line="340"/>
        <w:jc w:val="both"/>
      </w:pPr>
      <w:r>
        <w:rPr>
          <w:rFonts w:ascii="Times New Roman" w:cs="Traditional Arabic" w:hAnsi="Times New Roman"/>
          <w:sz w:val="28"/>
          <w:szCs w:val="28"/>
          <w:rtl/>
        </w:rPr>
        <w:t xml:space="preserve">أما </w:t>
      </w:r>
      <w:r>
        <w:rPr>
          <w:rFonts w:ascii="Times New Roman" w:cs="Traditional Arabic" w:hAnsi="Times New Roman"/>
          <w:b/>
          <w:bCs/>
          <w:sz w:val="28"/>
          <w:szCs w:val="28"/>
          <w:rtl/>
        </w:rPr>
        <w:t xml:space="preserve">نطاق</w:t>
      </w:r>
      <w:r>
        <w:rPr>
          <w:rFonts w:ascii="Times New Roman" w:cs="Traditional Arabic" w:hAnsi="Times New Roman"/>
          <w:sz w:val="28"/>
          <w:szCs w:val="28"/>
          <w:rtl/>
        </w:rPr>
        <w:t xml:space="preserve"> القواعد فيتحدد سلبًا بقدر ما يتحدد إيجابًا. فقد حرصت الغرفة نفسها، في المقدمة التفسيرية للإصدارات الأخيرة، على التأكيد بأن الإنكوتيرمز </w:t>
      </w:r>
      <w:r>
        <w:rPr>
          <w:rFonts w:ascii="Times New Roman" w:cs="Traditional Arabic" w:hAnsi="Times New Roman"/>
          <w:b/>
          <w:bCs/>
          <w:sz w:val="28"/>
          <w:szCs w:val="28"/>
          <w:rtl/>
        </w:rPr>
        <w:t xml:space="preserve">ليست عقد بيع</w:t>
      </w:r>
      <w:r>
        <w:rPr>
          <w:rFonts w:ascii="Times New Roman" w:cs="Traditional Arabic" w:hAnsi="Times New Roman"/>
          <w:sz w:val="28"/>
          <w:szCs w:val="28"/>
          <w:rtl/>
        </w:rPr>
        <w:t xml:space="preserve">، ولا تحل محله، وإنما تُدمج فيه. وهي بالتالي لا تنظم: انتقال ملكية البضاعة، ولا الثمن ووسيلة الوفاء به، ولا مطابقة البضاعة للمواصفات، ولا الجزاءات المترتبة على الإخلال بالعقد (كالفسخ والتعويض)، ولا الإعفاء من المسؤولية بسبب القوة القاهرة، ولا القانون الواجب التطبيق ولا طريقة تسوية المنازعات. فهذه المسائل كلها متروكة لعقد البيع ذاته وللقانون الذي يحكمه، سواء كان قانونًا وطنيًا أو اتفاقية فيينا لعام 1980. كما أن الإنكوتيرمز لا تنظم عقد النقل ولا عقد التأمين ولا الاعتماد المستندي، وإن كانت ترتبط بها ارتباطًا وثيقًا، إذ تحدد من يلتزم بإبرام عقد النقل أو التأمين، دون أن تحكم العلاقة بين المتعاقد والناقل أو المؤمِّن.</w:t>
      </w:r>
    </w:p>
    <w:p>
      <w:pPr>
        <w:bidi/>
        <w:spacing w:after="120" w:line="340"/>
        <w:jc w:val="both"/>
      </w:pPr>
      <w:r>
        <w:rPr>
          <w:rFonts w:ascii="Times New Roman" w:cs="Traditional Arabic" w:hAnsi="Times New Roman"/>
          <w:sz w:val="28"/>
          <w:szCs w:val="28"/>
          <w:rtl/>
        </w:rPr>
        <w:t xml:space="preserve">ويكتسي هذا التحديد السلبي أهمية عملية كبيرة، لأن كثيرًا من المتعاملين يعتقدون خطأً أن ذكر مصطلح «CIF» أو «FOB» في العقد يكفي لحسم جميع المسائل المرتبطة بالتسليم، بما فيها انتقال الملكية، وهو اعتقاد يفضي إلى منازعات حقيقية كما سنبين في المبحث الثالث.</w:t>
      </w:r>
    </w:p>
    <w:p>
      <w:pPr>
        <w:pStyle w:val="Heading3"/>
        <w:bidi/>
        <w:spacing w:after="160" w:before="240"/>
        <w:jc w:val="right"/>
      </w:pPr>
      <w:r>
        <w:rPr>
          <w:rFonts w:ascii="Times New Roman" w:cs="Traditional Arabic" w:hAnsi="Times New Roman"/>
          <w:b/>
          <w:bCs/>
          <w:color w:val="2E5496"/>
          <w:sz w:val="28"/>
          <w:szCs w:val="28"/>
          <w:rtl/>
        </w:rPr>
        <w:t xml:space="preserve">الفرع الثاني: التكييف القانوني لقواعد الإنكوتيرمز</w:t>
      </w:r>
    </w:p>
    <w:p>
      <w:pPr>
        <w:bidi/>
        <w:spacing w:after="120" w:line="340"/>
        <w:jc w:val="both"/>
      </w:pPr>
      <w:r>
        <w:rPr>
          <w:rFonts w:ascii="Times New Roman" w:cs="Traditional Arabic" w:hAnsi="Times New Roman"/>
          <w:sz w:val="28"/>
          <w:szCs w:val="28"/>
          <w:rtl/>
        </w:rPr>
        <w:t xml:space="preserve">يثير التكييف القانوني لقواعد الإنكوتيرمز نقاشًا فقهيًا ثريًا، يمكن رده إلى ثلاثة اتجاهات رئيسية:</w:t>
      </w:r>
    </w:p>
    <w:p>
      <w:pPr>
        <w:bidi/>
        <w:spacing w:after="120" w:line="340"/>
        <w:jc w:val="both"/>
      </w:pPr>
      <w:r>
        <w:rPr>
          <w:rFonts w:ascii="Times New Roman" w:cs="Traditional Arabic" w:hAnsi="Times New Roman"/>
          <w:b/>
          <w:bCs/>
          <w:sz w:val="28"/>
          <w:szCs w:val="28"/>
          <w:rtl/>
        </w:rPr>
        <w:t xml:space="preserve">الاتجاه الأول: الإنكوتيرمز شروط عقدية نموذجية</w:t>
      </w:r>
      <w:r>
        <w:rPr>
          <w:rFonts w:ascii="Times New Roman" w:cs="Traditional Arabic" w:hAnsi="Times New Roman"/>
          <w:sz w:val="28"/>
          <w:szCs w:val="28"/>
          <w:rtl/>
        </w:rPr>
        <w:t xml:space="preserve">. يرى أنصار هذا الاتجاه أن القواعد لا تكتسب قوتها الإلزامية إلا من إرادة المتعاقدين، شأنها شأن الشروط العامة أو العقود النموذجية. فهي لا تُلزم إلا إذا أحال إليها الطرفان صراحةً أو ضمنًا، ولهما أن يعدلا منها أو يستبعدا بعض أحكامها. ويستند هذا الاتجاه إلى أن الجهة المصدرة هيئة خاصة لا تملك سلطة تشريعية، وإلى أن الغرفة نفسها توصي بإدماج القواعد صراحةً في العقد مع ذكر الإصدار المختار. ووفق هذا التكييف، تخضع القواعد لمبدأ </w:t>
      </w:r>
      <w:r>
        <w:rPr>
          <w:rFonts w:ascii="Times New Roman" w:cs="Traditional Arabic" w:hAnsi="Times New Roman"/>
          <w:b/>
          <w:bCs/>
          <w:sz w:val="28"/>
          <w:szCs w:val="28"/>
          <w:rtl/>
        </w:rPr>
        <w:t xml:space="preserve">سلطان الإرادة</w:t>
      </w:r>
      <w:r>
        <w:rPr>
          <w:rFonts w:ascii="Times New Roman" w:cs="Traditional Arabic" w:hAnsi="Times New Roman"/>
          <w:sz w:val="28"/>
          <w:szCs w:val="28"/>
          <w:rtl/>
        </w:rPr>
        <w:t xml:space="preserve">، وتسري عليها قواعد تفسير العقود، وتندرج في منطق المادة 6 من اتفاقية فيينا التي تجيز للطرفين الخروج على أحكامها أو تعديل آثارها.</w:t>
      </w:r>
    </w:p>
    <w:p>
      <w:pPr>
        <w:bidi/>
        <w:spacing w:after="120" w:line="340"/>
        <w:jc w:val="both"/>
      </w:pPr>
      <w:r>
        <w:rPr>
          <w:rFonts w:ascii="Times New Roman" w:cs="Traditional Arabic" w:hAnsi="Times New Roman"/>
          <w:b/>
          <w:bCs/>
          <w:sz w:val="28"/>
          <w:szCs w:val="28"/>
          <w:rtl/>
        </w:rPr>
        <w:t xml:space="preserve">الاتجاه الثاني: الإنكوتيرمز عرف تجاري دولي</w:t>
      </w:r>
      <w:r>
        <w:rPr>
          <w:rFonts w:ascii="Times New Roman" w:cs="Traditional Arabic" w:hAnsi="Times New Roman"/>
          <w:sz w:val="28"/>
          <w:szCs w:val="28"/>
          <w:rtl/>
        </w:rPr>
        <w:t xml:space="preserve">. يرى أنصار هذا الاتجاه أن القواعد، بفعل تطبيقها الواسع والمتكرر لعقود طويلة، قد تحولت إلى </w:t>
      </w:r>
      <w:r>
        <w:rPr>
          <w:rFonts w:ascii="Times New Roman" w:cs="Traditional Arabic" w:hAnsi="Times New Roman"/>
          <w:b/>
          <w:bCs/>
          <w:sz w:val="28"/>
          <w:szCs w:val="28"/>
          <w:rtl/>
        </w:rPr>
        <w:t xml:space="preserve">عرف تجاري دولي</w:t>
      </w:r>
      <w:r>
        <w:rPr>
          <w:rFonts w:ascii="Times New Roman" w:cs="Traditional Arabic" w:hAnsi="Times New Roman"/>
          <w:sz w:val="28"/>
          <w:szCs w:val="28"/>
          <w:rtl/>
        </w:rPr>
        <w:t xml:space="preserve"> يُلزم المتعاقدين حتى في غياب إحالة صريحة إليها، ما لم يتفقا على استبعادها. ويستند هذا الاتجاه إلى </w:t>
      </w:r>
      <w:r>
        <w:rPr>
          <w:rFonts w:ascii="Times New Roman" w:cs="Traditional Arabic" w:hAnsi="Times New Roman"/>
          <w:b/>
          <w:bCs/>
          <w:sz w:val="28"/>
          <w:szCs w:val="28"/>
          <w:rtl/>
        </w:rPr>
        <w:t xml:space="preserve">المادة 9 (2) من اتفاقية فيينا</w:t>
      </w:r>
      <w:r>
        <w:rPr>
          <w:rFonts w:ascii="Times New Roman" w:cs="Traditional Arabic" w:hAnsi="Times New Roman"/>
          <w:sz w:val="28"/>
          <w:szCs w:val="28"/>
          <w:rtl/>
        </w:rPr>
        <w:t xml:space="preserve"> التي تقضي بأن الطرفين يُعتبران، ما لم يتفقا على خلاف ذلك، قد طبقا ضمنيًا على عقدهما كل عرف كانا يعلمان به أو كان ينبغي أن يعلما به، ويكون معروفًا على نطاق واسع ومراعى بانتظام في التجارة الدولية من قبل الأطراف في العقود المماثلة. وقد أخذت بعض المحاكم بهذا الاتجاه، كما سنرى، إذ اعتبرت مصطلحات الإنكوتيرمز جزءًا من العقد لكونها أعرافًا دولية مستقرة، حتى وإن لم يُشر إليها العقد صراحةً.</w:t>
      </w:r>
    </w:p>
    <w:p>
      <w:pPr>
        <w:bidi/>
        <w:spacing w:after="120" w:line="340"/>
        <w:jc w:val="both"/>
      </w:pPr>
      <w:r>
        <w:rPr>
          <w:rFonts w:ascii="Times New Roman" w:cs="Traditional Arabic" w:hAnsi="Times New Roman"/>
          <w:b/>
          <w:bCs/>
          <w:sz w:val="28"/>
          <w:szCs w:val="28"/>
          <w:rtl/>
        </w:rPr>
        <w:t xml:space="preserve">الاتجاه الثالث: الطبيعة المزدوجة أو المختلطة</w:t>
      </w:r>
      <w:r>
        <w:rPr>
          <w:rFonts w:ascii="Times New Roman" w:cs="Traditional Arabic" w:hAnsi="Times New Roman"/>
          <w:sz w:val="28"/>
          <w:szCs w:val="28"/>
          <w:rtl/>
        </w:rPr>
        <w:t xml:space="preserve">. يرى فريق ثالث، وهو الأرجح في تقديرنا، أن الإنكوتيرمز ذات </w:t>
      </w:r>
      <w:r>
        <w:rPr>
          <w:rFonts w:ascii="Times New Roman" w:cs="Traditional Arabic" w:hAnsi="Times New Roman"/>
          <w:b/>
          <w:bCs/>
          <w:sz w:val="28"/>
          <w:szCs w:val="28"/>
          <w:rtl/>
        </w:rPr>
        <w:t xml:space="preserve">طبيعة مزدوجة</w:t>
      </w:r>
      <w:r>
        <w:rPr>
          <w:rFonts w:ascii="Times New Roman" w:cs="Traditional Arabic" w:hAnsi="Times New Roman"/>
          <w:sz w:val="28"/>
          <w:szCs w:val="28"/>
          <w:rtl/>
        </w:rPr>
        <w:t xml:space="preserve">: فهي في الأصل شروط نموذجية مصدرها الإرادة، لكن بعض مضامينها الأساسية، ولاسيما التعريف الجوهري لنقطة التسليم وانتقال المخاطر في المصطلحات الكلاسيكية مثل FOB وCIF، قد ارتقت إلى مرتبة العرف التجاري الدولي بمعنى المادة 9 (2) من اتفاقية فيينا. أما التفاصيل التقنية التي أدخلتها المراجعات الأخيرة، كمستوى التأمين في CIP أو إمكانية إصدار بوليصة الشحن «على ظهر السفينة» في FCA، فلا يمكن اعتبارها عرفًا مستقرًا بعد، ولا تكتسب قوتها إلا من الإحالة الصريحة. ويترتب على هذا التمييز أثر عملي مهم: فكلما كان الحكم محل النزاع حديث العهد، تعيّن على من يتمسك به إثبات إدماجه الصريح في العقد؛ وكلما كان راسخًا في الممارسة، أمكن الاستناد إليه بوصفه عرفًا.</w:t>
      </w:r>
    </w:p>
    <w:p>
      <w:pPr>
        <w:bidi/>
        <w:spacing w:after="120" w:line="340"/>
        <w:jc w:val="both"/>
      </w:pPr>
      <w:r>
        <w:rPr>
          <w:rFonts w:ascii="Times New Roman" w:cs="Traditional Arabic" w:hAnsi="Times New Roman"/>
          <w:sz w:val="28"/>
          <w:szCs w:val="28"/>
          <w:rtl/>
        </w:rPr>
        <w:t xml:space="preserve">ويتصل بالتكييف القانوني تحديد </w:t>
      </w:r>
      <w:r>
        <w:rPr>
          <w:rFonts w:ascii="Times New Roman" w:cs="Traditional Arabic" w:hAnsi="Times New Roman"/>
          <w:b/>
          <w:bCs/>
          <w:sz w:val="28"/>
          <w:szCs w:val="28"/>
          <w:rtl/>
        </w:rPr>
        <w:t xml:space="preserve">مرتبة القواعد في هرم مصادر القانون الواجب التطبيق</w:t>
      </w:r>
      <w:r>
        <w:rPr>
          <w:rFonts w:ascii="Times New Roman" w:cs="Traditional Arabic" w:hAnsi="Times New Roman"/>
          <w:sz w:val="28"/>
          <w:szCs w:val="28"/>
          <w:rtl/>
        </w:rPr>
        <w:t xml:space="preserve">. فإذا أُدمجت الإنكوتيرمز في العقد، فإنها تسمو على الأحكام المكملة (غير الآمرة) في القانون الوطني أو في اتفاقية فيينا، وفقًا لمبدأ أولوية الإرادة؛ لكنها تبقى خاضعة للقواعد الآمرة في القانون الواجب التطبيق، وللقواعد ذات التطبيق الضروري كالتشريعات الجمركية والضريبية وقواعد الرقابة على الصادرات والعقوبات الاقتصادية.</w:t>
      </w:r>
    </w:p>
    <w:p>
      <w:pPr>
        <w:pStyle w:val="Heading2"/>
        <w:bidi/>
        <w:spacing w:after="160" w:before="240"/>
        <w:jc w:val="right"/>
      </w:pPr>
      <w:r>
        <w:rPr>
          <w:rFonts w:ascii="Times New Roman" w:cs="Traditional Arabic" w:hAnsi="Times New Roman"/>
          <w:b/>
          <w:bCs/>
          <w:color w:val="2E5496"/>
          <w:sz w:val="30"/>
          <w:szCs w:val="30"/>
          <w:rtl/>
        </w:rPr>
        <w:t xml:space="preserve">المطلب الثاني: التطور التاريخي لقواعد الإنكوتيرمز</w:t>
      </w:r>
    </w:p>
    <w:p>
      <w:pPr>
        <w:pStyle w:val="Heading3"/>
        <w:bidi/>
        <w:spacing w:after="160" w:before="240"/>
        <w:jc w:val="right"/>
      </w:pPr>
      <w:r>
        <w:rPr>
          <w:rFonts w:ascii="Times New Roman" w:cs="Traditional Arabic" w:hAnsi="Times New Roman"/>
          <w:b/>
          <w:bCs/>
          <w:color w:val="2E5496"/>
          <w:sz w:val="28"/>
          <w:szCs w:val="28"/>
          <w:rtl/>
        </w:rPr>
        <w:t xml:space="preserve">الفرع الأول: من الأعراف التجارية إلى التقنين الخاص (1919–1936)</w:t>
      </w:r>
    </w:p>
    <w:p>
      <w:pPr>
        <w:bidi/>
        <w:spacing w:after="120" w:line="340"/>
        <w:jc w:val="both"/>
      </w:pPr>
      <w:r>
        <w:rPr>
          <w:rFonts w:ascii="Times New Roman" w:cs="Traditional Arabic" w:hAnsi="Times New Roman"/>
          <w:sz w:val="28"/>
          <w:szCs w:val="28"/>
          <w:rtl/>
        </w:rPr>
        <w:t xml:space="preserve">عرفت التجارة البحرية منذ القرن التاسع عشر مصطلحات مختصرة للدلالة على شروط البيع، أشهرها </w:t>
      </w:r>
      <w:r>
        <w:rPr>
          <w:rFonts w:ascii="Times New Roman" w:cs="Traditional Arabic" w:hAnsi="Times New Roman"/>
          <w:b/>
          <w:bCs/>
          <w:sz w:val="28"/>
          <w:szCs w:val="28"/>
          <w:rtl/>
        </w:rPr>
        <w:t xml:space="preserve">FOB</w:t>
      </w:r>
      <w:r>
        <w:rPr>
          <w:rFonts w:ascii="Times New Roman" w:cs="Traditional Arabic" w:hAnsi="Times New Roman"/>
          <w:sz w:val="28"/>
          <w:szCs w:val="28"/>
          <w:rtl/>
        </w:rPr>
        <w:t xml:space="preserve"> (التسليم على ظهر السفينة) و</w:t>
      </w:r>
      <w:r>
        <w:rPr>
          <w:rFonts w:ascii="Times New Roman" w:cs="Traditional Arabic" w:hAnsi="Times New Roman"/>
          <w:b/>
          <w:bCs/>
          <w:sz w:val="28"/>
          <w:szCs w:val="28"/>
          <w:rtl/>
        </w:rPr>
        <w:t xml:space="preserve">CIF</w:t>
      </w:r>
      <w:r>
        <w:rPr>
          <w:rFonts w:ascii="Times New Roman" w:cs="Traditional Arabic" w:hAnsi="Times New Roman"/>
          <w:sz w:val="28"/>
          <w:szCs w:val="28"/>
          <w:rtl/>
        </w:rPr>
        <w:t xml:space="preserve"> (التكلفة والتأمين وأجرة الشحن). وقد نشأ هذان المصطلحان في الممارسة التجارية الإنجليزية، ولاسيما في تجارة السلع الأولية، وصاغ القضاء الإنجليزي جانبًا كبيرًا من أحكامهما. غير أن تداولهما في موانئ ودول مختلفة أفرز تفسيرات متباينة، فكان مصطلح FOB في بعض الممارسات الأمريكية يشير إلى التسليم على وسيلة نقل برية في نقطة داخلية، بينما يقتصر في الممارسة الإنجليزية على التسليم على ظهر السفينة.</w:t>
      </w:r>
    </w:p>
    <w:p>
      <w:pPr>
        <w:bidi/>
        <w:spacing w:after="120" w:line="340"/>
        <w:jc w:val="both"/>
      </w:pPr>
      <w:r>
        <w:rPr>
          <w:rFonts w:ascii="Times New Roman" w:cs="Traditional Arabic" w:hAnsi="Times New Roman"/>
          <w:sz w:val="28"/>
          <w:szCs w:val="28"/>
          <w:rtl/>
        </w:rPr>
        <w:t xml:space="preserve">وبعد تأسيس غرفة التجارة الدولية سنة 1919، شرعت في دراسة هذه الظاهرة، فنشرت سنة </w:t>
      </w:r>
      <w:r>
        <w:rPr>
          <w:rFonts w:ascii="Times New Roman" w:cs="Traditional Arabic" w:hAnsi="Times New Roman"/>
          <w:b/>
          <w:bCs/>
          <w:sz w:val="28"/>
          <w:szCs w:val="28"/>
          <w:rtl/>
        </w:rPr>
        <w:t xml:space="preserve">1923</w:t>
      </w:r>
      <w:r>
        <w:rPr>
          <w:rFonts w:ascii="Times New Roman" w:cs="Traditional Arabic" w:hAnsi="Times New Roman"/>
          <w:sz w:val="28"/>
          <w:szCs w:val="28"/>
          <w:rtl/>
        </w:rPr>
        <w:t xml:space="preserve"> نتائج دراسة حول تفسير المصطلحات التجارية الشائعة في عدد من الدول، ثم أصدرت سنة </w:t>
      </w:r>
      <w:r>
        <w:rPr>
          <w:rFonts w:ascii="Times New Roman" w:cs="Traditional Arabic" w:hAnsi="Times New Roman"/>
          <w:b/>
          <w:bCs/>
          <w:sz w:val="28"/>
          <w:szCs w:val="28"/>
          <w:rtl/>
        </w:rPr>
        <w:t xml:space="preserve">1928</w:t>
      </w:r>
      <w:r>
        <w:rPr>
          <w:rFonts w:ascii="Times New Roman" w:cs="Traditional Arabic" w:hAnsi="Times New Roman"/>
          <w:sz w:val="28"/>
          <w:szCs w:val="28"/>
          <w:rtl/>
        </w:rPr>
        <w:t xml:space="preserve"> طبعة موسعة شملت عددًا أكبر من الدول. وقد كشفت هذه الدراسات عن حجم التباين في التفسير، وأقنعت الغرفة بضرورة الانتقال من مجرد رصد الأعراف الوطنية إلى </w:t>
      </w:r>
      <w:r>
        <w:rPr>
          <w:rFonts w:ascii="Times New Roman" w:cs="Traditional Arabic" w:hAnsi="Times New Roman"/>
          <w:b/>
          <w:bCs/>
          <w:sz w:val="28"/>
          <w:szCs w:val="28"/>
          <w:rtl/>
        </w:rPr>
        <w:t xml:space="preserve">وضع قواعد تفسيرية موحدة</w:t>
      </w:r>
      <w:r>
        <w:rPr>
          <w:rFonts w:ascii="Times New Roman" w:cs="Traditional Arabic" w:hAnsi="Times New Roman"/>
          <w:sz w:val="28"/>
          <w:szCs w:val="28"/>
          <w:rtl/>
        </w:rPr>
        <w:t xml:space="preserve"> يختارها المتعاملون طواعيةً. وهكذا صدرت سنة </w:t>
      </w:r>
      <w:r>
        <w:rPr>
          <w:rFonts w:ascii="Times New Roman" w:cs="Traditional Arabic" w:hAnsi="Times New Roman"/>
          <w:b/>
          <w:bCs/>
          <w:sz w:val="28"/>
          <w:szCs w:val="28"/>
          <w:rtl/>
        </w:rPr>
        <w:t xml:space="preserve">1936</w:t>
      </w:r>
      <w:r>
        <w:rPr>
          <w:rFonts w:ascii="Times New Roman" w:cs="Traditional Arabic" w:hAnsi="Times New Roman"/>
          <w:sz w:val="28"/>
          <w:szCs w:val="28"/>
          <w:rtl/>
        </w:rPr>
        <w:t xml:space="preserve"> أول مجموعة رسمية تحت اسم «Incoterms 1936»، تضمنت تعريفات لعدد من المصطلحات، منها التسليم في المصنع، والتسليم على ظهر السفينة، والتسليم بجانب السفينة، والتكلفة وأجرة الشحن، والتكلفة والتأمين وأجرة الشحن، والتسليم من السفينة، والتسليم على الرصيف.</w:t>
      </w:r>
    </w:p>
    <w:p>
      <w:pPr>
        <w:bidi/>
        <w:spacing w:after="120" w:line="340"/>
        <w:jc w:val="both"/>
      </w:pPr>
      <w:r>
        <w:rPr>
          <w:rFonts w:ascii="Times New Roman" w:cs="Traditional Arabic" w:hAnsi="Times New Roman"/>
          <w:sz w:val="28"/>
          <w:szCs w:val="28"/>
          <w:rtl/>
        </w:rPr>
        <w:t xml:space="preserve">ويمثل هذا الإصدار نقطة تحول في تاريخ قانون التجارة الدولية، إذ انتقل تنظيم مسائل التسليم من الأعراف المحلية المتفرقة إلى </w:t>
      </w:r>
      <w:r>
        <w:rPr>
          <w:rFonts w:ascii="Times New Roman" w:cs="Traditional Arabic" w:hAnsi="Times New Roman"/>
          <w:b/>
          <w:bCs/>
          <w:sz w:val="28"/>
          <w:szCs w:val="28"/>
          <w:rtl/>
        </w:rPr>
        <w:t xml:space="preserve">تقنين خاص ذي طابع عالمي</w:t>
      </w:r>
      <w:r>
        <w:rPr>
          <w:rFonts w:ascii="Times New Roman" w:cs="Traditional Arabic" w:hAnsi="Times New Roman"/>
          <w:sz w:val="28"/>
          <w:szCs w:val="28"/>
          <w:rtl/>
        </w:rPr>
        <w:t xml:space="preserve">، صادر عن هيئة مهنية تتمتع بمصداقية لدى التجار، ويعتمد في إلزاميته على الاختيار الحر للمتعاقدين.</w:t>
      </w:r>
    </w:p>
    <w:p>
      <w:pPr>
        <w:pStyle w:val="Heading3"/>
        <w:bidi/>
        <w:spacing w:after="160" w:before="240"/>
        <w:jc w:val="right"/>
      </w:pPr>
      <w:r>
        <w:rPr>
          <w:rFonts w:ascii="Times New Roman" w:cs="Traditional Arabic" w:hAnsi="Times New Roman"/>
          <w:b/>
          <w:bCs/>
          <w:color w:val="2E5496"/>
          <w:sz w:val="28"/>
          <w:szCs w:val="28"/>
          <w:rtl/>
        </w:rPr>
        <w:t xml:space="preserve">الفرع الثاني: مسار المراجعات المتعاقبة (1953–2020) وآفاق المراجعة القادمة</w:t>
      </w:r>
    </w:p>
    <w:p>
      <w:pPr>
        <w:bidi/>
        <w:spacing w:after="120" w:line="340"/>
        <w:jc w:val="both"/>
      </w:pPr>
      <w:r>
        <w:rPr>
          <w:rFonts w:ascii="Times New Roman" w:cs="Traditional Arabic" w:hAnsi="Times New Roman"/>
          <w:sz w:val="28"/>
          <w:szCs w:val="28"/>
          <w:rtl/>
        </w:rPr>
        <w:t xml:space="preserve">خضعت القواعد لمراجعات دورية استجابةً لتحولات تقنيات النقل وأساليب التجارة، يمكن إجمال أبرزها فيما يلي:</w:t>
      </w:r>
    </w:p>
    <w:p>
      <w:pPr>
        <w:bidi/>
        <w:spacing w:after="120" w:line="340"/>
        <w:jc w:val="both"/>
      </w:pPr>
      <w:r>
        <w:rPr>
          <w:rFonts w:ascii="Times New Roman" w:cs="Traditional Arabic" w:hAnsi="Times New Roman"/>
          <w:b/>
          <w:bCs/>
          <w:sz w:val="28"/>
          <w:szCs w:val="28"/>
          <w:rtl/>
        </w:rPr>
        <w:t xml:space="preserve">مراجعة 1953</w:t>
      </w:r>
      <w:r>
        <w:rPr>
          <w:rFonts w:ascii="Times New Roman" w:cs="Traditional Arabic" w:hAnsi="Times New Roman"/>
          <w:sz w:val="28"/>
          <w:szCs w:val="28"/>
          <w:rtl/>
        </w:rPr>
        <w:t xml:space="preserve">: جاءت بعد الحرب العالمية الثانية في سياق إعادة بناء التجارة الدولية، وحدّثت تعريفات المصطلحات القائمة، وأضافت مصطلحات تتعلق بالنقل بالسكك الحديدية.</w:t>
      </w:r>
    </w:p>
    <w:p>
      <w:pPr>
        <w:bidi/>
        <w:spacing w:after="120" w:line="340"/>
        <w:jc w:val="both"/>
      </w:pPr>
      <w:r>
        <w:rPr>
          <w:rFonts w:ascii="Times New Roman" w:cs="Traditional Arabic" w:hAnsi="Times New Roman"/>
          <w:b/>
          <w:bCs/>
          <w:sz w:val="28"/>
          <w:szCs w:val="28"/>
          <w:rtl/>
        </w:rPr>
        <w:t xml:space="preserve">تعديلات 1967 و1976</w:t>
      </w:r>
      <w:r>
        <w:rPr>
          <w:rFonts w:ascii="Times New Roman" w:cs="Traditional Arabic" w:hAnsi="Times New Roman"/>
          <w:sz w:val="28"/>
          <w:szCs w:val="28"/>
          <w:rtl/>
        </w:rPr>
        <w:t xml:space="preserve">: أضافت مصطلحات جديدة، منها </w:t>
      </w:r>
      <w:r>
        <w:rPr>
          <w:rFonts w:ascii="Times New Roman" w:cs="Traditional Arabic" w:hAnsi="Times New Roman"/>
          <w:b/>
          <w:bCs/>
          <w:sz w:val="28"/>
          <w:szCs w:val="28"/>
          <w:rtl/>
        </w:rPr>
        <w:t xml:space="preserve">DAF</w:t>
      </w:r>
      <w:r>
        <w:rPr>
          <w:rFonts w:ascii="Times New Roman" w:cs="Traditional Arabic" w:hAnsi="Times New Roman"/>
          <w:sz w:val="28"/>
          <w:szCs w:val="28"/>
          <w:rtl/>
        </w:rPr>
        <w:t xml:space="preserve"> (التسليم على الحدود) و</w:t>
      </w:r>
      <w:r>
        <w:rPr>
          <w:rFonts w:ascii="Times New Roman" w:cs="Traditional Arabic" w:hAnsi="Times New Roman"/>
          <w:b/>
          <w:bCs/>
          <w:sz w:val="28"/>
          <w:szCs w:val="28"/>
          <w:rtl/>
        </w:rPr>
        <w:t xml:space="preserve">DDP</w:t>
      </w:r>
      <w:r>
        <w:rPr>
          <w:rFonts w:ascii="Times New Roman" w:cs="Traditional Arabic" w:hAnsi="Times New Roman"/>
          <w:sz w:val="28"/>
          <w:szCs w:val="28"/>
          <w:rtl/>
        </w:rPr>
        <w:t xml:space="preserve"> (التسليم مع دفع الرسوم) سنة 1967، ثم مصطلحًا خاصًا بالنقل الجوي سنة 1976 (FOB Airport)، استجابةً لتنامي الشحن الجوي.</w:t>
      </w:r>
    </w:p>
    <w:p>
      <w:pPr>
        <w:bidi/>
        <w:spacing w:after="120" w:line="340"/>
        <w:jc w:val="both"/>
      </w:pPr>
      <w:r>
        <w:rPr>
          <w:rFonts w:ascii="Times New Roman" w:cs="Traditional Arabic" w:hAnsi="Times New Roman"/>
          <w:b/>
          <w:bCs/>
          <w:sz w:val="28"/>
          <w:szCs w:val="28"/>
          <w:rtl/>
        </w:rPr>
        <w:t xml:space="preserve">مراجعة 1980</w:t>
      </w:r>
      <w:r>
        <w:rPr>
          <w:rFonts w:ascii="Times New Roman" w:cs="Traditional Arabic" w:hAnsi="Times New Roman"/>
          <w:sz w:val="28"/>
          <w:szCs w:val="28"/>
          <w:rtl/>
        </w:rPr>
        <w:t xml:space="preserve">: أدخلت مصطلح </w:t>
      </w:r>
      <w:r>
        <w:rPr>
          <w:rFonts w:ascii="Times New Roman" w:cs="Traditional Arabic" w:hAnsi="Times New Roman"/>
          <w:b/>
          <w:bCs/>
          <w:sz w:val="28"/>
          <w:szCs w:val="28"/>
          <w:rtl/>
        </w:rPr>
        <w:t xml:space="preserve">FRC</w:t>
      </w:r>
      <w:r>
        <w:rPr>
          <w:rFonts w:ascii="Times New Roman" w:cs="Traditional Arabic" w:hAnsi="Times New Roman"/>
          <w:sz w:val="28"/>
          <w:szCs w:val="28"/>
          <w:rtl/>
        </w:rPr>
        <w:t xml:space="preserve"> (التسليم للناقل)، سلف مصطلح FCA الحالي، ومصطلح </w:t>
      </w:r>
      <w:r>
        <w:rPr>
          <w:rFonts w:ascii="Times New Roman" w:cs="Traditional Arabic" w:hAnsi="Times New Roman"/>
          <w:b/>
          <w:bCs/>
          <w:sz w:val="28"/>
          <w:szCs w:val="28"/>
          <w:rtl/>
        </w:rPr>
        <w:t xml:space="preserve">CIP</w:t>
      </w:r>
      <w:r>
        <w:rPr>
          <w:rFonts w:ascii="Times New Roman" w:cs="Traditional Arabic" w:hAnsi="Times New Roman"/>
          <w:sz w:val="28"/>
          <w:szCs w:val="28"/>
          <w:rtl/>
        </w:rPr>
        <w:t xml:space="preserve">، استجابةً لـ </w:t>
      </w:r>
      <w:r>
        <w:rPr>
          <w:rFonts w:ascii="Times New Roman" w:cs="Traditional Arabic" w:hAnsi="Times New Roman"/>
          <w:b/>
          <w:bCs/>
          <w:sz w:val="28"/>
          <w:szCs w:val="28"/>
          <w:rtl/>
        </w:rPr>
        <w:t xml:space="preserve">ثورة الحاويات</w:t>
      </w:r>
      <w:r>
        <w:rPr>
          <w:rFonts w:ascii="Times New Roman" w:cs="Traditional Arabic" w:hAnsi="Times New Roman"/>
          <w:sz w:val="28"/>
          <w:szCs w:val="28"/>
          <w:rtl/>
        </w:rPr>
        <w:t xml:space="preserve"> والنقل متعدد الوسائط؛ إذ لم يعد منطقيًا ربط انتقال المخاطر بـ «حافة السفينة» في حين أن الحاوية تُسلَّم للناقل في محطة داخلية قبل تحميلها بأيام.</w:t>
      </w:r>
    </w:p>
    <w:p>
      <w:pPr>
        <w:bidi/>
        <w:spacing w:after="120" w:line="340"/>
        <w:jc w:val="both"/>
      </w:pPr>
      <w:r>
        <w:rPr>
          <w:rFonts w:ascii="Times New Roman" w:cs="Traditional Arabic" w:hAnsi="Times New Roman"/>
          <w:b/>
          <w:bCs/>
          <w:sz w:val="28"/>
          <w:szCs w:val="28"/>
          <w:rtl/>
        </w:rPr>
        <w:t xml:space="preserve">مراجعة 1990</w:t>
      </w:r>
      <w:r>
        <w:rPr>
          <w:rFonts w:ascii="Times New Roman" w:cs="Traditional Arabic" w:hAnsi="Times New Roman"/>
          <w:sz w:val="28"/>
          <w:szCs w:val="28"/>
          <w:rtl/>
        </w:rPr>
        <w:t xml:space="preserve">: شكلت منعطفًا منهجيًا، إذ أعادت تنظيم المصطلحات في </w:t>
      </w:r>
      <w:r>
        <w:rPr>
          <w:rFonts w:ascii="Times New Roman" w:cs="Traditional Arabic" w:hAnsi="Times New Roman"/>
          <w:b/>
          <w:bCs/>
          <w:sz w:val="28"/>
          <w:szCs w:val="28"/>
          <w:rtl/>
        </w:rPr>
        <w:t xml:space="preserve">أربع مجموعات</w:t>
      </w:r>
      <w:r>
        <w:rPr>
          <w:rFonts w:ascii="Times New Roman" w:cs="Traditional Arabic" w:hAnsi="Times New Roman"/>
          <w:sz w:val="28"/>
          <w:szCs w:val="28"/>
          <w:rtl/>
        </w:rPr>
        <w:t xml:space="preserve"> (E وF وC وD) حسب درجة التزامات البائع، واعتمدت البنية المتناظرة للالتزامات العشرة لكل طرف، وأقرت إمكانية استبدال المستندات الورقية بـ </w:t>
      </w:r>
      <w:r>
        <w:rPr>
          <w:rFonts w:ascii="Times New Roman" w:cs="Traditional Arabic" w:hAnsi="Times New Roman"/>
          <w:b/>
          <w:bCs/>
          <w:sz w:val="28"/>
          <w:szCs w:val="28"/>
          <w:rtl/>
        </w:rPr>
        <w:t xml:space="preserve">رسائل التبادل الإلكتروني للبيانات (EDI)</w:t>
      </w:r>
      <w:r>
        <w:rPr>
          <w:rFonts w:ascii="Times New Roman" w:cs="Traditional Arabic" w:hAnsi="Times New Roman"/>
          <w:sz w:val="28"/>
          <w:szCs w:val="28"/>
          <w:rtl/>
        </w:rPr>
        <w:t xml:space="preserve">، وبلغ عدد المصطلحات ثلاثة عشر مصطلحًا.</w:t>
      </w:r>
    </w:p>
    <w:p>
      <w:pPr>
        <w:bidi/>
        <w:spacing w:after="120" w:line="340"/>
        <w:jc w:val="both"/>
      </w:pPr>
      <w:r>
        <w:rPr>
          <w:rFonts w:ascii="Times New Roman" w:cs="Traditional Arabic" w:hAnsi="Times New Roman"/>
          <w:b/>
          <w:bCs/>
          <w:sz w:val="28"/>
          <w:szCs w:val="28"/>
          <w:rtl/>
        </w:rPr>
        <w:t xml:space="preserve">مراجعة 2000</w:t>
      </w:r>
      <w:r>
        <w:rPr>
          <w:rFonts w:ascii="Times New Roman" w:cs="Traditional Arabic" w:hAnsi="Times New Roman"/>
          <w:sz w:val="28"/>
          <w:szCs w:val="28"/>
          <w:rtl/>
        </w:rPr>
        <w:t xml:space="preserve">: كانت مراجعة محدودة، أبرز ما فيها نقل التزام التخليص الجمركي للتصدير في FAS إلى البائع، ونقل التزام التخليص للاستيراد في DEQ إلى المشتري، وتوضيح التزامات التحميل والتفريغ في FCA.</w:t>
      </w:r>
    </w:p>
    <w:p>
      <w:pPr>
        <w:bidi/>
        <w:spacing w:after="120" w:line="340"/>
        <w:jc w:val="both"/>
      </w:pPr>
      <w:r>
        <w:rPr>
          <w:rFonts w:ascii="Times New Roman" w:cs="Traditional Arabic" w:hAnsi="Times New Roman"/>
          <w:b/>
          <w:bCs/>
          <w:sz w:val="28"/>
          <w:szCs w:val="28"/>
          <w:rtl/>
        </w:rPr>
        <w:t xml:space="preserve">مراجعة 2010</w:t>
      </w:r>
      <w:r>
        <w:rPr>
          <w:rFonts w:ascii="Times New Roman" w:cs="Traditional Arabic" w:hAnsi="Times New Roman"/>
          <w:sz w:val="28"/>
          <w:szCs w:val="28"/>
          <w:rtl/>
        </w:rPr>
        <w:t xml:space="preserve">: مثلت إصلاحًا عميقًا، إذ قلصت عدد المصطلحات من ثلاثة عشر إلى </w:t>
      </w:r>
      <w:r>
        <w:rPr>
          <w:rFonts w:ascii="Times New Roman" w:cs="Traditional Arabic" w:hAnsi="Times New Roman"/>
          <w:b/>
          <w:bCs/>
          <w:sz w:val="28"/>
          <w:szCs w:val="28"/>
          <w:rtl/>
        </w:rPr>
        <w:t xml:space="preserve">أحد عشر</w:t>
      </w:r>
      <w:r>
        <w:rPr>
          <w:rFonts w:ascii="Times New Roman" w:cs="Traditional Arabic" w:hAnsi="Times New Roman"/>
          <w:sz w:val="28"/>
          <w:szCs w:val="28"/>
          <w:rtl/>
        </w:rPr>
        <w:t xml:space="preserve">، بإلغاء DAF وDES وDEQ وDDU، واستحداث </w:t>
      </w:r>
      <w:r>
        <w:rPr>
          <w:rFonts w:ascii="Times New Roman" w:cs="Traditional Arabic" w:hAnsi="Times New Roman"/>
          <w:b/>
          <w:bCs/>
          <w:sz w:val="28"/>
          <w:szCs w:val="28"/>
          <w:rtl/>
        </w:rPr>
        <w:t xml:space="preserve">DAT</w:t>
      </w:r>
      <w:r>
        <w:rPr>
          <w:rFonts w:ascii="Times New Roman" w:cs="Traditional Arabic" w:hAnsi="Times New Roman"/>
          <w:sz w:val="28"/>
          <w:szCs w:val="28"/>
          <w:rtl/>
        </w:rPr>
        <w:t xml:space="preserve"> (التسليم في المحطة) و</w:t>
      </w:r>
      <w:r>
        <w:rPr>
          <w:rFonts w:ascii="Times New Roman" w:cs="Traditional Arabic" w:hAnsi="Times New Roman"/>
          <w:b/>
          <w:bCs/>
          <w:sz w:val="28"/>
          <w:szCs w:val="28"/>
          <w:rtl/>
        </w:rPr>
        <w:t xml:space="preserve">DAP</w:t>
      </w:r>
      <w:r>
        <w:rPr>
          <w:rFonts w:ascii="Times New Roman" w:cs="Traditional Arabic" w:hAnsi="Times New Roman"/>
          <w:sz w:val="28"/>
          <w:szCs w:val="28"/>
          <w:rtl/>
        </w:rPr>
        <w:t xml:space="preserve"> (التسليم في المكان). وأعادت تصنيف القواعد إلى فئتين: قواعد صالحة لجميع وسائل النقل، وقواعد خاصة بالنقل البحري والمائي الداخلي. كما أقرت صراحةً إمكانية استعمال القواعد في </w:t>
      </w:r>
      <w:r>
        <w:rPr>
          <w:rFonts w:ascii="Times New Roman" w:cs="Traditional Arabic" w:hAnsi="Times New Roman"/>
          <w:b/>
          <w:bCs/>
          <w:sz w:val="28"/>
          <w:szCs w:val="28"/>
          <w:rtl/>
        </w:rPr>
        <w:t xml:space="preserve">التجارة الداخلية</w:t>
      </w:r>
      <w:r>
        <w:rPr>
          <w:rFonts w:ascii="Times New Roman" w:cs="Traditional Arabic" w:hAnsi="Times New Roman"/>
          <w:sz w:val="28"/>
          <w:szCs w:val="28"/>
          <w:rtl/>
        </w:rPr>
        <w:t xml:space="preserve"> إلى جانب الدولية، وتناولت مسألة </w:t>
      </w:r>
      <w:r>
        <w:rPr>
          <w:rFonts w:ascii="Times New Roman" w:cs="Traditional Arabic" w:hAnsi="Times New Roman"/>
          <w:b/>
          <w:bCs/>
          <w:sz w:val="28"/>
          <w:szCs w:val="28"/>
          <w:rtl/>
        </w:rPr>
        <w:t xml:space="preserve">البيوع المتتالية (String Sales)</w:t>
      </w:r>
      <w:r>
        <w:rPr>
          <w:rFonts w:ascii="Times New Roman" w:cs="Traditional Arabic" w:hAnsi="Times New Roman"/>
          <w:sz w:val="28"/>
          <w:szCs w:val="28"/>
          <w:rtl/>
        </w:rPr>
        <w:t xml:space="preserve"> في تجارة السلع الأولية، بإضافة عبارة «أو تدبير البضاعة المسلمة على هذا النحو» (procure goods so delivered)، وأدرجت التزامات تتعلق بـ </w:t>
      </w:r>
      <w:r>
        <w:rPr>
          <w:rFonts w:ascii="Times New Roman" w:cs="Traditional Arabic" w:hAnsi="Times New Roman"/>
          <w:b/>
          <w:bCs/>
          <w:sz w:val="28"/>
          <w:szCs w:val="28"/>
          <w:rtl/>
        </w:rPr>
        <w:t xml:space="preserve">الأمن</w:t>
      </w:r>
      <w:r>
        <w:rPr>
          <w:rFonts w:ascii="Times New Roman" w:cs="Traditional Arabic" w:hAnsi="Times New Roman"/>
          <w:sz w:val="28"/>
          <w:szCs w:val="28"/>
          <w:rtl/>
        </w:rPr>
        <w:t xml:space="preserve"> في سلسلة الإمداد بعد أحداث 2001. ومن أبرز مستجداته كذلك </w:t>
      </w:r>
      <w:r>
        <w:rPr>
          <w:rFonts w:ascii="Times New Roman" w:cs="Traditional Arabic" w:hAnsi="Times New Roman"/>
          <w:b/>
          <w:bCs/>
          <w:sz w:val="28"/>
          <w:szCs w:val="28"/>
          <w:rtl/>
        </w:rPr>
        <w:t xml:space="preserve">التخلي عن معيار «حاجز السفينة» (ship's rail)</w:t>
      </w:r>
      <w:r>
        <w:rPr>
          <w:rFonts w:ascii="Times New Roman" w:cs="Traditional Arabic" w:hAnsi="Times New Roman"/>
          <w:sz w:val="28"/>
          <w:szCs w:val="28"/>
          <w:rtl/>
        </w:rPr>
        <w:t xml:space="preserve"> في FOB وCFR وCIF، وربط التسليم بوضع البضاعة </w:t>
      </w:r>
      <w:r>
        <w:rPr>
          <w:rFonts w:ascii="Times New Roman" w:cs="Traditional Arabic" w:hAnsi="Times New Roman"/>
          <w:b/>
          <w:bCs/>
          <w:sz w:val="28"/>
          <w:szCs w:val="28"/>
          <w:rtl/>
        </w:rPr>
        <w:t xml:space="preserve">«على ظهر السفينة» (on board)</w:t>
      </w:r>
      <w:r>
        <w:rPr>
          <w:rFonts w:ascii="Times New Roman" w:cs="Traditional Arabic" w:hAnsi="Times New Roman"/>
          <w:sz w:val="28"/>
          <w:szCs w:val="28"/>
          <w:rtl/>
        </w:rPr>
        <w:t xml:space="preserve">، وهو تعديل أنهى جدلًا فقهيًا وقضائيًا طويلًا حول لحظة انتقال المخاطر أثناء عملية الرفع. وقد حظي هذا الإصدار بتأييد </w:t>
      </w:r>
      <w:r>
        <w:rPr>
          <w:rFonts w:ascii="Times New Roman" w:cs="Traditional Arabic" w:hAnsi="Times New Roman"/>
          <w:b/>
          <w:bCs/>
          <w:sz w:val="28"/>
          <w:szCs w:val="28"/>
          <w:rtl/>
        </w:rPr>
        <w:t xml:space="preserve">لجنة الأمم المتحدة للقانون التجاري الدولي (الأونسيترال)</w:t>
      </w:r>
      <w:r>
        <w:rPr>
          <w:rFonts w:ascii="Times New Roman" w:cs="Traditional Arabic" w:hAnsi="Times New Roman"/>
          <w:sz w:val="28"/>
          <w:szCs w:val="28"/>
          <w:rtl/>
        </w:rPr>
        <w:t xml:space="preserve"> في دورتها الخامسة والأربعين سنة 2012، بعد أن أيدت قبله إصداري 1990 (سنة 1992) و2000 (سنة 2000)، وهو اعتراف أممي يعزز مكانة القواعد في منظومة توحيد القانون التجاري الدولي.</w:t>
      </w:r>
    </w:p>
    <w:p>
      <w:pPr>
        <w:bidi/>
        <w:spacing w:after="120" w:line="340"/>
        <w:jc w:val="both"/>
      </w:pPr>
      <w:r>
        <w:rPr>
          <w:rFonts w:ascii="Times New Roman" w:cs="Traditional Arabic" w:hAnsi="Times New Roman"/>
          <w:b/>
          <w:bCs/>
          <w:sz w:val="28"/>
          <w:szCs w:val="28"/>
          <w:rtl/>
        </w:rPr>
        <w:t xml:space="preserve">مراجعة 2020</w:t>
      </w:r>
      <w:r>
        <w:rPr>
          <w:rFonts w:ascii="Times New Roman" w:cs="Traditional Arabic" w:hAnsi="Times New Roman"/>
          <w:sz w:val="28"/>
          <w:szCs w:val="28"/>
          <w:rtl/>
        </w:rPr>
        <w:t xml:space="preserve">: حافظت على عدد القواعد (أحد عشر)، لكنها أدخلت تعديلات مهمة: أولها </w:t>
      </w:r>
      <w:r>
        <w:rPr>
          <w:rFonts w:ascii="Times New Roman" w:cs="Traditional Arabic" w:hAnsi="Times New Roman"/>
          <w:b/>
          <w:bCs/>
          <w:sz w:val="28"/>
          <w:szCs w:val="28"/>
          <w:rtl/>
        </w:rPr>
        <w:t xml:space="preserve">استبدال DAT بـ DPU</w:t>
      </w:r>
      <w:r>
        <w:rPr>
          <w:rFonts w:ascii="Times New Roman" w:cs="Traditional Arabic" w:hAnsi="Times New Roman"/>
          <w:sz w:val="28"/>
          <w:szCs w:val="28"/>
          <w:rtl/>
        </w:rPr>
        <w:t xml:space="preserve"> (التسليم في المكان مفرغًا) لتوسيع مكان التسليم ليشمل أي مكان وليس المحطة فقط. وثانيها </w:t>
      </w:r>
      <w:r>
        <w:rPr>
          <w:rFonts w:ascii="Times New Roman" w:cs="Traditional Arabic" w:hAnsi="Times New Roman"/>
          <w:b/>
          <w:bCs/>
          <w:sz w:val="28"/>
          <w:szCs w:val="28"/>
          <w:rtl/>
        </w:rPr>
        <w:t xml:space="preserve">رفع مستوى التأمين الإلزامي في CIP</w:t>
      </w:r>
      <w:r>
        <w:rPr>
          <w:rFonts w:ascii="Times New Roman" w:cs="Traditional Arabic" w:hAnsi="Times New Roman"/>
          <w:sz w:val="28"/>
          <w:szCs w:val="28"/>
          <w:rtl/>
        </w:rPr>
        <w:t xml:space="preserve"> إلى شروط معهد لندن للتأمين (A) أي التغطية الشاملة، مع الإبقاء على الشروط (C) في CIF، مراعاةً لطبيعة البضائع المصنعة المنقولة بالحاويات مقابل السلع الأولية المنقولة سائبة. وثالثها إتاحة الاتفاق في </w:t>
      </w:r>
      <w:r>
        <w:rPr>
          <w:rFonts w:ascii="Times New Roman" w:cs="Traditional Arabic" w:hAnsi="Times New Roman"/>
          <w:b/>
          <w:bCs/>
          <w:sz w:val="28"/>
          <w:szCs w:val="28"/>
          <w:rtl/>
        </w:rPr>
        <w:t xml:space="preserve">FCA</w:t>
      </w:r>
      <w:r>
        <w:rPr>
          <w:rFonts w:ascii="Times New Roman" w:cs="Traditional Arabic" w:hAnsi="Times New Roman"/>
          <w:sz w:val="28"/>
          <w:szCs w:val="28"/>
          <w:rtl/>
        </w:rPr>
        <w:t xml:space="preserve"> على أن يوجه المشتري ناقله إلى إصدار </w:t>
      </w:r>
      <w:r>
        <w:rPr>
          <w:rFonts w:ascii="Times New Roman" w:cs="Traditional Arabic" w:hAnsi="Times New Roman"/>
          <w:b/>
          <w:bCs/>
          <w:sz w:val="28"/>
          <w:szCs w:val="28"/>
          <w:rtl/>
        </w:rPr>
        <w:t xml:space="preserve">بوليصة شحن مؤشر عليها بالتحميل على ظهر السفينة</w:t>
      </w:r>
      <w:r>
        <w:rPr>
          <w:rFonts w:ascii="Times New Roman" w:cs="Traditional Arabic" w:hAnsi="Times New Roman"/>
          <w:sz w:val="28"/>
          <w:szCs w:val="28"/>
          <w:rtl/>
        </w:rPr>
        <w:t xml:space="preserve"> لفائدة البائع، استجابةً لمتطلبات البنوك في الاعتمادات المستندية. ورابعها السماح بـ </w:t>
      </w:r>
      <w:r>
        <w:rPr>
          <w:rFonts w:ascii="Times New Roman" w:cs="Traditional Arabic" w:hAnsi="Times New Roman"/>
          <w:b/>
          <w:bCs/>
          <w:sz w:val="28"/>
          <w:szCs w:val="28"/>
          <w:rtl/>
        </w:rPr>
        <w:t xml:space="preserve">النقل بوسائل البائع أو المشتري الخاصة</w:t>
      </w:r>
      <w:r>
        <w:rPr>
          <w:rFonts w:ascii="Times New Roman" w:cs="Traditional Arabic" w:hAnsi="Times New Roman"/>
          <w:sz w:val="28"/>
          <w:szCs w:val="28"/>
          <w:rtl/>
        </w:rPr>
        <w:t xml:space="preserve"> دون اللجوء إلى ناقل مستقل في بعض القواعد. وخامسها إدراج </w:t>
      </w:r>
      <w:r>
        <w:rPr>
          <w:rFonts w:ascii="Times New Roman" w:cs="Traditional Arabic" w:hAnsi="Times New Roman"/>
          <w:b/>
          <w:bCs/>
          <w:sz w:val="28"/>
          <w:szCs w:val="28"/>
          <w:rtl/>
        </w:rPr>
        <w:t xml:space="preserve">متطلبات الأمن</w:t>
      </w:r>
      <w:r>
        <w:rPr>
          <w:rFonts w:ascii="Times New Roman" w:cs="Traditional Arabic" w:hAnsi="Times New Roman"/>
          <w:sz w:val="28"/>
          <w:szCs w:val="28"/>
          <w:rtl/>
        </w:rPr>
        <w:t xml:space="preserve"> في صلب الالتزامات، و</w:t>
      </w:r>
      <w:r>
        <w:rPr>
          <w:rFonts w:ascii="Times New Roman" w:cs="Traditional Arabic" w:hAnsi="Times New Roman"/>
          <w:b/>
          <w:bCs/>
          <w:sz w:val="28"/>
          <w:szCs w:val="28"/>
          <w:rtl/>
        </w:rPr>
        <w:t xml:space="preserve">تجميع التكاليف</w:t>
      </w:r>
      <w:r>
        <w:rPr>
          <w:rFonts w:ascii="Times New Roman" w:cs="Traditional Arabic" w:hAnsi="Times New Roman"/>
          <w:sz w:val="28"/>
          <w:szCs w:val="28"/>
          <w:rtl/>
        </w:rPr>
        <w:t xml:space="preserve"> في بند واحد (A9/B9) لكل قاعدة. كما عززت الغرفة المذكرات التفسيرية المصاحبة لكل قاعدة. وقد عرضت الغرفة هذا الإصدار بدوره على الأونسيترال، التي نظرت في تأييده خلال دورتها الثالثة والخمسين المنعقدة سنة 2020 (الوثيقة A/75/17)، مواصلةً بذلك تقليد التأييد الأممي لكل إصدار.</w:t>
      </w:r>
    </w:p>
    <w:p>
      <w:pPr>
        <w:bidi/>
        <w:spacing w:after="120" w:line="340"/>
        <w:jc w:val="both"/>
      </w:pPr>
      <w:r>
        <w:rPr>
          <w:rFonts w:ascii="Times New Roman" w:cs="Traditional Arabic" w:hAnsi="Times New Roman"/>
          <w:b/>
          <w:bCs/>
          <w:sz w:val="28"/>
          <w:szCs w:val="28"/>
          <w:rtl/>
        </w:rPr>
        <w:t xml:space="preserve">آفاق المراجعة القادمة</w:t>
      </w:r>
      <w:r>
        <w:rPr>
          <w:rFonts w:ascii="Times New Roman" w:cs="Traditional Arabic" w:hAnsi="Times New Roman"/>
          <w:sz w:val="28"/>
          <w:szCs w:val="28"/>
          <w:rtl/>
        </w:rPr>
        <w:t xml:space="preserve">: جرت عادة الغرفة على مراجعة القواعد كل عشر سنوات تقريبًا، وقد بدأت أعمال التحضير لإصدار جديد يُشار إليه في الأدبيات المهنية بـ «Incoterms 2030»، دون أن يُنشر، إلى حدود سنة 2026، أي نص نهائي أو موعد رسمي للإصدار. ويُتوقع أن تتناول المراجعة القادمة قضايا مثل </w:t>
      </w:r>
      <w:r>
        <w:rPr>
          <w:rFonts w:ascii="Times New Roman" w:cs="Traditional Arabic" w:hAnsi="Times New Roman"/>
          <w:b/>
          <w:bCs/>
          <w:sz w:val="28"/>
          <w:szCs w:val="28"/>
          <w:rtl/>
        </w:rPr>
        <w:t xml:space="preserve">رقمنة المستندات التجارية</w:t>
      </w:r>
      <w:r>
        <w:rPr>
          <w:rFonts w:ascii="Times New Roman" w:cs="Traditional Arabic" w:hAnsi="Times New Roman"/>
          <w:sz w:val="28"/>
          <w:szCs w:val="28"/>
          <w:rtl/>
        </w:rPr>
        <w:t xml:space="preserve">، ولاسيما بعد تبني عدد من الدول القانون النموذجي للأونسيترال بشأن السجلات الإلكترونية القابلة للتحويل (2017)، ومتطلبات </w:t>
      </w:r>
      <w:r>
        <w:rPr>
          <w:rFonts w:ascii="Times New Roman" w:cs="Traditional Arabic" w:hAnsi="Times New Roman"/>
          <w:b/>
          <w:bCs/>
          <w:sz w:val="28"/>
          <w:szCs w:val="28"/>
          <w:rtl/>
        </w:rPr>
        <w:t xml:space="preserve">الاستدامة</w:t>
      </w:r>
      <w:r>
        <w:rPr>
          <w:rFonts w:ascii="Times New Roman" w:cs="Traditional Arabic" w:hAnsi="Times New Roman"/>
          <w:sz w:val="28"/>
          <w:szCs w:val="28"/>
          <w:rtl/>
        </w:rPr>
        <w:t xml:space="preserve"> والشفافية في سلاسل الإمداد، والعقوبات الاقتصادية وقيود التصدير. ويبقى إصدار 2020 هو المرجع الساري حتى صدور إصدار جديد، مع التذكير بأن الإصدارات السابقة لا تُلغى بصدور الجديد، بل يبقى للأطراف حرية اختيار أي منها بالنص عليه صراحة.</w:t>
      </w:r>
    </w:p>
    <w:p>
      <w:pPr>
        <w:bidi/>
        <w:spacing w:after="120" w:line="340"/>
        <w:jc w:val="both"/>
      </w:pPr>
      <w:r>
        <w:rPr>
          <w:rFonts w:ascii="Times New Roman" w:cs="Traditional Arabic" w:hAnsi="Times New Roman"/>
          <w:sz w:val="28"/>
          <w:szCs w:val="28"/>
          <w:rtl/>
        </w:rPr>
        <w:t xml:space="preserve">ويتضح من هذا المسار أن الإنكوتيرمز ليست نصًا جامدًا، بل </w:t>
      </w:r>
      <w:r>
        <w:rPr>
          <w:rFonts w:ascii="Times New Roman" w:cs="Traditional Arabic" w:hAnsi="Times New Roman"/>
          <w:b/>
          <w:bCs/>
          <w:sz w:val="28"/>
          <w:szCs w:val="28"/>
          <w:rtl/>
        </w:rPr>
        <w:t xml:space="preserve">كيان حي</w:t>
      </w:r>
      <w:r>
        <w:rPr>
          <w:rFonts w:ascii="Times New Roman" w:cs="Traditional Arabic" w:hAnsi="Times New Roman"/>
          <w:sz w:val="28"/>
          <w:szCs w:val="28"/>
          <w:rtl/>
        </w:rPr>
        <w:t xml:space="preserve"> يتطور بتطور الممارسة، وهو ما يفسر نجاحها، لكنه يفسر أيضًا جانبًا من الإشكاليات المرتبطة بتعدد الإصدارات وتعايشها في الممارسة.</w:t>
      </w:r>
    </w:p>
    <w:p>
      <w:r>
        <w:br w:type="page"/>
      </w:r>
    </w:p>
    <w:p>
      <w:pPr>
        <w:pStyle w:val="Heading1"/>
        <w:bidi/>
        <w:spacing w:after="160" w:before="360"/>
        <w:jc w:val="center"/>
      </w:pPr>
      <w:r>
        <w:rPr>
          <w:rFonts w:ascii="Times New Roman" w:cs="Traditional Arabic" w:hAnsi="Times New Roman"/>
          <w:b/>
          <w:bCs/>
          <w:color w:val="1F3864"/>
          <w:sz w:val="34"/>
          <w:szCs w:val="34"/>
          <w:rtl/>
        </w:rPr>
        <w:t xml:space="preserve">المبحث الثاني: تطبيقات قواعد الإنكوتيرمز في المعاملات التجارية الدولية</w:t>
      </w:r>
    </w:p>
    <w:p>
      <w:pPr>
        <w:bidi/>
        <w:spacing w:after="120" w:line="340"/>
        <w:jc w:val="both"/>
      </w:pPr>
      <w:r>
        <w:rPr>
          <w:rFonts w:ascii="Times New Roman" w:cs="Traditional Arabic" w:hAnsi="Times New Roman"/>
          <w:sz w:val="28"/>
          <w:szCs w:val="28"/>
          <w:rtl/>
        </w:rPr>
        <w:t xml:space="preserve">إذا كان المبحث الأول قد كشف عن ماهية القواعد وجذورها، فإن قيمتها الحقيقية لا تتجلى إلا في تطبيقها العملي. ذلك أن الإنكوتيرمز ليست نصًا نظريًا، بل أداة عملية يستعملها التجار ووكلاء الشحن والبنوك وشركات التأمين وإدارات الجمارك يوميًا. لذلك نتناول في المطلب الأول البنية التقنية للقواعد ومنطق توزيع الالتزامات، ونخصص المطلب الثاني لموقعها في شبكة العقود المرتبطة بالبيع الدولي.</w:t>
      </w:r>
    </w:p>
    <w:p>
      <w:pPr>
        <w:pStyle w:val="Heading2"/>
        <w:bidi/>
        <w:spacing w:after="160" w:before="240"/>
        <w:jc w:val="right"/>
      </w:pPr>
      <w:r>
        <w:rPr>
          <w:rFonts w:ascii="Times New Roman" w:cs="Traditional Arabic" w:hAnsi="Times New Roman"/>
          <w:b/>
          <w:bCs/>
          <w:color w:val="2E5496"/>
          <w:sz w:val="30"/>
          <w:szCs w:val="30"/>
          <w:rtl/>
        </w:rPr>
        <w:t xml:space="preserve">المطلب الأول: البنية التقنية للقواعد وتوزيع الالتزامات</w:t>
      </w:r>
    </w:p>
    <w:p>
      <w:pPr>
        <w:pStyle w:val="Heading3"/>
        <w:bidi/>
        <w:spacing w:after="160" w:before="240"/>
        <w:jc w:val="right"/>
      </w:pPr>
      <w:r>
        <w:rPr>
          <w:rFonts w:ascii="Times New Roman" w:cs="Traditional Arabic" w:hAnsi="Times New Roman"/>
          <w:b/>
          <w:bCs/>
          <w:color w:val="2E5496"/>
          <w:sz w:val="28"/>
          <w:szCs w:val="28"/>
          <w:rtl/>
        </w:rPr>
        <w:t xml:space="preserve">الفرع الأول: تصنيف القواعد ومنطق ترتيبها</w:t>
      </w:r>
    </w:p>
    <w:p>
      <w:pPr>
        <w:bidi/>
        <w:spacing w:after="120" w:line="340"/>
        <w:jc w:val="both"/>
      </w:pPr>
      <w:r>
        <w:rPr>
          <w:rFonts w:ascii="Times New Roman" w:cs="Traditional Arabic" w:hAnsi="Times New Roman"/>
          <w:sz w:val="28"/>
          <w:szCs w:val="28"/>
          <w:rtl/>
        </w:rPr>
        <w:t xml:space="preserve">تعتمد قواعد إنكوتيرمز 2020 تصنيفًا ثنائيًا أساسه </w:t>
      </w:r>
      <w:r>
        <w:rPr>
          <w:rFonts w:ascii="Times New Roman" w:cs="Traditional Arabic" w:hAnsi="Times New Roman"/>
          <w:b/>
          <w:bCs/>
          <w:sz w:val="28"/>
          <w:szCs w:val="28"/>
          <w:rtl/>
        </w:rPr>
        <w:t xml:space="preserve">وسيلة النقل</w:t>
      </w:r>
      <w:r>
        <w:rPr>
          <w:rFonts w:ascii="Times New Roman" w:cs="Traditional Arabic" w:hAnsi="Times New Roman"/>
          <w:sz w:val="28"/>
          <w:szCs w:val="28"/>
          <w:rtl/>
        </w:rPr>
        <w:t xml:space="preserve">:</w:t>
      </w:r>
    </w:p>
    <w:p>
      <w:pPr>
        <w:bidi/>
        <w:spacing w:after="120" w:line="340"/>
        <w:jc w:val="both"/>
      </w:pPr>
      <w:r>
        <w:rPr>
          <w:rFonts w:ascii="Times New Roman" w:cs="Traditional Arabic" w:hAnsi="Times New Roman"/>
          <w:b/>
          <w:bCs/>
          <w:sz w:val="28"/>
          <w:szCs w:val="28"/>
          <w:rtl/>
        </w:rPr>
        <w:t xml:space="preserve">الفئة الأولى: القواعد الصالحة لأي وسيلة أو وسائل نقل</w:t>
      </w:r>
      <w:r>
        <w:rPr>
          <w:rFonts w:ascii="Times New Roman" w:cs="Traditional Arabic" w:hAnsi="Times New Roman"/>
          <w:sz w:val="28"/>
          <w:szCs w:val="28"/>
          <w:rtl/>
        </w:rPr>
        <w:t xml:space="preserve">، وتضم سبع قواعد: EXW (التسليم في المصنع)، وFCA (التسليم إلى الناقل)، وCPT (أجرة النقل مدفوعة إلى)، وCIP (أجرة النقل والتأمين مدفوعان إلى)، وDAP (التسليم في المكان)، وDPU (التسليم في المكان مفرغًا)، وDDP (التسليم مع دفع الرسوم). وتصلح هذه القواعد للنقل البري والجوي والبحري والنقل متعدد الوسائط، بل وللحالات التي لا يوجد فيها نقل دولي أصلًا.</w:t>
      </w:r>
    </w:p>
    <w:p>
      <w:pPr>
        <w:bidi/>
        <w:spacing w:after="120" w:line="340"/>
        <w:jc w:val="both"/>
      </w:pPr>
      <w:r>
        <w:rPr>
          <w:rFonts w:ascii="Times New Roman" w:cs="Traditional Arabic" w:hAnsi="Times New Roman"/>
          <w:b/>
          <w:bCs/>
          <w:sz w:val="28"/>
          <w:szCs w:val="28"/>
          <w:rtl/>
        </w:rPr>
        <w:t xml:space="preserve">الفئة الثانية: القواعد الخاصة بالنقل البحري والنقل بالممرات المائية الداخلية</w:t>
      </w:r>
      <w:r>
        <w:rPr>
          <w:rFonts w:ascii="Times New Roman" w:cs="Traditional Arabic" w:hAnsi="Times New Roman"/>
          <w:sz w:val="28"/>
          <w:szCs w:val="28"/>
          <w:rtl/>
        </w:rPr>
        <w:t xml:space="preserve">، وتضم أربع قواعد: FAS (التسليم بجانب السفينة)، وFOB (التسليم على ظهر السفينة)، وCFR (التكلفة وأجرة الشحن)، وCIF (التكلفة والتأمين وأجرة الشحن). وتتميز هذه القواعد بأن نقطة التسليم فيها وثيقة الصلة بالسفينة، سواء بجانبها أو على ظهرها.</w:t>
      </w:r>
    </w:p>
    <w:p>
      <w:pPr>
        <w:bidi/>
        <w:spacing w:after="120" w:line="340"/>
        <w:jc w:val="both"/>
      </w:pPr>
      <w:r>
        <w:rPr>
          <w:rFonts w:ascii="Times New Roman" w:cs="Traditional Arabic" w:hAnsi="Times New Roman"/>
          <w:sz w:val="28"/>
          <w:szCs w:val="28"/>
          <w:rtl/>
        </w:rPr>
        <w:t xml:space="preserve">ويتقاطع هذا التصنيف مع تصنيف آخر تقليدي، اعتمدته مراجعة 1990 ولا يزال مفيدًا من الناحية التحليلية، يقوم على </w:t>
      </w:r>
      <w:r>
        <w:rPr>
          <w:rFonts w:ascii="Times New Roman" w:cs="Traditional Arabic" w:hAnsi="Times New Roman"/>
          <w:b/>
          <w:bCs/>
          <w:sz w:val="28"/>
          <w:szCs w:val="28"/>
          <w:rtl/>
        </w:rPr>
        <w:t xml:space="preserve">الحروف الأولى</w:t>
      </w:r>
      <w:r>
        <w:rPr>
          <w:rFonts w:ascii="Times New Roman" w:cs="Traditional Arabic" w:hAnsi="Times New Roman"/>
          <w:sz w:val="28"/>
          <w:szCs w:val="28"/>
          <w:rtl/>
        </w:rPr>
        <w:t xml:space="preserve"> للمصطلحات:</w:t>
      </w:r>
    </w:p>
    <w:p>
      <w:pPr>
        <w:pStyle w:val="ListParagraph"/>
        <w:numPr>
          <w:ilvl w:val="0"/>
          <w:numId w:val="2"/>
        </w:numPr>
        <w:bidi/>
        <w:spacing w:after="80" w:line="320"/>
        <w:jc w:val="right"/>
      </w:pPr>
      <w:r>
        <w:rPr>
          <w:rFonts w:ascii="Times New Roman" w:cs="Traditional Arabic" w:hAnsi="Times New Roman"/>
          <w:b/>
          <w:bCs/>
          <w:sz w:val="28"/>
          <w:szCs w:val="28"/>
          <w:rtl/>
        </w:rPr>
        <w:t xml:space="preserve">المجموعة E (المغادرة)</w:t>
      </w:r>
      <w:r>
        <w:rPr>
          <w:rFonts w:ascii="Times New Roman" w:cs="Traditional Arabic" w:hAnsi="Times New Roman"/>
          <w:sz w:val="28"/>
          <w:szCs w:val="28"/>
          <w:rtl/>
        </w:rPr>
        <w:t xml:space="preserve">: EXW، حيث يضع البائع البضاعة تحت تصرف المشتري في مقره، وهي تمثل الحد الأدنى من التزامات البائع.</w:t>
      </w:r>
    </w:p>
    <w:p>
      <w:pPr>
        <w:pStyle w:val="ListParagraph"/>
        <w:numPr>
          <w:ilvl w:val="0"/>
          <w:numId w:val="2"/>
        </w:numPr>
        <w:bidi/>
        <w:spacing w:after="80" w:line="320"/>
        <w:jc w:val="right"/>
      </w:pPr>
      <w:r>
        <w:rPr>
          <w:rFonts w:ascii="Times New Roman" w:cs="Traditional Arabic" w:hAnsi="Times New Roman"/>
          <w:b/>
          <w:bCs/>
          <w:sz w:val="28"/>
          <w:szCs w:val="28"/>
          <w:rtl/>
        </w:rPr>
        <w:t xml:space="preserve">المجموعة F (النقل الرئيسي غير مدفوع)</w:t>
      </w:r>
      <w:r>
        <w:rPr>
          <w:rFonts w:ascii="Times New Roman" w:cs="Traditional Arabic" w:hAnsi="Times New Roman"/>
          <w:sz w:val="28"/>
          <w:szCs w:val="28"/>
          <w:rtl/>
        </w:rPr>
        <w:t xml:space="preserve">: FCA وFAS وFOB، حيث يسلم البائع البضاعة إلى ناقل يعينه المشتري ويتعاقد معه، فتنتقل المخاطر والتكاليف في بلد التصدير.</w:t>
      </w:r>
    </w:p>
    <w:p>
      <w:pPr>
        <w:pStyle w:val="ListParagraph"/>
        <w:numPr>
          <w:ilvl w:val="0"/>
          <w:numId w:val="2"/>
        </w:numPr>
        <w:bidi/>
        <w:spacing w:after="80" w:line="320"/>
        <w:jc w:val="right"/>
      </w:pPr>
      <w:r>
        <w:rPr>
          <w:rFonts w:ascii="Times New Roman" w:cs="Traditional Arabic" w:hAnsi="Times New Roman"/>
          <w:b/>
          <w:bCs/>
          <w:sz w:val="28"/>
          <w:szCs w:val="28"/>
          <w:rtl/>
        </w:rPr>
        <w:t xml:space="preserve">المجموعة C (النقل الرئيسي مدفوع)</w:t>
      </w:r>
      <w:r>
        <w:rPr>
          <w:rFonts w:ascii="Times New Roman" w:cs="Traditional Arabic" w:hAnsi="Times New Roman"/>
          <w:sz w:val="28"/>
          <w:szCs w:val="28"/>
          <w:rtl/>
        </w:rPr>
        <w:t xml:space="preserve">: CPT وCIP وCFR وCIF، وهي قواعد </w:t>
      </w:r>
      <w:r>
        <w:rPr>
          <w:rFonts w:ascii="Times New Roman" w:cs="Traditional Arabic" w:hAnsi="Times New Roman"/>
          <w:b/>
          <w:bCs/>
          <w:sz w:val="28"/>
          <w:szCs w:val="28"/>
          <w:rtl/>
        </w:rPr>
        <w:t xml:space="preserve">ذات نقطتين حاسمتين</w:t>
      </w:r>
      <w:r>
        <w:rPr>
          <w:rFonts w:ascii="Times New Roman" w:cs="Traditional Arabic" w:hAnsi="Times New Roman"/>
          <w:sz w:val="28"/>
          <w:szCs w:val="28"/>
          <w:rtl/>
        </w:rPr>
        <w:t xml:space="preserve">: نقطة انتقال المخاطر في بلد التصدير عند التسليم للناقل أو على ظهر السفينة، ونقطة انتهاء التزام البائع بالتكاليف في بلد الوصول. وهذه الازدواجية هي مصدر كثير من سوء الفهم لدى المتعاملين.</w:t>
      </w:r>
    </w:p>
    <w:p>
      <w:pPr>
        <w:pStyle w:val="ListParagraph"/>
        <w:numPr>
          <w:ilvl w:val="0"/>
          <w:numId w:val="2"/>
        </w:numPr>
        <w:bidi/>
        <w:spacing w:after="80" w:line="320"/>
        <w:jc w:val="right"/>
      </w:pPr>
      <w:r>
        <w:rPr>
          <w:rFonts w:ascii="Times New Roman" w:cs="Traditional Arabic" w:hAnsi="Times New Roman"/>
          <w:b/>
          <w:bCs/>
          <w:sz w:val="28"/>
          <w:szCs w:val="28"/>
          <w:rtl/>
        </w:rPr>
        <w:t xml:space="preserve">المجموعة D (الوصول)</w:t>
      </w:r>
      <w:r>
        <w:rPr>
          <w:rFonts w:ascii="Times New Roman" w:cs="Traditional Arabic" w:hAnsi="Times New Roman"/>
          <w:sz w:val="28"/>
          <w:szCs w:val="28"/>
          <w:rtl/>
        </w:rPr>
        <w:t xml:space="preserve">: DAP وDPU وDDP، حيث يتحمل البائع المخاطر والتكاليف حتى وصول البضاعة إلى مكان الوجهة، وتمثل DDP الحد الأقصى من التزامات البائع.</w:t>
      </w:r>
    </w:p>
    <w:p>
      <w:pPr>
        <w:bidi/>
        <w:spacing w:after="120" w:line="340"/>
        <w:jc w:val="both"/>
      </w:pPr>
      <w:r>
        <w:rPr>
          <w:rFonts w:ascii="Times New Roman" w:cs="Traditional Arabic" w:hAnsi="Times New Roman"/>
          <w:sz w:val="28"/>
          <w:szCs w:val="28"/>
          <w:rtl/>
        </w:rPr>
        <w:t xml:space="preserve">ويكشف هذا الترتيب عن </w:t>
      </w:r>
      <w:r>
        <w:rPr>
          <w:rFonts w:ascii="Times New Roman" w:cs="Traditional Arabic" w:hAnsi="Times New Roman"/>
          <w:b/>
          <w:bCs/>
          <w:sz w:val="28"/>
          <w:szCs w:val="28"/>
          <w:rtl/>
        </w:rPr>
        <w:t xml:space="preserve">منطق تدرجي</w:t>
      </w:r>
      <w:r>
        <w:rPr>
          <w:rFonts w:ascii="Times New Roman" w:cs="Traditional Arabic" w:hAnsi="Times New Roman"/>
          <w:sz w:val="28"/>
          <w:szCs w:val="28"/>
          <w:rtl/>
        </w:rPr>
        <w:t xml:space="preserve">: فكلما انتقلنا من E إلى D، تزايدت التزامات البائع وتناقصت التزامات المشتري. ويتيح هذا التدرج للمتعاقدين اختيار القاعدة التي تعكس توازن قوتهم التفاوضية وقدرتهم العملية على تنظيم النقل والتأمين والإجراءات الجمركية.</w:t>
      </w:r>
    </w:p>
    <w:p>
      <w:pPr>
        <w:bidi/>
        <w:spacing w:after="120" w:line="340"/>
        <w:jc w:val="both"/>
      </w:pPr>
      <w:r>
        <w:rPr>
          <w:rFonts w:ascii="Times New Roman" w:cs="Traditional Arabic" w:hAnsi="Times New Roman"/>
          <w:sz w:val="28"/>
          <w:szCs w:val="28"/>
          <w:rtl/>
        </w:rPr>
        <w:t xml:space="preserve">ومن الناحية القانونية، يمكن تقريب هذا التصنيف من التقسيم التقليدي في الفقه العربي للبيوع البحرية إلى </w:t>
      </w:r>
      <w:r>
        <w:rPr>
          <w:rFonts w:ascii="Times New Roman" w:cs="Traditional Arabic" w:hAnsi="Times New Roman"/>
          <w:b/>
          <w:bCs/>
          <w:sz w:val="28"/>
          <w:szCs w:val="28"/>
          <w:rtl/>
        </w:rPr>
        <w:t xml:space="preserve">بيوع القيام</w:t>
      </w:r>
      <w:r>
        <w:rPr>
          <w:rFonts w:ascii="Times New Roman" w:cs="Traditional Arabic" w:hAnsi="Times New Roman"/>
          <w:sz w:val="28"/>
          <w:szCs w:val="28"/>
          <w:rtl/>
        </w:rPr>
        <w:t xml:space="preserve"> (أي البيوع التي يتم فيها التسليم في ميناء الشحن، كالبيع فوب والبيع سيف) و</w:t>
      </w:r>
      <w:r>
        <w:rPr>
          <w:rFonts w:ascii="Times New Roman" w:cs="Traditional Arabic" w:hAnsi="Times New Roman"/>
          <w:b/>
          <w:bCs/>
          <w:sz w:val="28"/>
          <w:szCs w:val="28"/>
          <w:rtl/>
        </w:rPr>
        <w:t xml:space="preserve">بيوع الوصول</w:t>
      </w:r>
      <w:r>
        <w:rPr>
          <w:rFonts w:ascii="Times New Roman" w:cs="Traditional Arabic" w:hAnsi="Times New Roman"/>
          <w:sz w:val="28"/>
          <w:szCs w:val="28"/>
          <w:rtl/>
        </w:rPr>
        <w:t xml:space="preserve"> (التي لا يتم فيها التسليم إلا بوصول البضاعة إلى ميناء الوصول). وقد تبنت بعض التشريعات العربية هذا التقسيم صراحة، كقانون التجارة الكويتي رقم 68 لسنة 1980 الذي نظم البيع سيف والبيع فوب، وجعل العقد الذي يحمّل البائع تبعة الهلاك بعد الشحن، أو يعلق تنفيذه على وصول السفينة سالمة، </w:t>
      </w:r>
      <w:r>
        <w:rPr>
          <w:rFonts w:ascii="Times New Roman" w:cs="Traditional Arabic" w:hAnsi="Times New Roman"/>
          <w:b/>
          <w:bCs/>
          <w:sz w:val="28"/>
          <w:szCs w:val="28"/>
          <w:rtl/>
        </w:rPr>
        <w:t xml:space="preserve">بيعًا بشرط التسليم في مكان الوصول</w:t>
      </w:r>
      <w:r>
        <w:rPr>
          <w:rFonts w:ascii="Times New Roman" w:cs="Traditional Arabic" w:hAnsi="Times New Roman"/>
          <w:sz w:val="28"/>
          <w:szCs w:val="28"/>
          <w:rtl/>
        </w:rPr>
        <w:t xml:space="preserve"> لا بيعًا سيف أو فوب. ويؤكد هذا الحكم التشريعي أن جوهر بيوع القيام يكمن في </w:t>
      </w:r>
      <w:r>
        <w:rPr>
          <w:rFonts w:ascii="Times New Roman" w:cs="Traditional Arabic" w:hAnsi="Times New Roman"/>
          <w:b/>
          <w:bCs/>
          <w:sz w:val="28"/>
          <w:szCs w:val="28"/>
          <w:rtl/>
        </w:rPr>
        <w:t xml:space="preserve">انتقال تبعة الهلاك عند الشحن</w:t>
      </w:r>
      <w:r>
        <w:rPr>
          <w:rFonts w:ascii="Times New Roman" w:cs="Traditional Arabic" w:hAnsi="Times New Roman"/>
          <w:sz w:val="28"/>
          <w:szCs w:val="28"/>
          <w:rtl/>
        </w:rPr>
        <w:t xml:space="preserve">، وهو ذات المنطق الذي تكرسه الإنكوتيرمز.</w:t>
      </w:r>
    </w:p>
    <w:p>
      <w:pPr>
        <w:pStyle w:val="Heading3"/>
        <w:bidi/>
        <w:spacing w:after="160" w:before="240"/>
        <w:jc w:val="right"/>
      </w:pPr>
      <w:r>
        <w:rPr>
          <w:rFonts w:ascii="Times New Roman" w:cs="Traditional Arabic" w:hAnsi="Times New Roman"/>
          <w:b/>
          <w:bCs/>
          <w:color w:val="2E5496"/>
          <w:sz w:val="28"/>
          <w:szCs w:val="28"/>
          <w:rtl/>
        </w:rPr>
        <w:t xml:space="preserve">الفرع الثاني: الالتزامات المتقابلة ومعيار التسليم وانتقال تبعة الهلاك</w:t>
      </w:r>
    </w:p>
    <w:p>
      <w:pPr>
        <w:bidi/>
        <w:spacing w:after="120" w:line="340"/>
        <w:jc w:val="both"/>
      </w:pPr>
      <w:r>
        <w:rPr>
          <w:rFonts w:ascii="Times New Roman" w:cs="Traditional Arabic" w:hAnsi="Times New Roman"/>
          <w:sz w:val="28"/>
          <w:szCs w:val="28"/>
          <w:rtl/>
        </w:rPr>
        <w:t xml:space="preserve">تقوم كل قاعدة في إصدار 2020 على عشرة التزامات للبائع (A) تقابلها عشرة التزامات للمشتري (B)، مرتبة على النحو الآتي: (1) الالتزامات العامة، (2) التسليم / استلام التسليم، (3) انتقال المخاطر، (4) النقل، (5) التأمين، (6) مستند التسليم/النقل، (7) التخليص للتصدير/الاستيراد، (8) الفحص/التغليف/وضع العلامات، (9) توزيع التكاليف، (10) الإخطارات. ويعكس هذا الترتيب، الذي أعادت مراجعة 2020 صياغته بتقديم التسليم وانتقال المخاطر إلى المراتب الأولى، الأهمية المحورية لهاتين المسألتين.</w:t>
      </w:r>
    </w:p>
    <w:p>
      <w:pPr>
        <w:bidi/>
        <w:spacing w:after="120" w:line="340"/>
        <w:jc w:val="both"/>
      </w:pPr>
      <w:r>
        <w:rPr>
          <w:rFonts w:ascii="Times New Roman" w:cs="Traditional Arabic" w:hAnsi="Times New Roman"/>
          <w:b/>
          <w:bCs/>
          <w:sz w:val="28"/>
          <w:szCs w:val="28"/>
          <w:rtl/>
        </w:rPr>
        <w:t xml:space="preserve">أولًا: مفهوم التسليم في الإنكوتيرمز</w:t>
      </w:r>
    </w:p>
    <w:p>
      <w:pPr>
        <w:bidi/>
        <w:spacing w:after="120" w:line="340"/>
        <w:jc w:val="both"/>
      </w:pPr>
      <w:r>
        <w:rPr>
          <w:rFonts w:ascii="Times New Roman" w:cs="Traditional Arabic" w:hAnsi="Times New Roman"/>
          <w:sz w:val="28"/>
          <w:szCs w:val="28"/>
          <w:rtl/>
        </w:rPr>
        <w:t xml:space="preserve">التسليم في الإنكوتيرمز مفهوم </w:t>
      </w:r>
      <w:r>
        <w:rPr>
          <w:rFonts w:ascii="Times New Roman" w:cs="Traditional Arabic" w:hAnsi="Times New Roman"/>
          <w:b/>
          <w:bCs/>
          <w:sz w:val="28"/>
          <w:szCs w:val="28"/>
          <w:rtl/>
        </w:rPr>
        <w:t xml:space="preserve">تقني</w:t>
      </w:r>
      <w:r>
        <w:rPr>
          <w:rFonts w:ascii="Times New Roman" w:cs="Traditional Arabic" w:hAnsi="Times New Roman"/>
          <w:sz w:val="28"/>
          <w:szCs w:val="28"/>
          <w:rtl/>
        </w:rPr>
        <w:t xml:space="preserve"> يختلف عن مفهومه في بعض القوانين المدنية. فهو لا يعني بالضرورة انتقال الحيازة المادية إلى المشتري، بل يعني النقطة التي ينفذ فيها البائع التزامه وتنتقل عندها المخاطر. ففي CIF مثلًا، يُعدّ البائع قد سلّم البضاعة بمجرد وضعها على ظهر السفينة في ميناء الشحن، رغم أن المشتري لن يتسلمها ماديًا إلا بعد أسابيع في ميناء الوصول. ويتفق هذا المفهوم مع ما تقضي به </w:t>
      </w:r>
      <w:r>
        <w:rPr>
          <w:rFonts w:ascii="Times New Roman" w:cs="Traditional Arabic" w:hAnsi="Times New Roman"/>
          <w:b/>
          <w:bCs/>
          <w:sz w:val="28"/>
          <w:szCs w:val="28"/>
          <w:rtl/>
        </w:rPr>
        <w:t xml:space="preserve">المادة 31 (أ) من اتفاقية فيينا</w:t>
      </w:r>
      <w:r>
        <w:rPr>
          <w:rFonts w:ascii="Times New Roman" w:cs="Traditional Arabic" w:hAnsi="Times New Roman"/>
          <w:sz w:val="28"/>
          <w:szCs w:val="28"/>
          <w:rtl/>
        </w:rPr>
        <w:t xml:space="preserve">، التي تجعل التزام البائع بالتسليم، إذا تضمن العقد نقل البضاعة، متمثلًا في تسليمها إلى الناقل الأول لإيصالها إلى المشتري.</w:t>
      </w:r>
    </w:p>
    <w:p>
      <w:pPr>
        <w:bidi/>
        <w:spacing w:after="120" w:line="340"/>
        <w:jc w:val="both"/>
      </w:pPr>
      <w:r>
        <w:rPr>
          <w:rFonts w:ascii="Times New Roman" w:cs="Traditional Arabic" w:hAnsi="Times New Roman"/>
          <w:sz w:val="28"/>
          <w:szCs w:val="28"/>
          <w:rtl/>
        </w:rPr>
        <w:t xml:space="preserve">وتميز القواعد بين طريقتين في التسليم: </w:t>
      </w:r>
      <w:r>
        <w:rPr>
          <w:rFonts w:ascii="Times New Roman" w:cs="Traditional Arabic" w:hAnsi="Times New Roman"/>
          <w:b/>
          <w:bCs/>
          <w:sz w:val="28"/>
          <w:szCs w:val="28"/>
          <w:rtl/>
        </w:rPr>
        <w:t xml:space="preserve">التسليم المادي</w:t>
      </w:r>
      <w:r>
        <w:rPr>
          <w:rFonts w:ascii="Times New Roman" w:cs="Traditional Arabic" w:hAnsi="Times New Roman"/>
          <w:sz w:val="28"/>
          <w:szCs w:val="28"/>
          <w:rtl/>
        </w:rPr>
        <w:t xml:space="preserve"> بوضع البضاعة في المكان المتفق عليه، و</w:t>
      </w:r>
      <w:r>
        <w:rPr>
          <w:rFonts w:ascii="Times New Roman" w:cs="Traditional Arabic" w:hAnsi="Times New Roman"/>
          <w:b/>
          <w:bCs/>
          <w:sz w:val="28"/>
          <w:szCs w:val="28"/>
          <w:rtl/>
        </w:rPr>
        <w:t xml:space="preserve">تدبير البضاعة المسلمة على هذا النحو</w:t>
      </w:r>
      <w:r>
        <w:rPr>
          <w:rFonts w:ascii="Times New Roman" w:cs="Traditional Arabic" w:hAnsi="Times New Roman"/>
          <w:sz w:val="28"/>
          <w:szCs w:val="28"/>
          <w:rtl/>
        </w:rPr>
        <w:t xml:space="preserve">، وهي الصيغة التي أُدخلت سنة 2010 لاستيعاب </w:t>
      </w:r>
      <w:r>
        <w:rPr>
          <w:rFonts w:ascii="Times New Roman" w:cs="Traditional Arabic" w:hAnsi="Times New Roman"/>
          <w:b/>
          <w:bCs/>
          <w:sz w:val="28"/>
          <w:szCs w:val="28"/>
          <w:rtl/>
        </w:rPr>
        <w:t xml:space="preserve">البيوع المتتالية</w:t>
      </w:r>
      <w:r>
        <w:rPr>
          <w:rFonts w:ascii="Times New Roman" w:cs="Traditional Arabic" w:hAnsi="Times New Roman"/>
          <w:sz w:val="28"/>
          <w:szCs w:val="28"/>
          <w:rtl/>
        </w:rPr>
        <w:t xml:space="preserve"> في تجارة السلع الأولية؛ إذ يبيع التاجر الوسيط في السلسلة بضاعة سبق شحنها من قبل البائع الأول، فلا يكون قادرًا على «الشحن» بالمعنى المادي، وإنما يلتزم بتدبير بضاعة مشحونة فعلًا.</w:t>
      </w:r>
    </w:p>
    <w:p>
      <w:pPr>
        <w:bidi/>
        <w:spacing w:after="120" w:line="340"/>
        <w:jc w:val="both"/>
      </w:pPr>
      <w:r>
        <w:rPr>
          <w:rFonts w:ascii="Times New Roman" w:cs="Traditional Arabic" w:hAnsi="Times New Roman"/>
          <w:b/>
          <w:bCs/>
          <w:sz w:val="28"/>
          <w:szCs w:val="28"/>
          <w:rtl/>
        </w:rPr>
        <w:t xml:space="preserve">ثانيًا: انتقال تبعة الهلاك</w:t>
      </w:r>
    </w:p>
    <w:p>
      <w:pPr>
        <w:bidi/>
        <w:spacing w:after="120" w:line="340"/>
        <w:jc w:val="both"/>
      </w:pPr>
      <w:r>
        <w:rPr>
          <w:rFonts w:ascii="Times New Roman" w:cs="Traditional Arabic" w:hAnsi="Times New Roman"/>
          <w:sz w:val="28"/>
          <w:szCs w:val="28"/>
          <w:rtl/>
        </w:rPr>
        <w:t xml:space="preserve">تقوم القاعدة العامة في الإنكوتيرمز على </w:t>
      </w:r>
      <w:r>
        <w:rPr>
          <w:rFonts w:ascii="Times New Roman" w:cs="Traditional Arabic" w:hAnsi="Times New Roman"/>
          <w:b/>
          <w:bCs/>
          <w:sz w:val="28"/>
          <w:szCs w:val="28"/>
          <w:rtl/>
        </w:rPr>
        <w:t xml:space="preserve">تلازم التسليم وانتقال المخاطر</w:t>
      </w:r>
      <w:r>
        <w:rPr>
          <w:rFonts w:ascii="Times New Roman" w:cs="Traditional Arabic" w:hAnsi="Times New Roman"/>
          <w:sz w:val="28"/>
          <w:szCs w:val="28"/>
          <w:rtl/>
        </w:rPr>
        <w:t xml:space="preserve">: فالمخاطر تنتقل إلى المشتري لحظة التسليم وفقًا للبند A2. غير أن هذه القاعدة ترد عليها استثناءات تتعلق بإخلال المشتري بالتزاماته؛ فإذا لم يعين المشتري السفينة في FOB أو لم يخطر البائع بالموعد، أو إذا لم تصل السفينة في الموعد أو لم تستطع استلام البضاعة، فإن المخاطر تنتقل إليه </w:t>
      </w:r>
      <w:r>
        <w:rPr>
          <w:rFonts w:ascii="Times New Roman" w:cs="Traditional Arabic" w:hAnsi="Times New Roman"/>
          <w:b/>
          <w:bCs/>
          <w:sz w:val="28"/>
          <w:szCs w:val="28"/>
          <w:rtl/>
        </w:rPr>
        <w:t xml:space="preserve">قبل التسليم الفعلي</w:t>
      </w:r>
      <w:r>
        <w:rPr>
          <w:rFonts w:ascii="Times New Roman" w:cs="Traditional Arabic" w:hAnsi="Times New Roman"/>
          <w:sz w:val="28"/>
          <w:szCs w:val="28"/>
          <w:rtl/>
        </w:rPr>
        <w:t xml:space="preserve">، من التاريخ المتفق عليه أو من انتهاء المدة المحددة، بشرط أن تكون البضاعة قد </w:t>
      </w:r>
      <w:r>
        <w:rPr>
          <w:rFonts w:ascii="Times New Roman" w:cs="Traditional Arabic" w:hAnsi="Times New Roman"/>
          <w:b/>
          <w:bCs/>
          <w:sz w:val="28"/>
          <w:szCs w:val="28"/>
          <w:rtl/>
        </w:rPr>
        <w:t xml:space="preserve">عُيّنت بوضوح</w:t>
      </w:r>
      <w:r>
        <w:rPr>
          <w:rFonts w:ascii="Times New Roman" w:cs="Traditional Arabic" w:hAnsi="Times New Roman"/>
          <w:sz w:val="28"/>
          <w:szCs w:val="28"/>
          <w:rtl/>
        </w:rPr>
        <w:t xml:space="preserve"> على أنها البضاعة محل العقد. ويعكس هذا الحكم مبدأ عامًا مؤداه أنه لا يجوز للمدين أن يستفيد من خطئه، ويتفق مع </w:t>
      </w:r>
      <w:r>
        <w:rPr>
          <w:rFonts w:ascii="Times New Roman" w:cs="Traditional Arabic" w:hAnsi="Times New Roman"/>
          <w:b/>
          <w:bCs/>
          <w:sz w:val="28"/>
          <w:szCs w:val="28"/>
          <w:rtl/>
        </w:rPr>
        <w:t xml:space="preserve">المادة 69 (1) من اتفاقية فيينا</w:t>
      </w:r>
      <w:r>
        <w:rPr>
          <w:rFonts w:ascii="Times New Roman" w:cs="Traditional Arabic" w:hAnsi="Times New Roman"/>
          <w:sz w:val="28"/>
          <w:szCs w:val="28"/>
          <w:rtl/>
        </w:rPr>
        <w:t xml:space="preserve">.</w:t>
      </w:r>
    </w:p>
    <w:p>
      <w:pPr>
        <w:bidi/>
        <w:spacing w:after="120" w:line="340"/>
        <w:jc w:val="both"/>
      </w:pPr>
      <w:r>
        <w:rPr>
          <w:rFonts w:ascii="Times New Roman" w:cs="Traditional Arabic" w:hAnsi="Times New Roman"/>
          <w:sz w:val="28"/>
          <w:szCs w:val="28"/>
          <w:rtl/>
        </w:rPr>
        <w:t xml:space="preserve">وقد أنهت مراجعة 2010، كما سبق، الجدل المتعلق بمعيار «حاجز السفينة»، الذي كان يثير تساؤلات عملية غريبة: فإذا سقطت البضاعة أثناء رفعها بالرافعة، هل تكون قد اجتازت الحاجز فتقع التبعة على المشتري، أم لم تجتزه فتقع على البائع؟ وقد انتقد القضاء الإنجليزي هذا المعيار منذ خمسينيات القرن الماضي، واعتبره معيارًا مصطنعًا لا يتلاءم مع الواقع العملي. وجاء معيار «على ظهر السفينة» أكثر وضوحًا واتساقًا مع طبيعة عمليات التحميل.</w:t>
      </w:r>
    </w:p>
    <w:p>
      <w:pPr>
        <w:bidi/>
        <w:spacing w:after="120" w:line="340"/>
        <w:jc w:val="both"/>
      </w:pPr>
      <w:r>
        <w:rPr>
          <w:rFonts w:ascii="Times New Roman" w:cs="Traditional Arabic" w:hAnsi="Times New Roman"/>
          <w:b/>
          <w:bCs/>
          <w:sz w:val="28"/>
          <w:szCs w:val="28"/>
          <w:rtl/>
        </w:rPr>
        <w:t xml:space="preserve">ثالثًا: توزيع التكاليف</w:t>
      </w:r>
    </w:p>
    <w:p>
      <w:pPr>
        <w:bidi/>
        <w:spacing w:after="120" w:line="340"/>
        <w:jc w:val="both"/>
      </w:pPr>
      <w:r>
        <w:rPr>
          <w:rFonts w:ascii="Times New Roman" w:cs="Traditional Arabic" w:hAnsi="Times New Roman"/>
          <w:sz w:val="28"/>
          <w:szCs w:val="28"/>
          <w:rtl/>
        </w:rPr>
        <w:t xml:space="preserve">يجمع البند A9/B9 في إصدار 2020 جميع التكاليف التي يتحملها كل طرف، مما يوفر للمتعاملين «قائمة مرجعية» واحدة. والقاعدة العامة أن التكاليف تتبع التسليم: فالبائع يتحمل التكاليف حتى نقطة التسليم، والمشتري بعدها. ويُستثنى من ذلك </w:t>
      </w:r>
      <w:r>
        <w:rPr>
          <w:rFonts w:ascii="Times New Roman" w:cs="Traditional Arabic" w:hAnsi="Times New Roman"/>
          <w:b/>
          <w:bCs/>
          <w:sz w:val="28"/>
          <w:szCs w:val="28"/>
          <w:rtl/>
        </w:rPr>
        <w:t xml:space="preserve">المجموعة C</w:t>
      </w:r>
      <w:r>
        <w:rPr>
          <w:rFonts w:ascii="Times New Roman" w:cs="Traditional Arabic" w:hAnsi="Times New Roman"/>
          <w:sz w:val="28"/>
          <w:szCs w:val="28"/>
          <w:rtl/>
        </w:rPr>
        <w:t xml:space="preserve">، حيث يتحمل البائع أجرة النقل (وقسط التأمين في CIF وCIP) إلى ما بعد نقطة التسليم، دون أن يتحمل مخاطر النقل.</w:t>
      </w:r>
    </w:p>
    <w:p>
      <w:pPr>
        <w:pStyle w:val="Heading2"/>
        <w:bidi/>
        <w:spacing w:after="160" w:before="240"/>
        <w:jc w:val="right"/>
      </w:pPr>
      <w:r>
        <w:rPr>
          <w:rFonts w:ascii="Times New Roman" w:cs="Traditional Arabic" w:hAnsi="Times New Roman"/>
          <w:b/>
          <w:bCs/>
          <w:color w:val="2E5496"/>
          <w:sz w:val="30"/>
          <w:szCs w:val="30"/>
          <w:rtl/>
        </w:rPr>
        <w:t xml:space="preserve">المطلب الثاني: موقع الإنكوتيرمز في شبكة العقود المرتبطة بالبيع الدولي</w:t>
      </w:r>
    </w:p>
    <w:p>
      <w:pPr>
        <w:bidi/>
        <w:spacing w:after="120" w:line="340"/>
        <w:jc w:val="both"/>
      </w:pPr>
      <w:r>
        <w:rPr>
          <w:rFonts w:ascii="Times New Roman" w:cs="Traditional Arabic" w:hAnsi="Times New Roman"/>
          <w:sz w:val="28"/>
          <w:szCs w:val="28"/>
          <w:rtl/>
        </w:rPr>
        <w:t xml:space="preserve">يتميز البيع الدولي بأنه لا ينعقد في عزلة، بل يرتبط بمجموعة من العقود التابعة أو المرتبطة: عقد النقل، وعقد التأمين، وعقد الاعتماد المستندي، فضلًا عن العلاقة بالإدارة الجمركية. وتحتل الإنكوتيرمز موقعًا محوريًا في هذه الشبكة، إذ تحدد أي الطرفين يتعاقد مع الناقل أو المؤمِّن، وأي المستندات يقدم.</w:t>
      </w:r>
    </w:p>
    <w:p>
      <w:pPr>
        <w:pStyle w:val="Heading3"/>
        <w:bidi/>
        <w:spacing w:after="160" w:before="240"/>
        <w:jc w:val="right"/>
      </w:pPr>
      <w:r>
        <w:rPr>
          <w:rFonts w:ascii="Times New Roman" w:cs="Traditional Arabic" w:hAnsi="Times New Roman"/>
          <w:b/>
          <w:bCs/>
          <w:color w:val="2E5496"/>
          <w:sz w:val="28"/>
          <w:szCs w:val="28"/>
          <w:rtl/>
        </w:rPr>
        <w:t xml:space="preserve">الفرع الأول: الإنكوتيرمز وعقدا النقل والتأمين</w:t>
      </w:r>
    </w:p>
    <w:p>
      <w:pPr>
        <w:bidi/>
        <w:spacing w:after="120" w:line="340"/>
        <w:jc w:val="both"/>
      </w:pPr>
      <w:r>
        <w:rPr>
          <w:rFonts w:ascii="Times New Roman" w:cs="Traditional Arabic" w:hAnsi="Times New Roman"/>
          <w:b/>
          <w:bCs/>
          <w:sz w:val="28"/>
          <w:szCs w:val="28"/>
          <w:rtl/>
        </w:rPr>
        <w:t xml:space="preserve">أولًا: العلاقة بعقد النقل</w:t>
      </w:r>
    </w:p>
    <w:p>
      <w:pPr>
        <w:bidi/>
        <w:spacing w:after="120" w:line="340"/>
        <w:jc w:val="both"/>
      </w:pPr>
      <w:r>
        <w:rPr>
          <w:rFonts w:ascii="Times New Roman" w:cs="Traditional Arabic" w:hAnsi="Times New Roman"/>
          <w:sz w:val="28"/>
          <w:szCs w:val="28"/>
          <w:rtl/>
        </w:rPr>
        <w:t xml:space="preserve">تحدد قاعدة الإنكوتيرمز من يلتزم بإبرام عقد النقل الرئيسي: المشتري في المجموعتين E وF، والبائع في المجموعتين C وD. غير أن القواعد لا تحكم عقد النقل ذاته، الذي يخضع لاتفاقيات دولية متخصصة، كقواعد لاهاي (1924) وقواعد لاهاي-فيسبي (1968)، واتفاقية هامبورغ (1978)، واتفاقية روتردام (2008) التي لم تدخل حيز النفاذ بعد، في النقل البحري؛ واتفاقية مونتريال (1999) في النقل الجوي؛ واتفاقية CMR (1956) في النقل البري الدولي للبضائع على الطرق.</w:t>
      </w:r>
    </w:p>
    <w:p>
      <w:pPr>
        <w:bidi/>
        <w:spacing w:after="120" w:line="340"/>
        <w:jc w:val="both"/>
      </w:pPr>
      <w:r>
        <w:rPr>
          <w:rFonts w:ascii="Times New Roman" w:cs="Traditional Arabic" w:hAnsi="Times New Roman"/>
          <w:sz w:val="28"/>
          <w:szCs w:val="28"/>
          <w:rtl/>
        </w:rPr>
        <w:t xml:space="preserve">وتنشأ من هذا الفصل بين العقدين إشكاليات عملية، أبرزها </w:t>
      </w:r>
      <w:r>
        <w:rPr>
          <w:rFonts w:ascii="Times New Roman" w:cs="Traditional Arabic" w:hAnsi="Times New Roman"/>
          <w:b/>
          <w:bCs/>
          <w:sz w:val="28"/>
          <w:szCs w:val="28"/>
          <w:rtl/>
        </w:rPr>
        <w:t xml:space="preserve">عدم التطابق</w:t>
      </w:r>
      <w:r>
        <w:rPr>
          <w:rFonts w:ascii="Times New Roman" w:cs="Traditional Arabic" w:hAnsi="Times New Roman"/>
          <w:sz w:val="28"/>
          <w:szCs w:val="28"/>
          <w:rtl/>
        </w:rPr>
        <w:t xml:space="preserve"> بين ما تفترضه قاعدة الإنكوتيرمز وما يتضمنه عقد النقل. فمثلًا، قد يتضمن عقد النقل في CPT أو CFR تكاليف التفريغ في ميناء الوصول، في حين تجعل القاعدة التفريغ على عاتق المشتري ما لم يشمله عقد النقل. وقد عالجت القواعد هذا الإشكال بالنص على أنه إذا تحمل البائع، بموجب عقد النقل، تكاليف متعلقة بالتفريغ، فلا يحق له استردادها من المشتري ما لم يتفقا على خلاف ذلك.</w:t>
      </w:r>
    </w:p>
    <w:p>
      <w:pPr>
        <w:bidi/>
        <w:spacing w:after="120" w:line="340"/>
        <w:jc w:val="both"/>
      </w:pPr>
      <w:r>
        <w:rPr>
          <w:rFonts w:ascii="Times New Roman" w:cs="Traditional Arabic" w:hAnsi="Times New Roman"/>
          <w:sz w:val="28"/>
          <w:szCs w:val="28"/>
          <w:rtl/>
        </w:rPr>
        <w:t xml:space="preserve">ويثير الأمر كذلك مسألة </w:t>
      </w:r>
      <w:r>
        <w:rPr>
          <w:rFonts w:ascii="Times New Roman" w:cs="Traditional Arabic" w:hAnsi="Times New Roman"/>
          <w:b/>
          <w:bCs/>
          <w:sz w:val="28"/>
          <w:szCs w:val="28"/>
          <w:rtl/>
        </w:rPr>
        <w:t xml:space="preserve">حق الدعوى ضد الناقل</w:t>
      </w:r>
      <w:r>
        <w:rPr>
          <w:rFonts w:ascii="Times New Roman" w:cs="Traditional Arabic" w:hAnsi="Times New Roman"/>
          <w:sz w:val="28"/>
          <w:szCs w:val="28"/>
          <w:rtl/>
        </w:rPr>
        <w:t xml:space="preserve">. فالمشتري في CIF، الذي لم يكن طرفًا في عقد النقل، يحتاج إلى وسيلة قانونية لمقاضاة الناقل إذا تلفت البضاعة. ويتحقق ذلك عادة عن طريق </w:t>
      </w:r>
      <w:r>
        <w:rPr>
          <w:rFonts w:ascii="Times New Roman" w:cs="Traditional Arabic" w:hAnsi="Times New Roman"/>
          <w:b/>
          <w:bCs/>
          <w:sz w:val="28"/>
          <w:szCs w:val="28"/>
          <w:rtl/>
        </w:rPr>
        <w:t xml:space="preserve">بوليصة الشحن</w:t>
      </w:r>
      <w:r>
        <w:rPr>
          <w:rFonts w:ascii="Times New Roman" w:cs="Traditional Arabic" w:hAnsi="Times New Roman"/>
          <w:sz w:val="28"/>
          <w:szCs w:val="28"/>
          <w:rtl/>
        </w:rPr>
        <w:t xml:space="preserve"> بوصفها سندًا قابلًا للتداول يمثل البضاعة ويخول حامله حق المطالبة بها وحق مقاضاة الناقل. ومن هنا أهمية التزام البائع في المجموعة C بتقديم </w:t>
      </w:r>
      <w:r>
        <w:rPr>
          <w:rFonts w:ascii="Times New Roman" w:cs="Traditional Arabic" w:hAnsi="Times New Roman"/>
          <w:b/>
          <w:bCs/>
          <w:sz w:val="28"/>
          <w:szCs w:val="28"/>
          <w:rtl/>
        </w:rPr>
        <w:t xml:space="preserve">مستند النقل المعتاد</w:t>
      </w:r>
      <w:r>
        <w:rPr>
          <w:rFonts w:ascii="Times New Roman" w:cs="Traditional Arabic" w:hAnsi="Times New Roman"/>
          <w:sz w:val="28"/>
          <w:szCs w:val="28"/>
          <w:rtl/>
        </w:rPr>
        <w:t xml:space="preserve"> الذي يمكّن المشتري من المطالبة بالبضاعة ومن التصرف فيها أثناء الطريق ببيعها لمشترٍ لاحق.</w:t>
      </w:r>
    </w:p>
    <w:p>
      <w:pPr>
        <w:bidi/>
        <w:spacing w:after="120" w:line="340"/>
        <w:jc w:val="both"/>
      </w:pPr>
      <w:r>
        <w:rPr>
          <w:rFonts w:ascii="Times New Roman" w:cs="Traditional Arabic" w:hAnsi="Times New Roman"/>
          <w:b/>
          <w:bCs/>
          <w:sz w:val="28"/>
          <w:szCs w:val="28"/>
          <w:rtl/>
        </w:rPr>
        <w:t xml:space="preserve">ثانيًا: العلاقة بعقد التأمين</w:t>
      </w:r>
    </w:p>
    <w:p>
      <w:pPr>
        <w:bidi/>
        <w:spacing w:after="120" w:line="340"/>
        <w:jc w:val="both"/>
      </w:pPr>
      <w:r>
        <w:rPr>
          <w:rFonts w:ascii="Times New Roman" w:cs="Traditional Arabic" w:hAnsi="Times New Roman"/>
          <w:sz w:val="28"/>
          <w:szCs w:val="28"/>
          <w:rtl/>
        </w:rPr>
        <w:t xml:space="preserve">لا تفرض القواعد التزامًا بالتأمين إلا في قاعدتين: </w:t>
      </w:r>
      <w:r>
        <w:rPr>
          <w:rFonts w:ascii="Times New Roman" w:cs="Traditional Arabic" w:hAnsi="Times New Roman"/>
          <w:b/>
          <w:bCs/>
          <w:sz w:val="28"/>
          <w:szCs w:val="28"/>
          <w:rtl/>
        </w:rPr>
        <w:t xml:space="preserve">CIF</w:t>
      </w:r>
      <w:r>
        <w:rPr>
          <w:rFonts w:ascii="Times New Roman" w:cs="Traditional Arabic" w:hAnsi="Times New Roman"/>
          <w:sz w:val="28"/>
          <w:szCs w:val="28"/>
          <w:rtl/>
        </w:rPr>
        <w:t xml:space="preserve"> و</w:t>
      </w:r>
      <w:r>
        <w:rPr>
          <w:rFonts w:ascii="Times New Roman" w:cs="Traditional Arabic" w:hAnsi="Times New Roman"/>
          <w:b/>
          <w:bCs/>
          <w:sz w:val="28"/>
          <w:szCs w:val="28"/>
          <w:rtl/>
        </w:rPr>
        <w:t xml:space="preserve">CIP</w:t>
      </w:r>
      <w:r>
        <w:rPr>
          <w:rFonts w:ascii="Times New Roman" w:cs="Traditional Arabic" w:hAnsi="Times New Roman"/>
          <w:sz w:val="28"/>
          <w:szCs w:val="28"/>
          <w:rtl/>
        </w:rPr>
        <w:t xml:space="preserve">، حيث يلتزم البائع بإبرام عقد تأمين لصالح المشتري. أما في القواعد الأخرى، فالتأمين مسألة مصلحة وليس التزامًا: فمن يتحمل المخاطر في مرحلة معينة تكون له مصلحة في التأمين عليها.</w:t>
      </w:r>
    </w:p>
    <w:p>
      <w:pPr>
        <w:bidi/>
        <w:spacing w:after="120" w:line="340"/>
        <w:jc w:val="both"/>
      </w:pPr>
      <w:r>
        <w:rPr>
          <w:rFonts w:ascii="Times New Roman" w:cs="Traditional Arabic" w:hAnsi="Times New Roman"/>
          <w:sz w:val="28"/>
          <w:szCs w:val="28"/>
          <w:rtl/>
        </w:rPr>
        <w:t xml:space="preserve">وقد ميز إصدار 2020 بين القاعدتين في </w:t>
      </w:r>
      <w:r>
        <w:rPr>
          <w:rFonts w:ascii="Times New Roman" w:cs="Traditional Arabic" w:hAnsi="Times New Roman"/>
          <w:b/>
          <w:bCs/>
          <w:sz w:val="28"/>
          <w:szCs w:val="28"/>
          <w:rtl/>
        </w:rPr>
        <w:t xml:space="preserve">مستوى التغطية</w:t>
      </w:r>
      <w:r>
        <w:rPr>
          <w:rFonts w:ascii="Times New Roman" w:cs="Traditional Arabic" w:hAnsi="Times New Roman"/>
          <w:sz w:val="28"/>
          <w:szCs w:val="28"/>
          <w:rtl/>
        </w:rPr>
        <w:t xml:space="preserve">: فاشترط في CIP التأمين وفق </w:t>
      </w:r>
      <w:r>
        <w:rPr>
          <w:rFonts w:ascii="Times New Roman" w:cs="Traditional Arabic" w:hAnsi="Times New Roman"/>
          <w:b/>
          <w:bCs/>
          <w:sz w:val="28"/>
          <w:szCs w:val="28"/>
          <w:rtl/>
        </w:rPr>
        <w:t xml:space="preserve">شروط معهد لندن للبضائع (A)</w:t>
      </w:r>
      <w:r>
        <w:rPr>
          <w:rFonts w:ascii="Times New Roman" w:cs="Traditional Arabic" w:hAnsi="Times New Roman"/>
          <w:sz w:val="28"/>
          <w:szCs w:val="28"/>
          <w:rtl/>
        </w:rPr>
        <w:t xml:space="preserve"> أو ما يماثلها، وهي تغطية ضد «جميع المخاطر» مع استثناءات محددة، بينما أبقى في CIF على الحد الأدنى وفق </w:t>
      </w:r>
      <w:r>
        <w:rPr>
          <w:rFonts w:ascii="Times New Roman" w:cs="Traditional Arabic" w:hAnsi="Times New Roman"/>
          <w:b/>
          <w:bCs/>
          <w:sz w:val="28"/>
          <w:szCs w:val="28"/>
          <w:rtl/>
        </w:rPr>
        <w:t xml:space="preserve">الشروط (C)</w:t>
      </w:r>
      <w:r>
        <w:rPr>
          <w:rFonts w:ascii="Times New Roman" w:cs="Traditional Arabic" w:hAnsi="Times New Roman"/>
          <w:sz w:val="28"/>
          <w:szCs w:val="28"/>
          <w:rtl/>
        </w:rPr>
        <w:t xml:space="preserve">، التي تغطي فقط مخاطر كبرى محددة حصرًا كالحريق والغرق والجنوح والتصادم. وتبرر الغرفة هذا التمييز بأن CIF تُستعمل أساسًا في تجارة </w:t>
      </w:r>
      <w:r>
        <w:rPr>
          <w:rFonts w:ascii="Times New Roman" w:cs="Traditional Arabic" w:hAnsi="Times New Roman"/>
          <w:b/>
          <w:bCs/>
          <w:sz w:val="28"/>
          <w:szCs w:val="28"/>
          <w:rtl/>
        </w:rPr>
        <w:t xml:space="preserve">السلع الأولية السائبة</w:t>
      </w:r>
      <w:r>
        <w:rPr>
          <w:rFonts w:ascii="Times New Roman" w:cs="Traditional Arabic" w:hAnsi="Times New Roman"/>
          <w:sz w:val="28"/>
          <w:szCs w:val="28"/>
          <w:rtl/>
        </w:rPr>
        <w:t xml:space="preserve">، حيث يكفي الحد الأدنى وحيث قد يتفق الأطراف في البيوع المتتالية على مستويات مختلفة، بينما تُستعمل CIP غالبًا لـ </w:t>
      </w:r>
      <w:r>
        <w:rPr>
          <w:rFonts w:ascii="Times New Roman" w:cs="Traditional Arabic" w:hAnsi="Times New Roman"/>
          <w:b/>
          <w:bCs/>
          <w:sz w:val="28"/>
          <w:szCs w:val="28"/>
          <w:rtl/>
        </w:rPr>
        <w:t xml:space="preserve">البضائع المصنعة</w:t>
      </w:r>
      <w:r>
        <w:rPr>
          <w:rFonts w:ascii="Times New Roman" w:cs="Traditional Arabic" w:hAnsi="Times New Roman"/>
          <w:sz w:val="28"/>
          <w:szCs w:val="28"/>
          <w:rtl/>
        </w:rPr>
        <w:t xml:space="preserve"> الأكثر عرضة للتلف والسرقة. وفي الحالتين، يجب أن يغطي التأمين </w:t>
      </w:r>
      <w:r>
        <w:rPr>
          <w:rFonts w:ascii="Times New Roman" w:cs="Traditional Arabic" w:hAnsi="Times New Roman"/>
          <w:b/>
          <w:bCs/>
          <w:sz w:val="28"/>
          <w:szCs w:val="28"/>
          <w:rtl/>
        </w:rPr>
        <w:t xml:space="preserve">110% من ثمن البضاعة</w:t>
      </w:r>
      <w:r>
        <w:rPr>
          <w:rFonts w:ascii="Times New Roman" w:cs="Traditional Arabic" w:hAnsi="Times New Roman"/>
          <w:sz w:val="28"/>
          <w:szCs w:val="28"/>
          <w:rtl/>
        </w:rPr>
        <w:t xml:space="preserve"> على الأقل، أي الثمن مضافًا إليه 10% تمثل الربح المتوقع للمشتري، وبعملة العقد.</w:t>
      </w:r>
    </w:p>
    <w:p>
      <w:pPr>
        <w:bidi/>
        <w:spacing w:after="120" w:line="340"/>
        <w:jc w:val="both"/>
      </w:pPr>
      <w:r>
        <w:rPr>
          <w:rFonts w:ascii="Times New Roman" w:cs="Traditional Arabic" w:hAnsi="Times New Roman"/>
          <w:sz w:val="28"/>
          <w:szCs w:val="28"/>
          <w:rtl/>
        </w:rPr>
        <w:t xml:space="preserve">وقد انتقد بعض الفقه هذا التمييز باعتباره يزيد من تعقيد القواعد ويخلق خطر الخلط لدى المتعاملين الذين قد يفترضون تساوي التغطية في القاعدتين. غير أنه يبقى قابلًا للتعديل بالاتفاق، إذ يجوز للأطراف رفع مستوى التغطية في CIF أو خفضه في CIP بنص صريح.</w:t>
      </w:r>
    </w:p>
    <w:p>
      <w:pPr>
        <w:pStyle w:val="Heading3"/>
        <w:bidi/>
        <w:spacing w:after="160" w:before="240"/>
        <w:jc w:val="right"/>
      </w:pPr>
      <w:r>
        <w:rPr>
          <w:rFonts w:ascii="Times New Roman" w:cs="Traditional Arabic" w:hAnsi="Times New Roman"/>
          <w:b/>
          <w:bCs/>
          <w:color w:val="2E5496"/>
          <w:sz w:val="28"/>
          <w:szCs w:val="28"/>
          <w:rtl/>
        </w:rPr>
        <w:t xml:space="preserve">الفرع الثاني: الإنكوتيرمز والاعتماد المستندي والقيمة الجمركية</w:t>
      </w:r>
    </w:p>
    <w:p>
      <w:pPr>
        <w:bidi/>
        <w:spacing w:after="120" w:line="340"/>
        <w:jc w:val="both"/>
      </w:pPr>
      <w:r>
        <w:rPr>
          <w:rFonts w:ascii="Times New Roman" w:cs="Traditional Arabic" w:hAnsi="Times New Roman"/>
          <w:b/>
          <w:bCs/>
          <w:sz w:val="28"/>
          <w:szCs w:val="28"/>
          <w:rtl/>
        </w:rPr>
        <w:t xml:space="preserve">أولًا: العلاقة بالاعتماد المستندي</w:t>
      </w:r>
    </w:p>
    <w:p>
      <w:pPr>
        <w:bidi/>
        <w:spacing w:after="120" w:line="340"/>
        <w:jc w:val="both"/>
      </w:pPr>
      <w:r>
        <w:rPr>
          <w:rFonts w:ascii="Times New Roman" w:cs="Traditional Arabic" w:hAnsi="Times New Roman"/>
          <w:sz w:val="28"/>
          <w:szCs w:val="28"/>
          <w:rtl/>
        </w:rPr>
        <w:t xml:space="preserve">يمثل </w:t>
      </w:r>
      <w:r>
        <w:rPr>
          <w:rFonts w:ascii="Times New Roman" w:cs="Traditional Arabic" w:hAnsi="Times New Roman"/>
          <w:b/>
          <w:bCs/>
          <w:sz w:val="28"/>
          <w:szCs w:val="28"/>
          <w:rtl/>
        </w:rPr>
        <w:t xml:space="preserve">الاعتماد المستندي</w:t>
      </w:r>
      <w:r>
        <w:rPr>
          <w:rFonts w:ascii="Times New Roman" w:cs="Traditional Arabic" w:hAnsi="Times New Roman"/>
          <w:sz w:val="28"/>
          <w:szCs w:val="28"/>
          <w:rtl/>
        </w:rPr>
        <w:t xml:space="preserve"> الوسيلة الكلاسيكية للوفاء في التجارة الدولية، ويخضع عادة لـ </w:t>
      </w:r>
      <w:r>
        <w:rPr>
          <w:rFonts w:ascii="Times New Roman" w:cs="Traditional Arabic" w:hAnsi="Times New Roman"/>
          <w:b/>
          <w:bCs/>
          <w:sz w:val="28"/>
          <w:szCs w:val="28"/>
          <w:rtl/>
        </w:rPr>
        <w:t xml:space="preserve">الأعراف والممارسات الموحدة للاعتمادات المستندية (UCP 600)</w:t>
      </w:r>
      <w:r>
        <w:rPr>
          <w:rFonts w:ascii="Times New Roman" w:cs="Traditional Arabic" w:hAnsi="Times New Roman"/>
          <w:sz w:val="28"/>
          <w:szCs w:val="28"/>
          <w:rtl/>
        </w:rPr>
        <w:t xml:space="preserve"> الصادرة أيضًا عن غرفة التجارة الدولية (نشرة رقم 600، نافذة منذ 2007). ويقوم الاعتماد على </w:t>
      </w:r>
      <w:r>
        <w:rPr>
          <w:rFonts w:ascii="Times New Roman" w:cs="Traditional Arabic" w:hAnsi="Times New Roman"/>
          <w:b/>
          <w:bCs/>
          <w:sz w:val="28"/>
          <w:szCs w:val="28"/>
          <w:rtl/>
        </w:rPr>
        <w:t xml:space="preserve">مبدأ استقلال</w:t>
      </w:r>
      <w:r>
        <w:rPr>
          <w:rFonts w:ascii="Times New Roman" w:cs="Traditional Arabic" w:hAnsi="Times New Roman"/>
          <w:sz w:val="28"/>
          <w:szCs w:val="28"/>
          <w:rtl/>
        </w:rPr>
        <w:t xml:space="preserve"> الاعتماد عن عقد البيع، و</w:t>
      </w:r>
      <w:r>
        <w:rPr>
          <w:rFonts w:ascii="Times New Roman" w:cs="Traditional Arabic" w:hAnsi="Times New Roman"/>
          <w:b/>
          <w:bCs/>
          <w:sz w:val="28"/>
          <w:szCs w:val="28"/>
          <w:rtl/>
        </w:rPr>
        <w:t xml:space="preserve">مبدأ التطابق الحرفي</w:t>
      </w:r>
      <w:r>
        <w:rPr>
          <w:rFonts w:ascii="Times New Roman" w:cs="Traditional Arabic" w:hAnsi="Times New Roman"/>
          <w:sz w:val="28"/>
          <w:szCs w:val="28"/>
          <w:rtl/>
        </w:rPr>
        <w:t xml:space="preserve"> للمستندات مع شروط الاعتماد.</w:t>
      </w:r>
    </w:p>
    <w:p>
      <w:pPr>
        <w:bidi/>
        <w:spacing w:after="120" w:line="340"/>
        <w:jc w:val="both"/>
      </w:pPr>
      <w:r>
        <w:rPr>
          <w:rFonts w:ascii="Times New Roman" w:cs="Traditional Arabic" w:hAnsi="Times New Roman"/>
          <w:sz w:val="28"/>
          <w:szCs w:val="28"/>
          <w:rtl/>
        </w:rPr>
        <w:t xml:space="preserve">وتتجلى العلاقة بين الإنكوتيرمز والاعتماد المستندي في مستويين: أولهما أن قاعدة الإنكوتيرمز المختارة تحدد </w:t>
      </w:r>
      <w:r>
        <w:rPr>
          <w:rFonts w:ascii="Times New Roman" w:cs="Traditional Arabic" w:hAnsi="Times New Roman"/>
          <w:b/>
          <w:bCs/>
          <w:sz w:val="28"/>
          <w:szCs w:val="28"/>
          <w:rtl/>
        </w:rPr>
        <w:t xml:space="preserve">المستندات</w:t>
      </w:r>
      <w:r>
        <w:rPr>
          <w:rFonts w:ascii="Times New Roman" w:cs="Traditional Arabic" w:hAnsi="Times New Roman"/>
          <w:sz w:val="28"/>
          <w:szCs w:val="28"/>
          <w:rtl/>
        </w:rPr>
        <w:t xml:space="preserve"> التي يلتزم البائع بتقديمها (بوليصة شحن، وثيقة تأمين…)، والتي ينبغي أن تتطابق مع ما يشترطه الاعتماد. وثانيهما أن البنوك، بحكم مبدأ الاستقلال، لا تنظر في قاعدة الإنكوتيرمز ذاتها، بل في المستندات فحسب. فإذا كان الاعتماد يشترط </w:t>
      </w:r>
      <w:r>
        <w:rPr>
          <w:rFonts w:ascii="Times New Roman" w:cs="Traditional Arabic" w:hAnsi="Times New Roman"/>
          <w:b/>
          <w:bCs/>
          <w:sz w:val="28"/>
          <w:szCs w:val="28"/>
          <w:rtl/>
        </w:rPr>
        <w:t xml:space="preserve">بوليصة شحن بحرية مؤشرًا عليها بالتحميل على ظهر السفينة</w:t>
      </w:r>
      <w:r>
        <w:rPr>
          <w:rFonts w:ascii="Times New Roman" w:cs="Traditional Arabic" w:hAnsi="Times New Roman"/>
          <w:sz w:val="28"/>
          <w:szCs w:val="28"/>
          <w:rtl/>
        </w:rPr>
        <w:t xml:space="preserve">، في حين أن البيع مبرم وفق </w:t>
      </w:r>
      <w:r>
        <w:rPr>
          <w:rFonts w:ascii="Times New Roman" w:cs="Traditional Arabic" w:hAnsi="Times New Roman"/>
          <w:b/>
          <w:bCs/>
          <w:sz w:val="28"/>
          <w:szCs w:val="28"/>
          <w:rtl/>
        </w:rPr>
        <w:t xml:space="preserve">FCA</w:t>
      </w:r>
      <w:r>
        <w:rPr>
          <w:rFonts w:ascii="Times New Roman" w:cs="Traditional Arabic" w:hAnsi="Times New Roman"/>
          <w:sz w:val="28"/>
          <w:szCs w:val="28"/>
          <w:rtl/>
        </w:rPr>
        <w:t xml:space="preserve"> مع تسليم في محطة داخلية، فإن البائع يجد نفسه في مأزق: فقد نفذ التزامه بالتسليم بمقتضى عقد البيع، لكنه لا يملك المستند الذي يشترطه البنك، لأن الناقل لا يصدر بوليصة «على ظهر السفينة» إلا بعد التحميل الفعلي، وهو عقد لا يكون البائع طرفًا فيه.</w:t>
      </w:r>
    </w:p>
    <w:p>
      <w:pPr>
        <w:bidi/>
        <w:spacing w:after="120" w:line="340"/>
        <w:jc w:val="both"/>
      </w:pPr>
      <w:r>
        <w:rPr>
          <w:rFonts w:ascii="Times New Roman" w:cs="Traditional Arabic" w:hAnsi="Times New Roman"/>
          <w:sz w:val="28"/>
          <w:szCs w:val="28"/>
          <w:rtl/>
        </w:rPr>
        <w:t xml:space="preserve">وهذه الإشكالية هي التي دفعت الغرفة، في إصدار 2020، إلى إضافة الخيار الوارد في البند A6/B6 من FCA، الذي يتيح للطرفين الاتفاق على أن يوجه المشتري ناقله إلى إصدار بوليصة «على ظهر السفينة» للبائع، على نفقة المشتري ومخاطره. ويُعدّ هذا الحل نموذجًا على قدرة القواعد على التكيف مع مقتضيات الممارسة البنكية، وإن كان الفقه قد لاحظ أنه يبقى حلًا </w:t>
      </w:r>
      <w:r>
        <w:rPr>
          <w:rFonts w:ascii="Times New Roman" w:cs="Traditional Arabic" w:hAnsi="Times New Roman"/>
          <w:b/>
          <w:bCs/>
          <w:sz w:val="28"/>
          <w:szCs w:val="28"/>
          <w:rtl/>
        </w:rPr>
        <w:t xml:space="preserve">تعاقديًا</w:t>
      </w:r>
      <w:r>
        <w:rPr>
          <w:rFonts w:ascii="Times New Roman" w:cs="Traditional Arabic" w:hAnsi="Times New Roman"/>
          <w:sz w:val="28"/>
          <w:szCs w:val="28"/>
          <w:rtl/>
        </w:rPr>
        <w:t xml:space="preserve"> لا يُلزم الناقل الذي يظل أجنبيًا عن عقد البيع.</w:t>
      </w:r>
    </w:p>
    <w:p>
      <w:pPr>
        <w:bidi/>
        <w:spacing w:after="120" w:line="340"/>
        <w:jc w:val="both"/>
      </w:pPr>
      <w:r>
        <w:rPr>
          <w:rFonts w:ascii="Times New Roman" w:cs="Traditional Arabic" w:hAnsi="Times New Roman"/>
          <w:b/>
          <w:bCs/>
          <w:sz w:val="28"/>
          <w:szCs w:val="28"/>
          <w:rtl/>
        </w:rPr>
        <w:t xml:space="preserve">ثانيًا: العلاقة بالقيمة الجمركية والضريبية</w:t>
      </w:r>
    </w:p>
    <w:p>
      <w:pPr>
        <w:bidi/>
        <w:spacing w:after="120" w:line="340"/>
        <w:jc w:val="both"/>
      </w:pPr>
      <w:r>
        <w:rPr>
          <w:rFonts w:ascii="Times New Roman" w:cs="Traditional Arabic" w:hAnsi="Times New Roman"/>
          <w:sz w:val="28"/>
          <w:szCs w:val="28"/>
          <w:rtl/>
        </w:rPr>
        <w:t xml:space="preserve">رغم أن الإنكوتيرمز لا تنظم المسائل الجمركية إلا من زاوية تحديد من يقوم بالتخليص، فإنها ترتبط ارتباطًا وثيقًا بتحديد </w:t>
      </w:r>
      <w:r>
        <w:rPr>
          <w:rFonts w:ascii="Times New Roman" w:cs="Traditional Arabic" w:hAnsi="Times New Roman"/>
          <w:b/>
          <w:bCs/>
          <w:sz w:val="28"/>
          <w:szCs w:val="28"/>
          <w:rtl/>
        </w:rPr>
        <w:t xml:space="preserve">القيمة الجمركية</w:t>
      </w:r>
      <w:r>
        <w:rPr>
          <w:rFonts w:ascii="Times New Roman" w:cs="Traditional Arabic" w:hAnsi="Times New Roman"/>
          <w:sz w:val="28"/>
          <w:szCs w:val="28"/>
          <w:rtl/>
        </w:rPr>
        <w:t xml:space="preserve">. فبموجب </w:t>
      </w:r>
      <w:r>
        <w:rPr>
          <w:rFonts w:ascii="Times New Roman" w:cs="Traditional Arabic" w:hAnsi="Times New Roman"/>
          <w:b/>
          <w:bCs/>
          <w:sz w:val="28"/>
          <w:szCs w:val="28"/>
          <w:rtl/>
        </w:rPr>
        <w:t xml:space="preserve">اتفاق منظمة التجارة العالمية بشأن تطبيق المادة السابعة من الاتفاق العام للتعريفات والتجارة (اتفاق التقييم الجمركي)</w:t>
      </w:r>
      <w:r>
        <w:rPr>
          <w:rFonts w:ascii="Times New Roman" w:cs="Traditional Arabic" w:hAnsi="Times New Roman"/>
          <w:sz w:val="28"/>
          <w:szCs w:val="28"/>
          <w:rtl/>
        </w:rPr>
        <w:t xml:space="preserve">، تُحدد القيمة الجمركية أساسًا على قاعدة </w:t>
      </w:r>
      <w:r>
        <w:rPr>
          <w:rFonts w:ascii="Times New Roman" w:cs="Traditional Arabic" w:hAnsi="Times New Roman"/>
          <w:b/>
          <w:bCs/>
          <w:sz w:val="28"/>
          <w:szCs w:val="28"/>
          <w:rtl/>
        </w:rPr>
        <w:t xml:space="preserve">قيمة الصفقة</w:t>
      </w:r>
      <w:r>
        <w:rPr>
          <w:rFonts w:ascii="Times New Roman" w:cs="Traditional Arabic" w:hAnsi="Times New Roman"/>
          <w:sz w:val="28"/>
          <w:szCs w:val="28"/>
          <w:rtl/>
        </w:rPr>
        <w:t xml:space="preserve">، أي الثمن المدفوع فعلًا أو المستحق الدفع، مع بعض التعديلات. وتخول </w:t>
      </w:r>
      <w:r>
        <w:rPr>
          <w:rFonts w:ascii="Times New Roman" w:cs="Traditional Arabic" w:hAnsi="Times New Roman"/>
          <w:b/>
          <w:bCs/>
          <w:sz w:val="28"/>
          <w:szCs w:val="28"/>
          <w:rtl/>
        </w:rPr>
        <w:t xml:space="preserve">المادة 8 (2)</w:t>
      </w:r>
      <w:r>
        <w:rPr>
          <w:rFonts w:ascii="Times New Roman" w:cs="Traditional Arabic" w:hAnsi="Times New Roman"/>
          <w:sz w:val="28"/>
          <w:szCs w:val="28"/>
          <w:rtl/>
        </w:rPr>
        <w:t xml:space="preserve"> من الاتفاق كل دولة أن تقرر إدراج تكاليف النقل والتأمين حتى ميناء أو مكان الاستيراد في القيمة الجمركية أو استبعادها. وتعتمد </w:t>
      </w:r>
      <w:r>
        <w:rPr>
          <w:rFonts w:ascii="Times New Roman" w:cs="Traditional Arabic" w:hAnsi="Times New Roman"/>
          <w:b/>
          <w:bCs/>
          <w:sz w:val="28"/>
          <w:szCs w:val="28"/>
          <w:rtl/>
        </w:rPr>
        <w:t xml:space="preserve">أغلبية الدول</w:t>
      </w:r>
      <w:r>
        <w:rPr>
          <w:rFonts w:ascii="Times New Roman" w:cs="Traditional Arabic" w:hAnsi="Times New Roman"/>
          <w:sz w:val="28"/>
          <w:szCs w:val="28"/>
          <w:rtl/>
        </w:rPr>
        <w:t xml:space="preserve">، ومنها معظم الدول العربية، </w:t>
      </w:r>
      <w:r>
        <w:rPr>
          <w:rFonts w:ascii="Times New Roman" w:cs="Traditional Arabic" w:hAnsi="Times New Roman"/>
          <w:b/>
          <w:bCs/>
          <w:sz w:val="28"/>
          <w:szCs w:val="28"/>
          <w:rtl/>
        </w:rPr>
        <w:t xml:space="preserve">أساس CIF</w:t>
      </w:r>
      <w:r>
        <w:rPr>
          <w:rFonts w:ascii="Times New Roman" w:cs="Traditional Arabic" w:hAnsi="Times New Roman"/>
          <w:sz w:val="28"/>
          <w:szCs w:val="28"/>
          <w:rtl/>
        </w:rPr>
        <w:t xml:space="preserve">، بينما تعتمد دول قليلة كالولايات المتحدة وكندا وأستراليا </w:t>
      </w:r>
      <w:r>
        <w:rPr>
          <w:rFonts w:ascii="Times New Roman" w:cs="Traditional Arabic" w:hAnsi="Times New Roman"/>
          <w:b/>
          <w:bCs/>
          <w:sz w:val="28"/>
          <w:szCs w:val="28"/>
          <w:rtl/>
        </w:rPr>
        <w:t xml:space="preserve">أساس FOB</w:t>
      </w:r>
      <w:r>
        <w:rPr>
          <w:rFonts w:ascii="Times New Roman" w:cs="Traditional Arabic" w:hAnsi="Times New Roman"/>
          <w:sz w:val="28"/>
          <w:szCs w:val="28"/>
          <w:rtl/>
        </w:rPr>
        <w:t xml:space="preserve">.</w:t>
      </w:r>
    </w:p>
    <w:p>
      <w:pPr>
        <w:bidi/>
        <w:spacing w:after="120" w:line="340"/>
        <w:jc w:val="both"/>
      </w:pPr>
      <w:r>
        <w:rPr>
          <w:rFonts w:ascii="Times New Roman" w:cs="Traditional Arabic" w:hAnsi="Times New Roman"/>
          <w:sz w:val="28"/>
          <w:szCs w:val="28"/>
          <w:rtl/>
        </w:rPr>
        <w:t xml:space="preserve">ويترتب على ذلك أن المستورد الذي يشتري وفق EXW أو FOB في دولة تعتمد أساس CIF، مطالب بإضافة تكاليف النقل والتأمين إلى الثمن عند التصريح الجمركي. ويُلاحظ هنا </w:t>
      </w:r>
      <w:r>
        <w:rPr>
          <w:rFonts w:ascii="Times New Roman" w:cs="Traditional Arabic" w:hAnsi="Times New Roman"/>
          <w:b/>
          <w:bCs/>
          <w:sz w:val="28"/>
          <w:szCs w:val="28"/>
          <w:rtl/>
        </w:rPr>
        <w:t xml:space="preserve">خطر الخلط</w:t>
      </w:r>
      <w:r>
        <w:rPr>
          <w:rFonts w:ascii="Times New Roman" w:cs="Traditional Arabic" w:hAnsi="Times New Roman"/>
          <w:sz w:val="28"/>
          <w:szCs w:val="28"/>
          <w:rtl/>
        </w:rPr>
        <w:t xml:space="preserve"> بين «CIF» بوصفها قاعدة إنكوتيرمز تحدد التزامات طرفي البيع، و«CIF» بوصفها </w:t>
      </w:r>
      <w:r>
        <w:rPr>
          <w:rFonts w:ascii="Times New Roman" w:cs="Traditional Arabic" w:hAnsi="Times New Roman"/>
          <w:b/>
          <w:bCs/>
          <w:sz w:val="28"/>
          <w:szCs w:val="28"/>
          <w:rtl/>
        </w:rPr>
        <w:t xml:space="preserve">أساسًا للتقييم الجمركي</w:t>
      </w:r>
      <w:r>
        <w:rPr>
          <w:rFonts w:ascii="Times New Roman" w:cs="Traditional Arabic" w:hAnsi="Times New Roman"/>
          <w:sz w:val="28"/>
          <w:szCs w:val="28"/>
          <w:rtl/>
        </w:rPr>
        <w:t xml:space="preserve"> تحدده التشريعات الوطنية؛ فهما مفهومان مستقلان رغم تطابق التسمية.</w:t>
      </w:r>
    </w:p>
    <w:p>
      <w:pPr>
        <w:bidi/>
        <w:spacing w:after="120" w:line="340"/>
        <w:jc w:val="both"/>
      </w:pPr>
      <w:r>
        <w:rPr>
          <w:rFonts w:ascii="Times New Roman" w:cs="Traditional Arabic" w:hAnsi="Times New Roman"/>
          <w:sz w:val="28"/>
          <w:szCs w:val="28"/>
          <w:rtl/>
        </w:rPr>
        <w:t xml:space="preserve">أما في </w:t>
      </w:r>
      <w:r>
        <w:rPr>
          <w:rFonts w:ascii="Times New Roman" w:cs="Traditional Arabic" w:hAnsi="Times New Roman"/>
          <w:b/>
          <w:bCs/>
          <w:sz w:val="28"/>
          <w:szCs w:val="28"/>
          <w:rtl/>
        </w:rPr>
        <w:t xml:space="preserve">DDP</w:t>
      </w:r>
      <w:r>
        <w:rPr>
          <w:rFonts w:ascii="Times New Roman" w:cs="Traditional Arabic" w:hAnsi="Times New Roman"/>
          <w:sz w:val="28"/>
          <w:szCs w:val="28"/>
          <w:rtl/>
        </w:rPr>
        <w:t xml:space="preserve">، فيتحمل البائع رسوم الاستيراد والضرائب، بما فيها في الأصل الضريبة على القيمة المضافة عند الاستيراد. ويطرح ذلك إشكالات عملية، إذ قد لا يستطيع البائع الأجنبي التسجيل الضريبي في بلد الاستيراد لاسترجاع الضريبة، مما يجعله يتحمل عبئًا ضريبيًا نهائيًا. ولهذا جرت الممارسة على صيغ معدلة مثل «DDP، الضريبة على القيمة المضافة غير مدفوعة»، وهي تعديلات مشروعة شريطة صياغتها بوضوح.</w:t>
      </w:r>
    </w:p>
    <w:p>
      <w:pPr>
        <w:bidi/>
        <w:spacing w:after="120" w:line="340"/>
        <w:jc w:val="both"/>
      </w:pPr>
      <w:r>
        <w:rPr>
          <w:rFonts w:ascii="Times New Roman" w:cs="Traditional Arabic" w:hAnsi="Times New Roman"/>
          <w:sz w:val="28"/>
          <w:szCs w:val="28"/>
          <w:rtl/>
        </w:rPr>
        <w:t xml:space="preserve">وبهذا يتضح أن الإنكوتيرمز تشكل </w:t>
      </w:r>
      <w:r>
        <w:rPr>
          <w:rFonts w:ascii="Times New Roman" w:cs="Traditional Arabic" w:hAnsi="Times New Roman"/>
          <w:b/>
          <w:bCs/>
          <w:sz w:val="28"/>
          <w:szCs w:val="28"/>
          <w:rtl/>
        </w:rPr>
        <w:t xml:space="preserve">نقطة الارتكاز</w:t>
      </w:r>
      <w:r>
        <w:rPr>
          <w:rFonts w:ascii="Times New Roman" w:cs="Traditional Arabic" w:hAnsi="Times New Roman"/>
          <w:sz w:val="28"/>
          <w:szCs w:val="28"/>
          <w:rtl/>
        </w:rPr>
        <w:t xml:space="preserve"> في منظومة عقدية معقدة، وأن حسن اختيارها يتطلب رؤية شاملة لهذه المنظومة، لا مجرد النظر إلى عقد البيع منفردًا.</w:t>
      </w:r>
    </w:p>
    <w:p>
      <w:r>
        <w:br w:type="page"/>
      </w:r>
    </w:p>
    <w:p>
      <w:pPr>
        <w:pStyle w:val="Heading1"/>
        <w:bidi/>
        <w:spacing w:after="160" w:before="360"/>
        <w:jc w:val="center"/>
      </w:pPr>
      <w:r>
        <w:rPr>
          <w:rFonts w:ascii="Times New Roman" w:cs="Traditional Arabic" w:hAnsi="Times New Roman"/>
          <w:b/>
          <w:bCs/>
          <w:color w:val="1F3864"/>
          <w:sz w:val="34"/>
          <w:szCs w:val="34"/>
          <w:rtl/>
        </w:rPr>
        <w:t xml:space="preserve">المبحث الثالث: الإشكاليات القانونية المترتبة على قواعد الإنكوتيرمز</w:t>
      </w:r>
    </w:p>
    <w:p>
      <w:pPr>
        <w:bidi/>
        <w:spacing w:after="120" w:line="340"/>
        <w:jc w:val="both"/>
      </w:pPr>
      <w:r>
        <w:rPr>
          <w:rFonts w:ascii="Times New Roman" w:cs="Traditional Arabic" w:hAnsi="Times New Roman"/>
          <w:sz w:val="28"/>
          <w:szCs w:val="28"/>
          <w:rtl/>
        </w:rPr>
        <w:t xml:space="preserve">رغم النجاح الواسع الذي حققته قواعد الإنكوتيرمز، فإن تطبيقها أفرز إشكاليات قانونية متعددة، بعضها يتعلق بقوتها الإلزامية وطرق تفسيرها، وبعضها الآخر يتعلق بحدودها الموضوعية، أي بالمسائل التي لا تنظمها أو تنظمها تنظيمًا ناقصًا. ونعالج في المطلب الأول إشكاليات القوة الإلزامية والتفسير، وفي المطلب الثاني إشكاليات الحدود الموضوعية.</w:t>
      </w:r>
    </w:p>
    <w:p>
      <w:pPr>
        <w:pStyle w:val="Heading2"/>
        <w:bidi/>
        <w:spacing w:after="160" w:before="240"/>
        <w:jc w:val="right"/>
      </w:pPr>
      <w:r>
        <w:rPr>
          <w:rFonts w:ascii="Times New Roman" w:cs="Traditional Arabic" w:hAnsi="Times New Roman"/>
          <w:b/>
          <w:bCs/>
          <w:color w:val="2E5496"/>
          <w:sz w:val="30"/>
          <w:szCs w:val="30"/>
          <w:rtl/>
        </w:rPr>
        <w:t xml:space="preserve">المطلب الأول: إشكاليات القوة الإلزامية والتفسير</w:t>
      </w:r>
    </w:p>
    <w:p>
      <w:pPr>
        <w:pStyle w:val="Heading3"/>
        <w:bidi/>
        <w:spacing w:after="160" w:before="240"/>
        <w:jc w:val="right"/>
      </w:pPr>
      <w:r>
        <w:rPr>
          <w:rFonts w:ascii="Times New Roman" w:cs="Traditional Arabic" w:hAnsi="Times New Roman"/>
          <w:b/>
          <w:bCs/>
          <w:color w:val="2E5496"/>
          <w:sz w:val="28"/>
          <w:szCs w:val="28"/>
          <w:rtl/>
        </w:rPr>
        <w:t xml:space="preserve">الفرع الأول: إشكالية الإدماج في العقد وحجية القواعد بوصفها عرفًا</w:t>
      </w:r>
    </w:p>
    <w:p>
      <w:pPr>
        <w:bidi/>
        <w:spacing w:after="120" w:line="340"/>
        <w:jc w:val="both"/>
      </w:pPr>
      <w:r>
        <w:rPr>
          <w:rFonts w:ascii="Times New Roman" w:cs="Traditional Arabic" w:hAnsi="Times New Roman"/>
          <w:sz w:val="28"/>
          <w:szCs w:val="28"/>
          <w:rtl/>
        </w:rPr>
        <w:t xml:space="preserve">تُطرح إشكالية الإدماج في صورتين: الأولى حين يستعمل الأطراف مصطلحًا مثل «FOB» أو «CIF» دون الإشارة صراحةً إلى الإنكوتيرمز، والثانية حين يُحيلون إلى الإنكوتيرمز دون تحديد الإصدار.</w:t>
      </w:r>
    </w:p>
    <w:p>
      <w:pPr>
        <w:bidi/>
        <w:spacing w:after="120" w:line="340"/>
        <w:jc w:val="both"/>
      </w:pPr>
      <w:r>
        <w:rPr>
          <w:rFonts w:ascii="Times New Roman" w:cs="Traditional Arabic" w:hAnsi="Times New Roman"/>
          <w:b/>
          <w:bCs/>
          <w:sz w:val="28"/>
          <w:szCs w:val="28"/>
          <w:rtl/>
        </w:rPr>
        <w:t xml:space="preserve">أولًا: استعمال المصطلح دون إحالة صريحة</w:t>
      </w:r>
    </w:p>
    <w:p>
      <w:pPr>
        <w:bidi/>
        <w:spacing w:after="120" w:line="340"/>
        <w:jc w:val="both"/>
      </w:pPr>
      <w:r>
        <w:rPr>
          <w:rFonts w:ascii="Times New Roman" w:cs="Traditional Arabic" w:hAnsi="Times New Roman"/>
          <w:sz w:val="28"/>
          <w:szCs w:val="28"/>
          <w:rtl/>
        </w:rPr>
        <w:t xml:space="preserve">في هذه الحالة، يثور التساؤل: هل يُفسَّر المصطلح وفق الإنكوتيرمز، أم وفق القانون الوطني الواجب التطبيق أو العرف المحلي؟ وقد تصدى القضاء لهذه المسألة في قضايا مشهورة، أبرزها:</w:t>
      </w:r>
    </w:p>
    <w:p>
      <w:pPr>
        <w:bidi/>
        <w:spacing w:after="120" w:line="340"/>
        <w:jc w:val="both"/>
      </w:pPr>
      <w:r>
        <w:rPr>
          <w:rFonts w:ascii="Times New Roman" w:cs="Traditional Arabic" w:hAnsi="Times New Roman"/>
          <w:b/>
          <w:bCs/>
          <w:sz w:val="28"/>
          <w:szCs w:val="28"/>
          <w:rtl/>
        </w:rPr>
        <w:t xml:space="preserve">قضية St. Paul Guardian Insurance Co. v. Neuromed Medical Systems &amp; Support GmbH</w:t>
      </w:r>
      <w:r>
        <w:rPr>
          <w:rFonts w:ascii="Times New Roman" w:cs="Traditional Arabic" w:hAnsi="Times New Roman"/>
          <w:sz w:val="28"/>
          <w:szCs w:val="28"/>
          <w:rtl/>
        </w:rPr>
        <w:t xml:space="preserve"> (المحكمة الفدرالية الابتدائية لجنوب نيويورك، 26 مارس 2002): تتعلق بعقد بيع جهاز تصوير بالرنين المغناطيسي من بائع ألماني إلى مشترٍ أمريكي، وفق شرط </w:t>
      </w:r>
      <w:r>
        <w:rPr>
          <w:rFonts w:ascii="Times New Roman" w:cs="Traditional Arabic" w:hAnsi="Times New Roman"/>
          <w:b/>
          <w:bCs/>
          <w:sz w:val="28"/>
          <w:szCs w:val="28"/>
          <w:rtl/>
        </w:rPr>
        <w:t xml:space="preserve">CIF نيويورك</w:t>
      </w:r>
      <w:r>
        <w:rPr>
          <w:rFonts w:ascii="Times New Roman" w:cs="Traditional Arabic" w:hAnsi="Times New Roman"/>
          <w:sz w:val="28"/>
          <w:szCs w:val="28"/>
          <w:rtl/>
        </w:rPr>
        <w:t xml:space="preserve">، مع احتفاظ البائع بالملكية إلى حين الوفاء الكامل بالثمن. وقد تلف الجهاز أثناء النقل، فادعى المشتري ومؤمِّنه أن المخاطر لم تنتقل لأن البائع احتفظ بالملكية. غير أن المحكمة، مطبّقةً القانون الألماني الذي يشمل اتفاقية فيينا، قضت بأن </w:t>
      </w:r>
      <w:r>
        <w:rPr>
          <w:rFonts w:ascii="Times New Roman" w:cs="Traditional Arabic" w:hAnsi="Times New Roman"/>
          <w:b/>
          <w:bCs/>
          <w:sz w:val="28"/>
          <w:szCs w:val="28"/>
          <w:rtl/>
        </w:rPr>
        <w:t xml:space="preserve">مصطلح CIF وفق إنكوتيرمز 1990 يسري بوصفه عرفًا تجاريًا دوليًا بمقتضى المادة 9 (2) من الاتفاقية</w:t>
      </w:r>
      <w:r>
        <w:rPr>
          <w:rFonts w:ascii="Times New Roman" w:cs="Traditional Arabic" w:hAnsi="Times New Roman"/>
          <w:sz w:val="28"/>
          <w:szCs w:val="28"/>
          <w:rtl/>
        </w:rPr>
        <w:t xml:space="preserve">، وأن المخاطر انتقلت إلى المشتري عند تسليم البضاعة للناقل في ميناء الشحن، وأن </w:t>
      </w:r>
      <w:r>
        <w:rPr>
          <w:rFonts w:ascii="Times New Roman" w:cs="Traditional Arabic" w:hAnsi="Times New Roman"/>
          <w:b/>
          <w:bCs/>
          <w:sz w:val="28"/>
          <w:szCs w:val="28"/>
          <w:rtl/>
        </w:rPr>
        <w:t xml:space="preserve">الاحتفاظ بالملكية لا يؤثر في انتقال المخاطر</w:t>
      </w:r>
      <w:r>
        <w:rPr>
          <w:rFonts w:ascii="Times New Roman" w:cs="Traditional Arabic" w:hAnsi="Times New Roman"/>
          <w:sz w:val="28"/>
          <w:szCs w:val="28"/>
          <w:rtl/>
        </w:rPr>
        <w:t xml:space="preserve">، استنادًا إلى المادتين 4 (ب) و67 (1) من الاتفاقية التي تميز بين المسألتين.</w:t>
      </w:r>
    </w:p>
    <w:p>
      <w:pPr>
        <w:bidi/>
        <w:spacing w:after="120" w:line="340"/>
        <w:jc w:val="both"/>
      </w:pPr>
      <w:r>
        <w:rPr>
          <w:rFonts w:ascii="Times New Roman" w:cs="Traditional Arabic" w:hAnsi="Times New Roman"/>
          <w:b/>
          <w:bCs/>
          <w:sz w:val="28"/>
          <w:szCs w:val="28"/>
          <w:rtl/>
        </w:rPr>
        <w:t xml:space="preserve">قضية BP Oil International Ltd. v. Empresa Estatal Petróleos de Ecuador</w:t>
      </w:r>
      <w:r>
        <w:rPr>
          <w:rFonts w:ascii="Times New Roman" w:cs="Traditional Arabic" w:hAnsi="Times New Roman"/>
          <w:sz w:val="28"/>
          <w:szCs w:val="28"/>
          <w:rtl/>
        </w:rPr>
        <w:t xml:space="preserve"> (محكمة الاستئناف الفدرالية الأمريكية للدائرة الخامسة، 11 يونيو 2003، 332 F.3d 333): تتعلق ببيع بنزين من شركة BP إلى شركة النفط الوطنية الإكوادورية وفق شرط </w:t>
      </w:r>
      <w:r>
        <w:rPr>
          <w:rFonts w:ascii="Times New Roman" w:cs="Traditional Arabic" w:hAnsi="Times New Roman"/>
          <w:b/>
          <w:bCs/>
          <w:sz w:val="28"/>
          <w:szCs w:val="28"/>
          <w:rtl/>
        </w:rPr>
        <w:t xml:space="preserve">CFR لا ليبرتاد (الإكوادور)</w:t>
      </w:r>
      <w:r>
        <w:rPr>
          <w:rFonts w:ascii="Times New Roman" w:cs="Traditional Arabic" w:hAnsi="Times New Roman"/>
          <w:sz w:val="28"/>
          <w:szCs w:val="28"/>
          <w:rtl/>
        </w:rPr>
        <w:t xml:space="preserve">، مع شرط يتعلق بجودة البضاعة عند الوصول. وقد تبين عند الوصول أن البنزين يحتوي على نسبة صموغ تتجاوز الحد المتفق عليه، فرفض المشتري البضاعة. وقد أكدت المحكمة أن اتفاقية فيينا تسري على العقد، وأن </w:t>
      </w:r>
      <w:r>
        <w:rPr>
          <w:rFonts w:ascii="Times New Roman" w:cs="Traditional Arabic" w:hAnsi="Times New Roman"/>
          <w:b/>
          <w:bCs/>
          <w:sz w:val="28"/>
          <w:szCs w:val="28"/>
          <w:rtl/>
        </w:rPr>
        <w:t xml:space="preserve">الإنكوتيرمز تندمج في العقد عبر المادة 9 (2)</w:t>
      </w:r>
      <w:r>
        <w:rPr>
          <w:rFonts w:ascii="Times New Roman" w:cs="Traditional Arabic" w:hAnsi="Times New Roman"/>
          <w:sz w:val="28"/>
          <w:szCs w:val="28"/>
          <w:rtl/>
        </w:rPr>
        <w:t xml:space="preserve"> لكونها معروفة على نطاق واسع ومراعاة بانتظام في التجارة الدولية، حتى وإن لم يكن استعمالها عالميًا. وخلصت إلى أن المخاطر في CFR انتقلت عند الشحن، وأن البائع لا يُسأل عن التلف اللاحق للشحن ما لم يثبت أن العيب كان موجودًا لحظة انتقال المخاطر، وأعادت القضية إلى محكمة الموضوع للفصل في هذه المسألة الواقعية.</w:t>
      </w:r>
    </w:p>
    <w:p>
      <w:pPr>
        <w:bidi/>
        <w:spacing w:after="120" w:line="340"/>
        <w:jc w:val="both"/>
      </w:pPr>
      <w:r>
        <w:rPr>
          <w:rFonts w:ascii="Times New Roman" w:cs="Traditional Arabic" w:hAnsi="Times New Roman"/>
          <w:sz w:val="28"/>
          <w:szCs w:val="28"/>
          <w:rtl/>
        </w:rPr>
        <w:t xml:space="preserve">وتكشف هاتان القضيتان عن اتجاه قضائي نحو </w:t>
      </w:r>
      <w:r>
        <w:rPr>
          <w:rFonts w:ascii="Times New Roman" w:cs="Traditional Arabic" w:hAnsi="Times New Roman"/>
          <w:b/>
          <w:bCs/>
          <w:sz w:val="28"/>
          <w:szCs w:val="28"/>
          <w:rtl/>
        </w:rPr>
        <w:t xml:space="preserve">الاعتراف بالإنكوتيرمز عرفًا تجاريًا دوليًا</w:t>
      </w:r>
      <w:r>
        <w:rPr>
          <w:rFonts w:ascii="Times New Roman" w:cs="Traditional Arabic" w:hAnsi="Times New Roman"/>
          <w:sz w:val="28"/>
          <w:szCs w:val="28"/>
          <w:rtl/>
        </w:rPr>
        <w:t xml:space="preserve"> يندمج في العقود الخاضعة لاتفاقية فيينا بقوة المادة 9 (2)، وهو اتجاه يعزز الأمن القانوني ويحد من تأثير التفسيرات الوطنية المتباينة. غير أن هذا الاتجاه يثير بدوره تساؤلات: فهل يمكن اعتبار </w:t>
      </w:r>
      <w:r>
        <w:rPr>
          <w:rFonts w:ascii="Times New Roman" w:cs="Traditional Arabic" w:hAnsi="Times New Roman"/>
          <w:b/>
          <w:bCs/>
          <w:sz w:val="28"/>
          <w:szCs w:val="28"/>
          <w:rtl/>
        </w:rPr>
        <w:t xml:space="preserve">كل</w:t>
      </w:r>
      <w:r>
        <w:rPr>
          <w:rFonts w:ascii="Times New Roman" w:cs="Traditional Arabic" w:hAnsi="Times New Roman"/>
          <w:sz w:val="28"/>
          <w:szCs w:val="28"/>
          <w:rtl/>
        </w:rPr>
        <w:t xml:space="preserve"> أحكام الإنكوتيرمز عرفًا، بما فيها التفاصيل التقنية الحديثة؟ وما حكم العقود غير الخاضعة لاتفاقية فيينا، كتلك المبرمة بين أطراف من دول غير منضمة إليها أو التي استبعد أطرافها تطبيقها؟ الراجح، كما أشرنا في المبحث الأول، أن الاعتراف بالطابع العرفي يقتصر على </w:t>
      </w:r>
      <w:r>
        <w:rPr>
          <w:rFonts w:ascii="Times New Roman" w:cs="Traditional Arabic" w:hAnsi="Times New Roman"/>
          <w:b/>
          <w:bCs/>
          <w:sz w:val="28"/>
          <w:szCs w:val="28"/>
          <w:rtl/>
        </w:rPr>
        <w:t xml:space="preserve">النواة الصلبة</w:t>
      </w:r>
      <w:r>
        <w:rPr>
          <w:rFonts w:ascii="Times New Roman" w:cs="Traditional Arabic" w:hAnsi="Times New Roman"/>
          <w:sz w:val="28"/>
          <w:szCs w:val="28"/>
          <w:rtl/>
        </w:rPr>
        <w:t xml:space="preserve"> للمصطلحات الكلاسيكية، وأن الأحكام المستحدثة تحتاج إلى إحالة صريحة.</w:t>
      </w:r>
    </w:p>
    <w:p>
      <w:pPr>
        <w:bidi/>
        <w:spacing w:after="120" w:line="340"/>
        <w:jc w:val="both"/>
      </w:pPr>
      <w:r>
        <w:rPr>
          <w:rFonts w:ascii="Times New Roman" w:cs="Traditional Arabic" w:hAnsi="Times New Roman"/>
          <w:b/>
          <w:bCs/>
          <w:sz w:val="28"/>
          <w:szCs w:val="28"/>
          <w:rtl/>
        </w:rPr>
        <w:t xml:space="preserve">ثانيًا: الإحالة دون تحديد الإصدار</w:t>
      </w:r>
    </w:p>
    <w:p>
      <w:pPr>
        <w:bidi/>
        <w:spacing w:after="120" w:line="340"/>
        <w:jc w:val="both"/>
      </w:pPr>
      <w:r>
        <w:rPr>
          <w:rFonts w:ascii="Times New Roman" w:cs="Traditional Arabic" w:hAnsi="Times New Roman"/>
          <w:sz w:val="28"/>
          <w:szCs w:val="28"/>
          <w:rtl/>
        </w:rPr>
        <w:t xml:space="preserve">حين يُحيل العقد إلى «الإنكوتيرمز» دون ذكر السنة، يثور التساؤل عن الإصدار الواجب التطبيق. والرأي الغالب أن الإحالة تنصرف إلى </w:t>
      </w:r>
      <w:r>
        <w:rPr>
          <w:rFonts w:ascii="Times New Roman" w:cs="Traditional Arabic" w:hAnsi="Times New Roman"/>
          <w:b/>
          <w:bCs/>
          <w:sz w:val="28"/>
          <w:szCs w:val="28"/>
          <w:rtl/>
        </w:rPr>
        <w:t xml:space="preserve">الإصدار الساري وقت إبرام العقد</w:t>
      </w:r>
      <w:r>
        <w:rPr>
          <w:rFonts w:ascii="Times New Roman" w:cs="Traditional Arabic" w:hAnsi="Times New Roman"/>
          <w:sz w:val="28"/>
          <w:szCs w:val="28"/>
          <w:rtl/>
        </w:rPr>
        <w:t xml:space="preserve">، باعتباره الإصدار الذي يُفترض أن الطرفين قد قصداه. غير أن هذا الافتراض يصطدم بالواقع العملي، إذ يستمر كثير من المتعاملين في استعمال نماذج عقود قديمة، أو في استعمال مصطلحات ألغيت (كـ DDU أو DAT)، مما يدل على أنهم يقصدون إصدارًا سابقًا. ولذلك توصي الغرفة دائمًا بالصياغة الكاملة: </w:t>
      </w:r>
      <w:r>
        <w:rPr>
          <w:rFonts w:ascii="Times New Roman" w:cs="Traditional Arabic" w:hAnsi="Times New Roman"/>
          <w:b/>
          <w:bCs/>
          <w:sz w:val="28"/>
          <w:szCs w:val="28"/>
          <w:rtl/>
        </w:rPr>
        <w:t xml:space="preserve">[القاعدة] + [المكان المسمى بدقة] + Incoterms® 2020</w:t>
      </w:r>
      <w:r>
        <w:rPr>
          <w:rFonts w:ascii="Times New Roman" w:cs="Traditional Arabic" w:hAnsi="Times New Roman"/>
          <w:sz w:val="28"/>
          <w:szCs w:val="28"/>
          <w:rtl/>
        </w:rPr>
        <w:t xml:space="preserve">.</w:t>
      </w:r>
    </w:p>
    <w:p>
      <w:pPr>
        <w:pStyle w:val="Heading3"/>
        <w:bidi/>
        <w:spacing w:after="160" w:before="240"/>
        <w:jc w:val="right"/>
      </w:pPr>
      <w:r>
        <w:rPr>
          <w:rFonts w:ascii="Times New Roman" w:cs="Traditional Arabic" w:hAnsi="Times New Roman"/>
          <w:b/>
          <w:bCs/>
          <w:color w:val="2E5496"/>
          <w:sz w:val="28"/>
          <w:szCs w:val="28"/>
          <w:rtl/>
        </w:rPr>
        <w:t xml:space="preserve">الفرع الثاني: إشكالية تعدد الإصدارات والتعديلات الاتفاقية والتفسيرات الوطنية</w:t>
      </w:r>
    </w:p>
    <w:p>
      <w:pPr>
        <w:bidi/>
        <w:spacing w:after="120" w:line="340"/>
        <w:jc w:val="both"/>
      </w:pPr>
      <w:r>
        <w:rPr>
          <w:rFonts w:ascii="Times New Roman" w:cs="Traditional Arabic" w:hAnsi="Times New Roman"/>
          <w:b/>
          <w:bCs/>
          <w:sz w:val="28"/>
          <w:szCs w:val="28"/>
          <w:rtl/>
        </w:rPr>
        <w:t xml:space="preserve">أولًا: تعايش الإصدارات</w:t>
      </w:r>
    </w:p>
    <w:p>
      <w:pPr>
        <w:bidi/>
        <w:spacing w:after="120" w:line="340"/>
        <w:jc w:val="both"/>
      </w:pPr>
      <w:r>
        <w:rPr>
          <w:rFonts w:ascii="Times New Roman" w:cs="Traditional Arabic" w:hAnsi="Times New Roman"/>
          <w:sz w:val="28"/>
          <w:szCs w:val="28"/>
          <w:rtl/>
        </w:rPr>
        <w:t xml:space="preserve">لا يؤدي صدور إصدار جديد إلى إلغاء الإصدارات السابقة، بل تبقى جميعها صالحة للاستعمال متى اختارها الأطراف. ويفضي هذا التعايش إلى </w:t>
      </w:r>
      <w:r>
        <w:rPr>
          <w:rFonts w:ascii="Times New Roman" w:cs="Traditional Arabic" w:hAnsi="Times New Roman"/>
          <w:b/>
          <w:bCs/>
          <w:sz w:val="28"/>
          <w:szCs w:val="28"/>
          <w:rtl/>
        </w:rPr>
        <w:t xml:space="preserve">تعدد مرجعي</w:t>
      </w:r>
      <w:r>
        <w:rPr>
          <w:rFonts w:ascii="Times New Roman" w:cs="Traditional Arabic" w:hAnsi="Times New Roman"/>
          <w:sz w:val="28"/>
          <w:szCs w:val="28"/>
          <w:rtl/>
        </w:rPr>
        <w:t xml:space="preserve"> قد يربك المتعاملين والقضاة على حد سواء، ولاسيما في العقود طويلة الأمد التي تمتد عبر إصدارين أو أكثر، أو في سلاسل البيوع المتتالية التي قد تخضع كل حلقة منها لإصدار مختلف. فمستوى التأمين في CIP مثلًا يختلف بين إصدار 2010 (الشروط C) وإصدار 2020 (الشروط A)، مما قد يُحدث فجوة في التغطية بين البيع الأصلي وإعادة البيع.</w:t>
      </w:r>
    </w:p>
    <w:p>
      <w:pPr>
        <w:bidi/>
        <w:spacing w:after="120" w:line="340"/>
        <w:jc w:val="both"/>
      </w:pPr>
      <w:r>
        <w:rPr>
          <w:rFonts w:ascii="Times New Roman" w:cs="Traditional Arabic" w:hAnsi="Times New Roman"/>
          <w:b/>
          <w:bCs/>
          <w:sz w:val="28"/>
          <w:szCs w:val="28"/>
          <w:rtl/>
        </w:rPr>
        <w:t xml:space="preserve">ثانيًا: التعديلات الاتفاقية</w:t>
      </w:r>
    </w:p>
    <w:p>
      <w:pPr>
        <w:bidi/>
        <w:spacing w:after="120" w:line="340"/>
        <w:jc w:val="both"/>
      </w:pPr>
      <w:r>
        <w:rPr>
          <w:rFonts w:ascii="Times New Roman" w:cs="Traditional Arabic" w:hAnsi="Times New Roman"/>
          <w:sz w:val="28"/>
          <w:szCs w:val="28"/>
          <w:rtl/>
        </w:rPr>
        <w:t xml:space="preserve">تجيز الإنكوتيرمز للأطراف تعديل أحكامها، لكن الغرفة تحذر من مخاطر ذلك. وقد جرت الممارسة على صيغ معدلة كثيرة، مثل: «EXW محمّلًا» (EXW loaded)، و«FOB مرصوصًا» (FOB stowed)، و«CIF مفرغًا» (CIF landed)، و«DDP الضريبة غير مدفوعة». وتثير هذه الصيغ تساؤلًا جوهريًا: هل ينصرف التعديل إلى </w:t>
      </w:r>
      <w:r>
        <w:rPr>
          <w:rFonts w:ascii="Times New Roman" w:cs="Traditional Arabic" w:hAnsi="Times New Roman"/>
          <w:b/>
          <w:bCs/>
          <w:sz w:val="28"/>
          <w:szCs w:val="28"/>
          <w:rtl/>
        </w:rPr>
        <w:t xml:space="preserve">توزيع التكاليف</w:t>
      </w:r>
      <w:r>
        <w:rPr>
          <w:rFonts w:ascii="Times New Roman" w:cs="Traditional Arabic" w:hAnsi="Times New Roman"/>
          <w:sz w:val="28"/>
          <w:szCs w:val="28"/>
          <w:rtl/>
        </w:rPr>
        <w:t xml:space="preserve"> فقط، أم يمتد إلى </w:t>
      </w:r>
      <w:r>
        <w:rPr>
          <w:rFonts w:ascii="Times New Roman" w:cs="Traditional Arabic" w:hAnsi="Times New Roman"/>
          <w:b/>
          <w:bCs/>
          <w:sz w:val="28"/>
          <w:szCs w:val="28"/>
          <w:rtl/>
        </w:rPr>
        <w:t xml:space="preserve">انتقال المخاطر</w:t>
      </w:r>
      <w:r>
        <w:rPr>
          <w:rFonts w:ascii="Times New Roman" w:cs="Traditional Arabic" w:hAnsi="Times New Roman"/>
          <w:sz w:val="28"/>
          <w:szCs w:val="28"/>
          <w:rtl/>
        </w:rPr>
        <w:t xml:space="preserve"> أيضًا؟ فهل يعني «EXW محمّلًا» أن البائع يتحمل تكلفة التحميل فحسب، أم أنه يتحمل أيضًا مخاطر التلف أثناء التحميل؟ لا تجيب القواعد عن هذا التساؤل، وتدعو الأطراف إلى التوضيح الصريح في العقد. وفي غياب هذا التوضيح، يرجع القاضي أو المحكم إلى قواعد تفسير العقود في القانون الواجب التطبيق، ولاسيما </w:t>
      </w:r>
      <w:r>
        <w:rPr>
          <w:rFonts w:ascii="Times New Roman" w:cs="Traditional Arabic" w:hAnsi="Times New Roman"/>
          <w:b/>
          <w:bCs/>
          <w:sz w:val="28"/>
          <w:szCs w:val="28"/>
          <w:rtl/>
        </w:rPr>
        <w:t xml:space="preserve">المادة 8 من اتفاقية فيينا</w:t>
      </w:r>
      <w:r>
        <w:rPr>
          <w:rFonts w:ascii="Times New Roman" w:cs="Traditional Arabic" w:hAnsi="Times New Roman"/>
          <w:sz w:val="28"/>
          <w:szCs w:val="28"/>
          <w:rtl/>
        </w:rPr>
        <w:t xml:space="preserve"> التي تعتد بقصد الطرف إذا كان الطرف الآخر يعلمه، وإلا فبالفهم المعقول لشخص من نفس الصفة في نفس الظروف.</w:t>
      </w:r>
    </w:p>
    <w:p>
      <w:pPr>
        <w:bidi/>
        <w:spacing w:after="120" w:line="340"/>
        <w:jc w:val="both"/>
      </w:pPr>
      <w:r>
        <w:rPr>
          <w:rFonts w:ascii="Times New Roman" w:cs="Traditional Arabic" w:hAnsi="Times New Roman"/>
          <w:b/>
          <w:bCs/>
          <w:sz w:val="28"/>
          <w:szCs w:val="28"/>
          <w:rtl/>
        </w:rPr>
        <w:t xml:space="preserve">ثالثًا: تعارض التفسيرات الوطنية</w:t>
      </w:r>
    </w:p>
    <w:p>
      <w:pPr>
        <w:bidi/>
        <w:spacing w:after="120" w:line="340"/>
        <w:jc w:val="both"/>
      </w:pPr>
      <w:r>
        <w:rPr>
          <w:rFonts w:ascii="Times New Roman" w:cs="Traditional Arabic" w:hAnsi="Times New Roman"/>
          <w:sz w:val="28"/>
          <w:szCs w:val="28"/>
          <w:rtl/>
        </w:rPr>
        <w:t xml:space="preserve">رغم جهود التوحيد، لا تزال بعض التشريعات الوطنية تتضمن تعريفات خاصة للمصطلحات التجارية. وأبرز مثال على ذلك </w:t>
      </w:r>
      <w:r>
        <w:rPr>
          <w:rFonts w:ascii="Times New Roman" w:cs="Traditional Arabic" w:hAnsi="Times New Roman"/>
          <w:b/>
          <w:bCs/>
          <w:sz w:val="28"/>
          <w:szCs w:val="28"/>
          <w:rtl/>
        </w:rPr>
        <w:t xml:space="preserve">القانون التجاري الموحد الأمريكي (UCC)</w:t>
      </w:r>
      <w:r>
        <w:rPr>
          <w:rFonts w:ascii="Times New Roman" w:cs="Traditional Arabic" w:hAnsi="Times New Roman"/>
          <w:sz w:val="28"/>
          <w:szCs w:val="28"/>
          <w:rtl/>
        </w:rPr>
        <w:t xml:space="preserve">، الذي تضمن في المادتين </w:t>
      </w:r>
      <w:r>
        <w:rPr>
          <w:rFonts w:ascii="Times New Roman" w:cs="Traditional Arabic" w:hAnsi="Times New Roman"/>
          <w:b/>
          <w:bCs/>
          <w:sz w:val="28"/>
          <w:szCs w:val="28"/>
          <w:rtl/>
        </w:rPr>
        <w:t xml:space="preserve">2-319 و2-320</w:t>
      </w:r>
      <w:r>
        <w:rPr>
          <w:rFonts w:ascii="Times New Roman" w:cs="Traditional Arabic" w:hAnsi="Times New Roman"/>
          <w:sz w:val="28"/>
          <w:szCs w:val="28"/>
          <w:rtl/>
        </w:rPr>
        <w:t xml:space="preserve"> تعريفات لمصطلحات FOB وFAS وCIF وC&amp;F تختلف عن الإنكوتيرمز؛ إذ يمكن في مفهوم UCC أن يشير FOB إلى نقطة شحن أو نقطة وصول، ويمكن أن يُستعمل في أي وسيلة نقل. وقد اقترحت تعديلات سنة 2003 حذف هذه المواد، لكن هذه التعديلات لم تعتمدها أي ولاية وسُحبت لاحقًا، فبقيت المواد سارية في أغلب الولايات. ويترتب على ذلك أن المتعامل الأمريكي قد يفهم «FOB» بمعنى مغاير لمعناه في الإنكوتيرمز، ما لم يُشر العقد صراحةً إلى هذه الأخيرة. غير أن هذا الخطر يتراجع في العقود الخاضعة لاتفاقية فيينا، التي تسمو في الولايات المتحدة على UCC في البيوع الدولية، والتي يُفسَّر فيها المصطلح وفق الإنكوتيرمز بقوة المادة 9 (2) كما رأينا.</w:t>
      </w:r>
    </w:p>
    <w:p>
      <w:pPr>
        <w:bidi/>
        <w:spacing w:after="120" w:line="340"/>
        <w:jc w:val="both"/>
      </w:pPr>
      <w:r>
        <w:rPr>
          <w:rFonts w:ascii="Times New Roman" w:cs="Traditional Arabic" w:hAnsi="Times New Roman"/>
          <w:sz w:val="28"/>
          <w:szCs w:val="28"/>
          <w:rtl/>
        </w:rPr>
        <w:t xml:space="preserve">وفي السياق العربي، نظمت بعض التشريعات البيوع البحرية تنظيمًا خاصًا، كما هو الحال في القانون الكويتي المشار إليه. ورغم أن هذه النصوص تتقارب في جوهرها مع الإنكوتيرمز، فإنها صيغت في الغالب قبل مراجعات 2010 و2020، فلا تزال تعتمد مثلًا معيار «حاجز السفينة»، مما قد يُحدث تعارضًا في التفاصيل. والأصل أن هذه النصوص </w:t>
      </w:r>
      <w:r>
        <w:rPr>
          <w:rFonts w:ascii="Times New Roman" w:cs="Traditional Arabic" w:hAnsi="Times New Roman"/>
          <w:b/>
          <w:bCs/>
          <w:sz w:val="28"/>
          <w:szCs w:val="28"/>
          <w:rtl/>
        </w:rPr>
        <w:t xml:space="preserve">مكملة</w:t>
      </w:r>
      <w:r>
        <w:rPr>
          <w:rFonts w:ascii="Times New Roman" w:cs="Traditional Arabic" w:hAnsi="Times New Roman"/>
          <w:sz w:val="28"/>
          <w:szCs w:val="28"/>
          <w:rtl/>
        </w:rPr>
        <w:t xml:space="preserve"> لإرادة الأطراف، فيجوز الاتفاق على خلافها بالإحالة إلى الإنكوتيرمز؛ غير أن غياب الإحالة الصريحة قد يُفضي إلى تطبيق التعريف التشريعي الوطني بدلًا من القواعد الدولية.</w:t>
      </w:r>
    </w:p>
    <w:p>
      <w:pPr>
        <w:pStyle w:val="Heading2"/>
        <w:bidi/>
        <w:spacing w:after="160" w:before="240"/>
        <w:jc w:val="right"/>
      </w:pPr>
      <w:r>
        <w:rPr>
          <w:rFonts w:ascii="Times New Roman" w:cs="Traditional Arabic" w:hAnsi="Times New Roman"/>
          <w:b/>
          <w:bCs/>
          <w:color w:val="2E5496"/>
          <w:sz w:val="30"/>
          <w:szCs w:val="30"/>
          <w:rtl/>
        </w:rPr>
        <w:t xml:space="preserve">المطلب الثاني: إشكاليات الحدود الموضوعية للقواعد</w:t>
      </w:r>
    </w:p>
    <w:p>
      <w:pPr>
        <w:pStyle w:val="Heading3"/>
        <w:bidi/>
        <w:spacing w:after="160" w:before="240"/>
        <w:jc w:val="right"/>
      </w:pPr>
      <w:r>
        <w:rPr>
          <w:rFonts w:ascii="Times New Roman" w:cs="Traditional Arabic" w:hAnsi="Times New Roman"/>
          <w:b/>
          <w:bCs/>
          <w:color w:val="2E5496"/>
          <w:sz w:val="28"/>
          <w:szCs w:val="28"/>
          <w:rtl/>
        </w:rPr>
        <w:t xml:space="preserve">الفرع الأول: العلاقة مع اتفاقية فيينا للبيع الدولي للبضائع</w:t>
      </w:r>
    </w:p>
    <w:p>
      <w:pPr>
        <w:bidi/>
        <w:spacing w:after="120" w:line="340"/>
        <w:jc w:val="both"/>
      </w:pPr>
      <w:r>
        <w:rPr>
          <w:rFonts w:ascii="Times New Roman" w:cs="Traditional Arabic" w:hAnsi="Times New Roman"/>
          <w:sz w:val="28"/>
          <w:szCs w:val="28"/>
          <w:rtl/>
        </w:rPr>
        <w:t xml:space="preserve">تُعدّ </w:t>
      </w:r>
      <w:r>
        <w:rPr>
          <w:rFonts w:ascii="Times New Roman" w:cs="Traditional Arabic" w:hAnsi="Times New Roman"/>
          <w:b/>
          <w:bCs/>
          <w:sz w:val="28"/>
          <w:szCs w:val="28"/>
          <w:rtl/>
        </w:rPr>
        <w:t xml:space="preserve">اتفاقية الأمم المتحدة بشأن عقود البيع الدولي للبضائع (فيينا، 1980)</w:t>
      </w:r>
      <w:r>
        <w:rPr>
          <w:rFonts w:ascii="Times New Roman" w:cs="Traditional Arabic" w:hAnsi="Times New Roman"/>
          <w:sz w:val="28"/>
          <w:szCs w:val="28"/>
          <w:rtl/>
        </w:rPr>
        <w:t xml:space="preserve"> الإطار التشريعي الدولي الأهم لعقد البيع الدولي، وقد انضمت إليها أكثر من تسعين دولة، منها دول عربية عدة كمصر وسوريا والعراق ولبنان وموريتانيا والبحرين وفلسطين، وآخرها المملكة العربية السعودية التي انضمت سنة 2023 (نفاذًا منذ 1 سبتمبر 2024) مع تحفظات تتعلق أساسًا بالأحكام المتصلة بالفوائد. وتنظم الاتفاقية، في المواد من 66 إلى 70، انتقال تبعة الهلاك، وهو ذات الموضوع الذي تنظمه الإنكوتيرمز.</w:t>
      </w:r>
    </w:p>
    <w:p>
      <w:pPr>
        <w:bidi/>
        <w:spacing w:after="120" w:line="340"/>
        <w:jc w:val="both"/>
      </w:pPr>
      <w:r>
        <w:rPr>
          <w:rFonts w:ascii="Times New Roman" w:cs="Traditional Arabic" w:hAnsi="Times New Roman"/>
          <w:sz w:val="28"/>
          <w:szCs w:val="28"/>
          <w:rtl/>
        </w:rPr>
        <w:t xml:space="preserve">وتقوم العلاقة بين النصين على </w:t>
      </w:r>
      <w:r>
        <w:rPr>
          <w:rFonts w:ascii="Times New Roman" w:cs="Traditional Arabic" w:hAnsi="Times New Roman"/>
          <w:b/>
          <w:bCs/>
          <w:sz w:val="28"/>
          <w:szCs w:val="28"/>
          <w:rtl/>
        </w:rPr>
        <w:t xml:space="preserve">التكامل</w:t>
      </w:r>
      <w:r>
        <w:rPr>
          <w:rFonts w:ascii="Times New Roman" w:cs="Traditional Arabic" w:hAnsi="Times New Roman"/>
          <w:sz w:val="28"/>
          <w:szCs w:val="28"/>
          <w:rtl/>
        </w:rPr>
        <w:t xml:space="preserve"> من حيث المبدأ؛ إذ تنص </w:t>
      </w:r>
      <w:r>
        <w:rPr>
          <w:rFonts w:ascii="Times New Roman" w:cs="Traditional Arabic" w:hAnsi="Times New Roman"/>
          <w:b/>
          <w:bCs/>
          <w:sz w:val="28"/>
          <w:szCs w:val="28"/>
          <w:rtl/>
        </w:rPr>
        <w:t xml:space="preserve">المادة 6</w:t>
      </w:r>
      <w:r>
        <w:rPr>
          <w:rFonts w:ascii="Times New Roman" w:cs="Traditional Arabic" w:hAnsi="Times New Roman"/>
          <w:sz w:val="28"/>
          <w:szCs w:val="28"/>
          <w:rtl/>
        </w:rPr>
        <w:t xml:space="preserve"> من الاتفاقية على جواز استبعاد تطبيقها أو الخروج على أحكامها أو تعديل آثارها، فتسمو الإنكوتيرمز المدمجة في العقد على الأحكام المكملة للاتفاقية. كما أن </w:t>
      </w:r>
      <w:r>
        <w:rPr>
          <w:rFonts w:ascii="Times New Roman" w:cs="Traditional Arabic" w:hAnsi="Times New Roman"/>
          <w:b/>
          <w:bCs/>
          <w:sz w:val="28"/>
          <w:szCs w:val="28"/>
          <w:rtl/>
        </w:rPr>
        <w:t xml:space="preserve">المادة 9</w:t>
      </w:r>
      <w:r>
        <w:rPr>
          <w:rFonts w:ascii="Times New Roman" w:cs="Traditional Arabic" w:hAnsi="Times New Roman"/>
          <w:sz w:val="28"/>
          <w:szCs w:val="28"/>
          <w:rtl/>
        </w:rPr>
        <w:t xml:space="preserve"> تُدمج الأعراف في العقد، ومنها الإنكوتيرمز كما رأينا. وفي المقابل، تكمل الاتفاقية ما سكتت عنه الإنكوتيرمز: كتكوين العقد، ومطابقة البضاعة، وجزاءات الإخلال، والإعفاء من المسؤولية، والفوائد.</w:t>
      </w:r>
    </w:p>
    <w:p>
      <w:pPr>
        <w:bidi/>
        <w:spacing w:after="120" w:line="340"/>
        <w:jc w:val="both"/>
      </w:pPr>
      <w:r>
        <w:rPr>
          <w:rFonts w:ascii="Times New Roman" w:cs="Traditional Arabic" w:hAnsi="Times New Roman"/>
          <w:sz w:val="28"/>
          <w:szCs w:val="28"/>
          <w:rtl/>
        </w:rPr>
        <w:t xml:space="preserve">غير أن هذا التكامل لا يخلو من إشكاليات دقيقة، منها:</w:t>
      </w:r>
    </w:p>
    <w:p>
      <w:pPr>
        <w:pStyle w:val="ListParagraph"/>
        <w:numPr>
          <w:ilvl w:val="0"/>
          <w:numId w:val="2"/>
        </w:numPr>
        <w:bidi/>
        <w:spacing w:after="80" w:line="320"/>
        <w:jc w:val="right"/>
      </w:pPr>
      <w:r>
        <w:rPr>
          <w:rFonts w:ascii="Times New Roman" w:cs="Traditional Arabic" w:hAnsi="Times New Roman"/>
          <w:b/>
          <w:bCs/>
          <w:sz w:val="28"/>
          <w:szCs w:val="28"/>
          <w:rtl/>
        </w:rPr>
        <w:t xml:space="preserve">تحديد مكان التسليم</w:t>
      </w:r>
      <w:r>
        <w:rPr>
          <w:rFonts w:ascii="Times New Roman" w:cs="Traditional Arabic" w:hAnsi="Times New Roman"/>
          <w:sz w:val="28"/>
          <w:szCs w:val="28"/>
          <w:rtl/>
        </w:rPr>
        <w:t xml:space="preserve">: تنص المادة 31 من الاتفاقية على قواعد احتياطية لتحديد مكان التسليم، بينما تحدده الإنكوتيرمز بدقة. وقد تثور مسألة ما إذا كان مكان التسليم وفق الإنكوتيرمز يحدد أيضًا </w:t>
      </w:r>
      <w:r>
        <w:rPr>
          <w:rFonts w:ascii="Times New Roman" w:cs="Traditional Arabic" w:hAnsi="Times New Roman"/>
          <w:b/>
          <w:bCs/>
          <w:sz w:val="28"/>
          <w:szCs w:val="28"/>
          <w:rtl/>
        </w:rPr>
        <w:t xml:space="preserve">مكان التنفيذ</w:t>
      </w:r>
      <w:r>
        <w:rPr>
          <w:rFonts w:ascii="Times New Roman" w:cs="Traditional Arabic" w:hAnsi="Times New Roman"/>
          <w:sz w:val="28"/>
          <w:szCs w:val="28"/>
          <w:rtl/>
        </w:rPr>
        <w:t xml:space="preserve"> لأغراض الاختصاص القضائي، كما في المادة 5 (1) (ب) من لائحة بروكسل الأولى رقم 44/2001 (المقابلة للمادة 7 (1) (ب) من اللائحة المعدلة رقم 1215/2012) التي تعتد بمكان تسليم البضاعة. وقد قضت محكمة العدل الأوروبية، في قضية Electrosteel Europe SA ضد Edil Centro SpA (القضية C-87/10، حكم 9 يونيو 2011)، بأنه يتعين لتحديد مكان التسليم مراعاة جميع شروط العقد القادرة على تعيينه بوضوح، </w:t>
      </w:r>
      <w:r>
        <w:rPr>
          <w:rFonts w:ascii="Times New Roman" w:cs="Traditional Arabic" w:hAnsi="Times New Roman"/>
          <w:b/>
          <w:bCs/>
          <w:sz w:val="28"/>
          <w:szCs w:val="28"/>
          <w:rtl/>
        </w:rPr>
        <w:t xml:space="preserve">بما فيها الشروط المعترف بها والمطبقة في أعراف التجارة الدولية كالإنكوتيرمز</w:t>
      </w:r>
      <w:r>
        <w:rPr>
          <w:rFonts w:ascii="Times New Roman" w:cs="Traditional Arabic" w:hAnsi="Times New Roman"/>
          <w:sz w:val="28"/>
          <w:szCs w:val="28"/>
          <w:rtl/>
        </w:rPr>
        <w:t xml:space="preserve">.</w:t>
      </w:r>
    </w:p>
    <w:p>
      <w:pPr>
        <w:pStyle w:val="ListParagraph"/>
        <w:numPr>
          <w:ilvl w:val="0"/>
          <w:numId w:val="2"/>
        </w:numPr>
        <w:bidi/>
        <w:spacing w:after="80" w:line="320"/>
        <w:jc w:val="right"/>
      </w:pPr>
      <w:r>
        <w:rPr>
          <w:rFonts w:ascii="Times New Roman" w:cs="Traditional Arabic" w:hAnsi="Times New Roman"/>
          <w:b/>
          <w:bCs/>
          <w:sz w:val="28"/>
          <w:szCs w:val="28"/>
          <w:rtl/>
        </w:rPr>
        <w:t xml:space="preserve">العلاقة بين المخاطر والمطابقة</w:t>
      </w:r>
      <w:r>
        <w:rPr>
          <w:rFonts w:ascii="Times New Roman" w:cs="Traditional Arabic" w:hAnsi="Times New Roman"/>
          <w:sz w:val="28"/>
          <w:szCs w:val="28"/>
          <w:rtl/>
        </w:rPr>
        <w:t xml:space="preserve">: تنص المادة 36 من الاتفاقية على مسؤولية البائع عن كل عيب في المطابقة يكون موجودًا لحظة انتقال المخاطر، حتى لو ظهر لاحقًا. وتتوقف تطبيق هذه القاعدة على تحديد لحظة انتقال المخاطر، وهو ما تحسمه الإنكوتيرمز. وقد رأينا في قضية BP Oil كيف تفاعل النصان لتحديد مسؤولية البائع.</w:t>
      </w:r>
    </w:p>
    <w:p>
      <w:pPr>
        <w:pStyle w:val="ListParagraph"/>
        <w:numPr>
          <w:ilvl w:val="0"/>
          <w:numId w:val="2"/>
        </w:numPr>
        <w:bidi/>
        <w:spacing w:after="80" w:line="320"/>
        <w:jc w:val="right"/>
      </w:pPr>
      <w:r>
        <w:rPr>
          <w:rFonts w:ascii="Times New Roman" w:cs="Traditional Arabic" w:hAnsi="Times New Roman"/>
          <w:b/>
          <w:bCs/>
          <w:sz w:val="28"/>
          <w:szCs w:val="28"/>
          <w:rtl/>
        </w:rPr>
        <w:t xml:space="preserve">البضاعة المبيعة أثناء النقل</w:t>
      </w:r>
      <w:r>
        <w:rPr>
          <w:rFonts w:ascii="Times New Roman" w:cs="Traditional Arabic" w:hAnsi="Times New Roman"/>
          <w:sz w:val="28"/>
          <w:szCs w:val="28"/>
          <w:rtl/>
        </w:rPr>
        <w:t xml:space="preserve">: تنص المادة 68 من الاتفاقية على انتقال المخاطر من وقت انعقاد العقد في البضاعة المبيعة أثناء النقل، مع إمكانية ارتدادها إلى وقت التسليم للناقل إذا دلت الظروف على ذلك. بينما تعالج الإنكوتيرمز هذه الحالة عبر صيغة «تدبير البضاعة المسلمة». ويثير التنسيق بين الحكمين نقاشًا فقهيًا حول ما إذا كانت الإنكوتيرمز تُدخل الارتداد الزمني لانتقال المخاطر إلى لحظة الشحن.</w:t>
      </w:r>
    </w:p>
    <w:p>
      <w:pPr>
        <w:pStyle w:val="Heading3"/>
        <w:bidi/>
        <w:spacing w:after="160" w:before="240"/>
        <w:jc w:val="right"/>
      </w:pPr>
      <w:r>
        <w:rPr>
          <w:rFonts w:ascii="Times New Roman" w:cs="Traditional Arabic" w:hAnsi="Times New Roman"/>
          <w:b/>
          <w:bCs/>
          <w:color w:val="2E5496"/>
          <w:sz w:val="28"/>
          <w:szCs w:val="28"/>
          <w:rtl/>
        </w:rPr>
        <w:t xml:space="preserve">الفرع الثاني: مسألة انتقال الملكية وجزاء الإخلال</w:t>
      </w:r>
    </w:p>
    <w:p>
      <w:pPr>
        <w:bidi/>
        <w:spacing w:after="120" w:line="340"/>
        <w:jc w:val="both"/>
      </w:pPr>
      <w:r>
        <w:rPr>
          <w:rFonts w:ascii="Times New Roman" w:cs="Traditional Arabic" w:hAnsi="Times New Roman"/>
          <w:sz w:val="28"/>
          <w:szCs w:val="28"/>
          <w:rtl/>
        </w:rPr>
        <w:t xml:space="preserve">تُعدّ مسألة </w:t>
      </w:r>
      <w:r>
        <w:rPr>
          <w:rFonts w:ascii="Times New Roman" w:cs="Traditional Arabic" w:hAnsi="Times New Roman"/>
          <w:b/>
          <w:bCs/>
          <w:sz w:val="28"/>
          <w:szCs w:val="28"/>
          <w:rtl/>
        </w:rPr>
        <w:t xml:space="preserve">انتقال الملكية</w:t>
      </w:r>
      <w:r>
        <w:rPr>
          <w:rFonts w:ascii="Times New Roman" w:cs="Traditional Arabic" w:hAnsi="Times New Roman"/>
          <w:sz w:val="28"/>
          <w:szCs w:val="28"/>
          <w:rtl/>
        </w:rPr>
        <w:t xml:space="preserve"> من أبرز «المناطق الرمادية» في الإنكوتيرمز. فالقواعد، كما سبق، لا تنظم انتقال الملكية، وكذلك اتفاقية فيينا التي تستبعد صراحةً في </w:t>
      </w:r>
      <w:r>
        <w:rPr>
          <w:rFonts w:ascii="Times New Roman" w:cs="Traditional Arabic" w:hAnsi="Times New Roman"/>
          <w:b/>
          <w:bCs/>
          <w:sz w:val="28"/>
          <w:szCs w:val="28"/>
          <w:rtl/>
        </w:rPr>
        <w:t xml:space="preserve">المادة 4 (ب)</w:t>
      </w:r>
      <w:r>
        <w:rPr>
          <w:rFonts w:ascii="Times New Roman" w:cs="Traditional Arabic" w:hAnsi="Times New Roman"/>
          <w:sz w:val="28"/>
          <w:szCs w:val="28"/>
          <w:rtl/>
        </w:rPr>
        <w:t xml:space="preserve"> مسألة أثر العقد على ملكية البضاعة المبيعة. وبالتالي، تبقى هذه المسألة خاضعة </w:t>
      </w:r>
      <w:r>
        <w:rPr>
          <w:rFonts w:ascii="Times New Roman" w:cs="Traditional Arabic" w:hAnsi="Times New Roman"/>
          <w:b/>
          <w:bCs/>
          <w:sz w:val="28"/>
          <w:szCs w:val="28"/>
          <w:rtl/>
        </w:rPr>
        <w:t xml:space="preserve">للقانون الوطني</w:t>
      </w:r>
      <w:r>
        <w:rPr>
          <w:rFonts w:ascii="Times New Roman" w:cs="Traditional Arabic" w:hAnsi="Times New Roman"/>
          <w:sz w:val="28"/>
          <w:szCs w:val="28"/>
          <w:rtl/>
        </w:rPr>
        <w:t xml:space="preserve"> الذي تعينه قواعد تنازع القوانين، والذي يكون في الغالب قانون موقع المال (lex rei sitae).</w:t>
      </w:r>
    </w:p>
    <w:p>
      <w:pPr>
        <w:bidi/>
        <w:spacing w:after="120" w:line="340"/>
        <w:jc w:val="both"/>
      </w:pPr>
      <w:r>
        <w:rPr>
          <w:rFonts w:ascii="Times New Roman" w:cs="Traditional Arabic" w:hAnsi="Times New Roman"/>
          <w:sz w:val="28"/>
          <w:szCs w:val="28"/>
          <w:rtl/>
        </w:rPr>
        <w:t xml:space="preserve">وتتباين القوانين الوطنية في هذا الشأن تباينًا كبيرًا: فبعضها، كالقانون الفرنسي ومعظم القوانين العربية المتأثرة به، يأخذ بمبدأ </w:t>
      </w:r>
      <w:r>
        <w:rPr>
          <w:rFonts w:ascii="Times New Roman" w:cs="Traditional Arabic" w:hAnsi="Times New Roman"/>
          <w:b/>
          <w:bCs/>
          <w:sz w:val="28"/>
          <w:szCs w:val="28"/>
          <w:rtl/>
        </w:rPr>
        <w:t xml:space="preserve">انتقال الملكية بمجرد العقد</w:t>
      </w:r>
      <w:r>
        <w:rPr>
          <w:rFonts w:ascii="Times New Roman" w:cs="Traditional Arabic" w:hAnsi="Times New Roman"/>
          <w:sz w:val="28"/>
          <w:szCs w:val="28"/>
          <w:rtl/>
        </w:rPr>
        <w:t xml:space="preserve"> في الأشياء المعينة بالذات، وبالإفراز في الأشياء المعينة بالنوع؛ وبعضها الآخر، كالقانون الألماني، يشترط </w:t>
      </w:r>
      <w:r>
        <w:rPr>
          <w:rFonts w:ascii="Times New Roman" w:cs="Traditional Arabic" w:hAnsi="Times New Roman"/>
          <w:b/>
          <w:bCs/>
          <w:sz w:val="28"/>
          <w:szCs w:val="28"/>
          <w:rtl/>
        </w:rPr>
        <w:t xml:space="preserve">التسليم</w:t>
      </w:r>
      <w:r>
        <w:rPr>
          <w:rFonts w:ascii="Times New Roman" w:cs="Traditional Arabic" w:hAnsi="Times New Roman"/>
          <w:sz w:val="28"/>
          <w:szCs w:val="28"/>
          <w:rtl/>
        </w:rPr>
        <w:t xml:space="preserve"> لانتقال الملكية إلى جانب اتفاق ناقل للملكية مستقل عن عقد البيع؛ أما القانون الإنجليزي فيعتد بـ </w:t>
      </w:r>
      <w:r>
        <w:rPr>
          <w:rFonts w:ascii="Times New Roman" w:cs="Traditional Arabic" w:hAnsi="Times New Roman"/>
          <w:b/>
          <w:bCs/>
          <w:sz w:val="28"/>
          <w:szCs w:val="28"/>
          <w:rtl/>
        </w:rPr>
        <w:t xml:space="preserve">قصد الطرفين</w:t>
      </w:r>
      <w:r>
        <w:rPr>
          <w:rFonts w:ascii="Times New Roman" w:cs="Traditional Arabic" w:hAnsi="Times New Roman"/>
          <w:sz w:val="28"/>
          <w:szCs w:val="28"/>
          <w:rtl/>
        </w:rPr>
        <w:t xml:space="preserve"> وفق قانون بيع البضائع لعام 1979. ويترتب على ذلك أن المشتري قد يتحمل مخاطر الهلاك (وفق الإنكوتيرمز) دون أن يكون مالكًا للبضاعة (وفق القانون الوطني)، أو العكس، كما حصل في قضية St. Paul Guardian.</w:t>
      </w:r>
    </w:p>
    <w:p>
      <w:pPr>
        <w:bidi/>
        <w:spacing w:after="120" w:line="340"/>
        <w:jc w:val="both"/>
      </w:pPr>
      <w:r>
        <w:rPr>
          <w:rFonts w:ascii="Times New Roman" w:cs="Traditional Arabic" w:hAnsi="Times New Roman"/>
          <w:sz w:val="28"/>
          <w:szCs w:val="28"/>
          <w:rtl/>
        </w:rPr>
        <w:t xml:space="preserve">وتكتسي هذه المسألة أهمية عملية بالغة في حالات </w:t>
      </w:r>
      <w:r>
        <w:rPr>
          <w:rFonts w:ascii="Times New Roman" w:cs="Traditional Arabic" w:hAnsi="Times New Roman"/>
          <w:b/>
          <w:bCs/>
          <w:sz w:val="28"/>
          <w:szCs w:val="28"/>
          <w:rtl/>
        </w:rPr>
        <w:t xml:space="preserve">إفلاس</w:t>
      </w:r>
      <w:r>
        <w:rPr>
          <w:rFonts w:ascii="Times New Roman" w:cs="Traditional Arabic" w:hAnsi="Times New Roman"/>
          <w:sz w:val="28"/>
          <w:szCs w:val="28"/>
          <w:rtl/>
        </w:rPr>
        <w:t xml:space="preserve"> أحد الطرفين، أو </w:t>
      </w:r>
      <w:r>
        <w:rPr>
          <w:rFonts w:ascii="Times New Roman" w:cs="Traditional Arabic" w:hAnsi="Times New Roman"/>
          <w:b/>
          <w:bCs/>
          <w:sz w:val="28"/>
          <w:szCs w:val="28"/>
          <w:rtl/>
        </w:rPr>
        <w:t xml:space="preserve">الحجز</w:t>
      </w:r>
      <w:r>
        <w:rPr>
          <w:rFonts w:ascii="Times New Roman" w:cs="Traditional Arabic" w:hAnsi="Times New Roman"/>
          <w:sz w:val="28"/>
          <w:szCs w:val="28"/>
          <w:rtl/>
        </w:rPr>
        <w:t xml:space="preserve"> على البضاعة من قبل دائني البائع أو المشتري، أو </w:t>
      </w:r>
      <w:r>
        <w:rPr>
          <w:rFonts w:ascii="Times New Roman" w:cs="Traditional Arabic" w:hAnsi="Times New Roman"/>
          <w:b/>
          <w:bCs/>
          <w:sz w:val="28"/>
          <w:szCs w:val="28"/>
          <w:rtl/>
        </w:rPr>
        <w:t xml:space="preserve">التصرف</w:t>
      </w:r>
      <w:r>
        <w:rPr>
          <w:rFonts w:ascii="Times New Roman" w:cs="Traditional Arabic" w:hAnsi="Times New Roman"/>
          <w:sz w:val="28"/>
          <w:szCs w:val="28"/>
          <w:rtl/>
        </w:rPr>
        <w:t xml:space="preserve"> في البضاعة أثناء النقل. وقد دعا بعض الفقه الغرفة إلى إدراج أحكام بشأن الملكية في الإصدارات القادمة، لكن الغرفة تمسكت باستبعادها، معللة ذلك بتعذر التوفيق بين الأنظمة الوطنية المتباينة، وبأن مسائل الملكية تتصل بالنظام العام وبحقوق الغير. وهذا الموقف، وإن كان مبررًا من الناحية التقنية، يترك فراغًا ينبغي على الأطراف ملؤه بشروط صريحة، كشرط </w:t>
      </w:r>
      <w:r>
        <w:rPr>
          <w:rFonts w:ascii="Times New Roman" w:cs="Traditional Arabic" w:hAnsi="Times New Roman"/>
          <w:b/>
          <w:bCs/>
          <w:sz w:val="28"/>
          <w:szCs w:val="28"/>
          <w:rtl/>
        </w:rPr>
        <w:t xml:space="preserve">الاحتفاظ بالملكية</w:t>
      </w:r>
      <w:r>
        <w:rPr>
          <w:rFonts w:ascii="Times New Roman" w:cs="Traditional Arabic" w:hAnsi="Times New Roman"/>
          <w:sz w:val="28"/>
          <w:szCs w:val="28"/>
          <w:rtl/>
        </w:rPr>
        <w:t xml:space="preserve">، مع مراعاة شروط صحته ونفاذه في مواجهة الغير في القانون الواجب التطبيق.</w:t>
      </w:r>
    </w:p>
    <w:p>
      <w:pPr>
        <w:bidi/>
        <w:spacing w:after="120" w:line="340"/>
        <w:jc w:val="both"/>
      </w:pPr>
      <w:r>
        <w:rPr>
          <w:rFonts w:ascii="Times New Roman" w:cs="Traditional Arabic" w:hAnsi="Times New Roman"/>
          <w:sz w:val="28"/>
          <w:szCs w:val="28"/>
          <w:rtl/>
        </w:rPr>
        <w:t xml:space="preserve">أما </w:t>
      </w:r>
      <w:r>
        <w:rPr>
          <w:rFonts w:ascii="Times New Roman" w:cs="Traditional Arabic" w:hAnsi="Times New Roman"/>
          <w:b/>
          <w:bCs/>
          <w:sz w:val="28"/>
          <w:szCs w:val="28"/>
          <w:rtl/>
        </w:rPr>
        <w:t xml:space="preserve">جزاءات الإخلال</w:t>
      </w:r>
      <w:r>
        <w:rPr>
          <w:rFonts w:ascii="Times New Roman" w:cs="Traditional Arabic" w:hAnsi="Times New Roman"/>
          <w:sz w:val="28"/>
          <w:szCs w:val="28"/>
          <w:rtl/>
        </w:rPr>
        <w:t xml:space="preserve"> بالالتزامات الواردة في الإنكوتيرمز، فالقواعد لا تنظمها أيضًا. فإذا لم يبرم البائع عقد التأمين في CIF، أو أبرمه بمستوى تغطية أدنى، فما الجزاء؟ هل يحق للمشتري فسخ العقد، أم يقتصر حقه على التعويض؟ وهل يُعدّ الإخلال بالتزام تقديم المستندات إخلالًا جوهريًا بمعنى المادة 25 من اتفاقية فيينا؟ تبقى الإجابة رهينة القانون الواجب التطبيق وتقدير القاضي أو المحكم. وقد جرى القضاء الإنجليزي تقليديًا على اعتبار الالتزامات المستندية في البيع CIF </w:t>
      </w:r>
      <w:r>
        <w:rPr>
          <w:rFonts w:ascii="Times New Roman" w:cs="Traditional Arabic" w:hAnsi="Times New Roman"/>
          <w:b/>
          <w:bCs/>
          <w:sz w:val="28"/>
          <w:szCs w:val="28"/>
          <w:rtl/>
        </w:rPr>
        <w:t xml:space="preserve">شروطًا جوهرية</w:t>
      </w:r>
      <w:r>
        <w:rPr>
          <w:rFonts w:ascii="Times New Roman" w:cs="Traditional Arabic" w:hAnsi="Times New Roman"/>
          <w:sz w:val="28"/>
          <w:szCs w:val="28"/>
          <w:rtl/>
        </w:rPr>
        <w:t xml:space="preserve"> يبرر الإخلال بها رفض المستندات، في حين تعتمد اتفاقية فيينا معيار الإخلال الجوهري الأكثر مرونة.</w:t>
      </w:r>
    </w:p>
    <w:p>
      <w:pPr>
        <w:pStyle w:val="Heading3"/>
        <w:bidi/>
        <w:spacing w:after="160" w:before="240"/>
        <w:jc w:val="right"/>
      </w:pPr>
      <w:r>
        <w:rPr>
          <w:rFonts w:ascii="Times New Roman" w:cs="Traditional Arabic" w:hAnsi="Times New Roman"/>
          <w:b/>
          <w:bCs/>
          <w:color w:val="2E5496"/>
          <w:sz w:val="28"/>
          <w:szCs w:val="28"/>
          <w:rtl/>
        </w:rPr>
        <w:t xml:space="preserve">الفرع الثالث: إشكاليات النقل بالحاويات والرقمنة والتحديات المستجدة</w:t>
      </w:r>
    </w:p>
    <w:p>
      <w:pPr>
        <w:bidi/>
        <w:spacing w:after="120" w:line="340"/>
        <w:jc w:val="both"/>
      </w:pPr>
      <w:r>
        <w:rPr>
          <w:rFonts w:ascii="Times New Roman" w:cs="Traditional Arabic" w:hAnsi="Times New Roman"/>
          <w:b/>
          <w:bCs/>
          <w:sz w:val="28"/>
          <w:szCs w:val="28"/>
          <w:rtl/>
        </w:rPr>
        <w:t xml:space="preserve">أولًا: الاستعمال الخاطئ للقواعد البحرية في نقل الحاويات</w:t>
      </w:r>
    </w:p>
    <w:p>
      <w:pPr>
        <w:bidi/>
        <w:spacing w:after="120" w:line="340"/>
        <w:jc w:val="both"/>
      </w:pPr>
      <w:r>
        <w:rPr>
          <w:rFonts w:ascii="Times New Roman" w:cs="Traditional Arabic" w:hAnsi="Times New Roman"/>
          <w:sz w:val="28"/>
          <w:szCs w:val="28"/>
          <w:rtl/>
        </w:rPr>
        <w:t xml:space="preserve">من أبرز الإشكاليات العملية استمرار استعمال </w:t>
      </w:r>
      <w:r>
        <w:rPr>
          <w:rFonts w:ascii="Times New Roman" w:cs="Traditional Arabic" w:hAnsi="Times New Roman"/>
          <w:b/>
          <w:bCs/>
          <w:sz w:val="28"/>
          <w:szCs w:val="28"/>
          <w:rtl/>
        </w:rPr>
        <w:t xml:space="preserve">FOB وCFR وCIF</w:t>
      </w:r>
      <w:r>
        <w:rPr>
          <w:rFonts w:ascii="Times New Roman" w:cs="Traditional Arabic" w:hAnsi="Times New Roman"/>
          <w:sz w:val="28"/>
          <w:szCs w:val="28"/>
          <w:rtl/>
        </w:rPr>
        <w:t xml:space="preserve"> في شحن </w:t>
      </w:r>
      <w:r>
        <w:rPr>
          <w:rFonts w:ascii="Times New Roman" w:cs="Traditional Arabic" w:hAnsi="Times New Roman"/>
          <w:b/>
          <w:bCs/>
          <w:sz w:val="28"/>
          <w:szCs w:val="28"/>
          <w:rtl/>
        </w:rPr>
        <w:t xml:space="preserve">الحاويات</w:t>
      </w:r>
      <w:r>
        <w:rPr>
          <w:rFonts w:ascii="Times New Roman" w:cs="Traditional Arabic" w:hAnsi="Times New Roman"/>
          <w:sz w:val="28"/>
          <w:szCs w:val="28"/>
          <w:rtl/>
        </w:rPr>
        <w:t xml:space="preserve">، رغم تحذيرات الغرفة المتكررة منذ 1980. ففي النقل بالحاويات، يسلم البائع الحاوية إلى الناقل في </w:t>
      </w:r>
      <w:r>
        <w:rPr>
          <w:rFonts w:ascii="Times New Roman" w:cs="Traditional Arabic" w:hAnsi="Times New Roman"/>
          <w:b/>
          <w:bCs/>
          <w:sz w:val="28"/>
          <w:szCs w:val="28"/>
          <w:rtl/>
        </w:rPr>
        <w:t xml:space="preserve">محطة الحاويات</w:t>
      </w:r>
      <w:r>
        <w:rPr>
          <w:rFonts w:ascii="Times New Roman" w:cs="Traditional Arabic" w:hAnsi="Times New Roman"/>
          <w:sz w:val="28"/>
          <w:szCs w:val="28"/>
          <w:rtl/>
        </w:rPr>
        <w:t xml:space="preserve"> قبل تحميلها على السفينة بأيام، فيفقد السيطرة عليها، لكن المخاطر لا تنتقل وفق FOB أو CIF إلا عند وضعها على ظهر السفينة. ويبقى البائع بذلك معرضًا لمخاطر تقع في مرحلة لا يتحكم فيها ولا يستطيع إثبات وقائعها. والحل الذي توصي به الغرفة هو استعمال </w:t>
      </w:r>
      <w:r>
        <w:rPr>
          <w:rFonts w:ascii="Times New Roman" w:cs="Traditional Arabic" w:hAnsi="Times New Roman"/>
          <w:b/>
          <w:bCs/>
          <w:sz w:val="28"/>
          <w:szCs w:val="28"/>
          <w:rtl/>
        </w:rPr>
        <w:t xml:space="preserve">FCA وCPT وCIP</w:t>
      </w:r>
      <w:r>
        <w:rPr>
          <w:rFonts w:ascii="Times New Roman" w:cs="Traditional Arabic" w:hAnsi="Times New Roman"/>
          <w:sz w:val="28"/>
          <w:szCs w:val="28"/>
          <w:rtl/>
        </w:rPr>
        <w:t xml:space="preserve"> بدلًا منها. غير أن قوة العادة، ومتطلبات بعض البنوك، واعتماد الأنظمة الجمركية والإحصائية على مفهومي FOB وCIF، تجعل هذه التوصية بطيئة التطبيق.</w:t>
      </w:r>
    </w:p>
    <w:p>
      <w:pPr>
        <w:bidi/>
        <w:spacing w:after="120" w:line="340"/>
        <w:jc w:val="both"/>
      </w:pPr>
      <w:r>
        <w:rPr>
          <w:rFonts w:ascii="Times New Roman" w:cs="Traditional Arabic" w:hAnsi="Times New Roman"/>
          <w:b/>
          <w:bCs/>
          <w:sz w:val="28"/>
          <w:szCs w:val="28"/>
          <w:rtl/>
        </w:rPr>
        <w:t xml:space="preserve">ثانيًا: الرقمنة والمستندات الإلكترونية</w:t>
      </w:r>
    </w:p>
    <w:p>
      <w:pPr>
        <w:bidi/>
        <w:spacing w:after="120" w:line="340"/>
        <w:jc w:val="both"/>
      </w:pPr>
      <w:r>
        <w:rPr>
          <w:rFonts w:ascii="Times New Roman" w:cs="Traditional Arabic" w:hAnsi="Times New Roman"/>
          <w:sz w:val="28"/>
          <w:szCs w:val="28"/>
          <w:rtl/>
        </w:rPr>
        <w:t xml:space="preserve">أقرت الإنكوتيرمز منذ 1990 إمكانية استبدال المستندات الورقية بسجلات إلكترونية إذا اتفق الطرفان على ذلك أو جرى به العرف. غير أن التحدي الحقيقي يكمن في </w:t>
      </w:r>
      <w:r>
        <w:rPr>
          <w:rFonts w:ascii="Times New Roman" w:cs="Traditional Arabic" w:hAnsi="Times New Roman"/>
          <w:b/>
          <w:bCs/>
          <w:sz w:val="28"/>
          <w:szCs w:val="28"/>
          <w:rtl/>
        </w:rPr>
        <w:t xml:space="preserve">الاعتراف القانوني</w:t>
      </w:r>
      <w:r>
        <w:rPr>
          <w:rFonts w:ascii="Times New Roman" w:cs="Traditional Arabic" w:hAnsi="Times New Roman"/>
          <w:sz w:val="28"/>
          <w:szCs w:val="28"/>
          <w:rtl/>
        </w:rPr>
        <w:t xml:space="preserve"> بالمستندات الإلكترونية القابلة للتحويل، ولاسيما </w:t>
      </w:r>
      <w:r>
        <w:rPr>
          <w:rFonts w:ascii="Times New Roman" w:cs="Traditional Arabic" w:hAnsi="Times New Roman"/>
          <w:b/>
          <w:bCs/>
          <w:sz w:val="28"/>
          <w:szCs w:val="28"/>
          <w:rtl/>
        </w:rPr>
        <w:t xml:space="preserve">بوليصة الشحن الإلكترونية</w:t>
      </w:r>
      <w:r>
        <w:rPr>
          <w:rFonts w:ascii="Times New Roman" w:cs="Traditional Arabic" w:hAnsi="Times New Roman"/>
          <w:sz w:val="28"/>
          <w:szCs w:val="28"/>
          <w:rtl/>
        </w:rPr>
        <w:t xml:space="preserve">، التي تستلزم ضمان تفرّدها وإمكانية نقل «السيطرة» عليها بما يعادل الحيازة المادية للسند الورقي. وقد اعتمدت الأونسيترال سنة </w:t>
      </w:r>
      <w:r>
        <w:rPr>
          <w:rFonts w:ascii="Times New Roman" w:cs="Traditional Arabic" w:hAnsi="Times New Roman"/>
          <w:b/>
          <w:bCs/>
          <w:sz w:val="28"/>
          <w:szCs w:val="28"/>
          <w:rtl/>
        </w:rPr>
        <w:t xml:space="preserve">2017</w:t>
      </w:r>
      <w:r>
        <w:rPr>
          <w:rFonts w:ascii="Times New Roman" w:cs="Traditional Arabic" w:hAnsi="Times New Roman"/>
          <w:sz w:val="28"/>
          <w:szCs w:val="28"/>
          <w:rtl/>
        </w:rPr>
        <w:t xml:space="preserve"> </w:t>
      </w:r>
      <w:r>
        <w:rPr>
          <w:rFonts w:ascii="Times New Roman" w:cs="Traditional Arabic" w:hAnsi="Times New Roman"/>
          <w:b/>
          <w:bCs/>
          <w:sz w:val="28"/>
          <w:szCs w:val="28"/>
          <w:rtl/>
        </w:rPr>
        <w:t xml:space="preserve">القانون النموذجي بشأن السجلات الإلكترونية القابلة للتحويل (MLETR)</w:t>
      </w:r>
      <w:r>
        <w:rPr>
          <w:rFonts w:ascii="Times New Roman" w:cs="Traditional Arabic" w:hAnsi="Times New Roman"/>
          <w:sz w:val="28"/>
          <w:szCs w:val="28"/>
          <w:rtl/>
        </w:rPr>
        <w:t xml:space="preserve">، الذي بدأت دول عدة في تبنيه، كما أصدرت الغرفة </w:t>
      </w:r>
      <w:r>
        <w:rPr>
          <w:rFonts w:ascii="Times New Roman" w:cs="Traditional Arabic" w:hAnsi="Times New Roman"/>
          <w:b/>
          <w:bCs/>
          <w:sz w:val="28"/>
          <w:szCs w:val="28"/>
          <w:rtl/>
        </w:rPr>
        <w:t xml:space="preserve">الملحق الإلكتروني للأعراف الموحدة للاعتمادات المستندية (eUCP)</w:t>
      </w:r>
      <w:r>
        <w:rPr>
          <w:rFonts w:ascii="Times New Roman" w:cs="Traditional Arabic" w:hAnsi="Times New Roman"/>
          <w:sz w:val="28"/>
          <w:szCs w:val="28"/>
          <w:rtl/>
        </w:rPr>
        <w:t xml:space="preserve">. ويُنتظر أن تتناول المراجعة القادمة للإنكوتيرمز هذه المستجدات بصورة أعمق، لضمان انسجام الالتزامات المستندية مع البيئة الرقمية.</w:t>
      </w:r>
    </w:p>
    <w:p>
      <w:pPr>
        <w:bidi/>
        <w:spacing w:after="120" w:line="340"/>
        <w:jc w:val="both"/>
      </w:pPr>
      <w:r>
        <w:rPr>
          <w:rFonts w:ascii="Times New Roman" w:cs="Traditional Arabic" w:hAnsi="Times New Roman"/>
          <w:b/>
          <w:bCs/>
          <w:sz w:val="28"/>
          <w:szCs w:val="28"/>
          <w:rtl/>
        </w:rPr>
        <w:t xml:space="preserve">ثالثًا: التحديات المستجدة</w:t>
      </w:r>
    </w:p>
    <w:p>
      <w:pPr>
        <w:bidi/>
        <w:spacing w:after="120" w:line="340"/>
        <w:jc w:val="both"/>
      </w:pPr>
      <w:r>
        <w:rPr>
          <w:rFonts w:ascii="Times New Roman" w:cs="Traditional Arabic" w:hAnsi="Times New Roman"/>
          <w:sz w:val="28"/>
          <w:szCs w:val="28"/>
          <w:rtl/>
        </w:rPr>
        <w:t xml:space="preserve">تواجه القواعد اليوم تحديات لم تكن مطروحة بحدة عند صياغتها، منها: </w:t>
      </w:r>
      <w:r>
        <w:rPr>
          <w:rFonts w:ascii="Times New Roman" w:cs="Traditional Arabic" w:hAnsi="Times New Roman"/>
          <w:b/>
          <w:bCs/>
          <w:sz w:val="28"/>
          <w:szCs w:val="28"/>
          <w:rtl/>
        </w:rPr>
        <w:t xml:space="preserve">العقوبات الاقتصادية وقيود التصدير</w:t>
      </w:r>
      <w:r>
        <w:rPr>
          <w:rFonts w:ascii="Times New Roman" w:cs="Traditional Arabic" w:hAnsi="Times New Roman"/>
          <w:sz w:val="28"/>
          <w:szCs w:val="28"/>
          <w:rtl/>
        </w:rPr>
        <w:t xml:space="preserve"> التي قد تجعل تنفيذ الالتزامات الجمركية مستحيلًا أو غير مشروع؛ ومتطلبات </w:t>
      </w:r>
      <w:r>
        <w:rPr>
          <w:rFonts w:ascii="Times New Roman" w:cs="Traditional Arabic" w:hAnsi="Times New Roman"/>
          <w:b/>
          <w:bCs/>
          <w:sz w:val="28"/>
          <w:szCs w:val="28"/>
          <w:rtl/>
        </w:rPr>
        <w:t xml:space="preserve">الأمن</w:t>
      </w:r>
      <w:r>
        <w:rPr>
          <w:rFonts w:ascii="Times New Roman" w:cs="Traditional Arabic" w:hAnsi="Times New Roman"/>
          <w:sz w:val="28"/>
          <w:szCs w:val="28"/>
          <w:rtl/>
        </w:rPr>
        <w:t xml:space="preserve"> في سلاسل الإمداد التي أدمجها إصدار 2020 لكنها تتطور بسرعة؛ ومتطلبات </w:t>
      </w:r>
      <w:r>
        <w:rPr>
          <w:rFonts w:ascii="Times New Roman" w:cs="Traditional Arabic" w:hAnsi="Times New Roman"/>
          <w:b/>
          <w:bCs/>
          <w:sz w:val="28"/>
          <w:szCs w:val="28"/>
          <w:rtl/>
        </w:rPr>
        <w:t xml:space="preserve">الاستدامة</w:t>
      </w:r>
      <w:r>
        <w:rPr>
          <w:rFonts w:ascii="Times New Roman" w:cs="Traditional Arabic" w:hAnsi="Times New Roman"/>
          <w:sz w:val="28"/>
          <w:szCs w:val="28"/>
          <w:rtl/>
        </w:rPr>
        <w:t xml:space="preserve"> والإفصاح البيئي، كآليات تعديل الكربون على الحدود، التي تثير تساؤلات حول من يتحمل الالتزامات والتكاليف المرتبطة بها؛ فضلًا عن أزمات </w:t>
      </w:r>
      <w:r>
        <w:rPr>
          <w:rFonts w:ascii="Times New Roman" w:cs="Traditional Arabic" w:hAnsi="Times New Roman"/>
          <w:b/>
          <w:bCs/>
          <w:sz w:val="28"/>
          <w:szCs w:val="28"/>
          <w:rtl/>
        </w:rPr>
        <w:t xml:space="preserve">سلاسل الإمداد</w:t>
      </w:r>
      <w:r>
        <w:rPr>
          <w:rFonts w:ascii="Times New Roman" w:cs="Traditional Arabic" w:hAnsi="Times New Roman"/>
          <w:sz w:val="28"/>
          <w:szCs w:val="28"/>
          <w:rtl/>
        </w:rPr>
        <w:t xml:space="preserve"> التي كشفت عنها الجائحة والتوترات الجيوسياسية، والتي أبرزت أهمية التوزيع الدقيق للمخاطر ولتكاليف التأخير والتخزين. وتطرح هذه التحديات تساؤلًا حول قدرة القواعد، بصيغتها الحالية، على استيعاب هذه المستجدات، أو ضرورة توسيع نطاقها في المراجعة القادمة.</w:t>
      </w:r>
    </w:p>
    <w:p>
      <w:r>
        <w:br w:type="page"/>
      </w:r>
    </w:p>
    <w:p>
      <w:pPr>
        <w:pStyle w:val="Heading1"/>
        <w:bidi/>
        <w:spacing w:after="160" w:before="360"/>
        <w:jc w:val="center"/>
      </w:pPr>
      <w:r>
        <w:rPr>
          <w:rFonts w:ascii="Times New Roman" w:cs="Traditional Arabic" w:hAnsi="Times New Roman"/>
          <w:b/>
          <w:bCs/>
          <w:color w:val="1F3864"/>
          <w:sz w:val="34"/>
          <w:szCs w:val="34"/>
          <w:rtl/>
        </w:rPr>
        <w:t xml:space="preserve">خاتمة</w:t>
      </w:r>
    </w:p>
    <w:p>
      <w:pPr>
        <w:bidi/>
        <w:spacing w:after="120" w:line="340"/>
        <w:jc w:val="both"/>
      </w:pPr>
      <w:r>
        <w:rPr>
          <w:rFonts w:ascii="Times New Roman" w:cs="Traditional Arabic" w:hAnsi="Times New Roman"/>
          <w:sz w:val="28"/>
          <w:szCs w:val="28"/>
          <w:rtl/>
        </w:rPr>
        <w:t xml:space="preserve">حاولت هذه الدراسة الإجابة عن إشكالية مركزية تتعلق بمدى قدرة قواعد الإنكوتيرمز، بوصفها تقنينًا خاصًا صادرًا عن هيئة مهنية غير حكومية، على أداء وظيفة توحيد قانون البيع الدولي وتحقيق الأمن القانوني، وعن حدود هذه الوظيفة. وقد انتهينا من خلال مباحثها الثلاثة إلى جملة من النتائج والتوصيات.</w:t>
      </w:r>
    </w:p>
    <w:p>
      <w:pPr>
        <w:pStyle w:val="Heading2"/>
        <w:bidi/>
        <w:spacing w:after="160" w:before="240"/>
        <w:jc w:val="right"/>
      </w:pPr>
      <w:r>
        <w:rPr>
          <w:rFonts w:ascii="Times New Roman" w:cs="Traditional Arabic" w:hAnsi="Times New Roman"/>
          <w:b/>
          <w:bCs/>
          <w:color w:val="2E5496"/>
          <w:sz w:val="30"/>
          <w:szCs w:val="30"/>
          <w:rtl/>
        </w:rPr>
        <w:t xml:space="preserve">أولًا: النتائج</w:t>
      </w:r>
    </w:p>
    <w:p>
      <w:pPr>
        <w:bidi/>
        <w:spacing w:after="120" w:line="340"/>
        <w:ind w:right="360" w:hanging="360"/>
        <w:jc w:val="both"/>
      </w:pPr>
      <w:r>
        <w:rPr>
          <w:rFonts w:ascii="Times New Roman" w:cs="Traditional Arabic" w:hAnsi="Times New Roman"/>
          <w:sz w:val="28"/>
          <w:szCs w:val="28"/>
          <w:rtl/>
        </w:rPr>
        <w:t xml:space="preserve">1. إن قواعد الإنكوتيرمز مؤسسة قانونية </w:t>
      </w:r>
      <w:r>
        <w:rPr>
          <w:rFonts w:ascii="Times New Roman" w:cs="Traditional Arabic" w:hAnsi="Times New Roman"/>
          <w:b/>
          <w:bCs/>
          <w:sz w:val="28"/>
          <w:szCs w:val="28"/>
          <w:rtl/>
        </w:rPr>
        <w:t xml:space="preserve">ذات طبيعة مزدوجة</w:t>
      </w:r>
      <w:r>
        <w:rPr>
          <w:rFonts w:ascii="Times New Roman" w:cs="Traditional Arabic" w:hAnsi="Times New Roman"/>
          <w:sz w:val="28"/>
          <w:szCs w:val="28"/>
          <w:rtl/>
        </w:rPr>
        <w:t xml:space="preserve">: فهي في أصلها شروط تعاقدية نموذجية تستمد قوتها من الإرادة، لكن نواتها الصلبة، ولاسيما تعريف نقطة التسليم وانتقال تبعة الهلاك في المصطلحات الكلاسيكية، ارتقت إلى مرتبة </w:t>
      </w:r>
      <w:r>
        <w:rPr>
          <w:rFonts w:ascii="Times New Roman" w:cs="Traditional Arabic" w:hAnsi="Times New Roman"/>
          <w:b/>
          <w:bCs/>
          <w:sz w:val="28"/>
          <w:szCs w:val="28"/>
          <w:rtl/>
        </w:rPr>
        <w:t xml:space="preserve">العرف التجاري الدولي</w:t>
      </w:r>
      <w:r>
        <w:rPr>
          <w:rFonts w:ascii="Times New Roman" w:cs="Traditional Arabic" w:hAnsi="Times New Roman"/>
          <w:sz w:val="28"/>
          <w:szCs w:val="28"/>
          <w:rtl/>
        </w:rPr>
        <w:t xml:space="preserve"> الذي يندمج في العقد بقوة المادة 9 (2) من اتفاقية فيينا، كما أكد القضاء في قضيتي St. Paul Guardian وBP Oil.</w:t>
      </w:r>
    </w:p>
    <w:p>
      <w:pPr>
        <w:bidi/>
        <w:spacing w:after="120" w:line="340"/>
        <w:ind w:right="360" w:hanging="360"/>
        <w:jc w:val="both"/>
      </w:pPr>
      <w:r>
        <w:rPr>
          <w:rFonts w:ascii="Times New Roman" w:cs="Traditional Arabic" w:hAnsi="Times New Roman"/>
          <w:sz w:val="28"/>
          <w:szCs w:val="28"/>
          <w:rtl/>
        </w:rPr>
        <w:t xml:space="preserve">2. إن نجاح القواعد يعود إلى </w:t>
      </w:r>
      <w:r>
        <w:rPr>
          <w:rFonts w:ascii="Times New Roman" w:cs="Traditional Arabic" w:hAnsi="Times New Roman"/>
          <w:b/>
          <w:bCs/>
          <w:sz w:val="28"/>
          <w:szCs w:val="28"/>
          <w:rtl/>
        </w:rPr>
        <w:t xml:space="preserve">مرونتها وقدرتها على التطور</w:t>
      </w:r>
      <w:r>
        <w:rPr>
          <w:rFonts w:ascii="Times New Roman" w:cs="Traditional Arabic" w:hAnsi="Times New Roman"/>
          <w:sz w:val="28"/>
          <w:szCs w:val="28"/>
          <w:rtl/>
        </w:rPr>
        <w:t xml:space="preserve">: فقد انتقلت منذ 1936 عبر مراجعات متعاقبة من منطق النقل البحري التقليدي إلى منطق النقل متعدد الوسائط والحاويات، ومن المستندات الورقية إلى المستندات الإلكترونية، ومن التجارة الدولية إلى التجارة الداخلية، وحظيت بتأييد الأونسيترال المتكرر.</w:t>
      </w:r>
    </w:p>
    <w:p>
      <w:pPr>
        <w:bidi/>
        <w:spacing w:after="120" w:line="340"/>
        <w:ind w:right="360" w:hanging="360"/>
        <w:jc w:val="both"/>
      </w:pPr>
      <w:r>
        <w:rPr>
          <w:rFonts w:ascii="Times New Roman" w:cs="Traditional Arabic" w:hAnsi="Times New Roman"/>
          <w:sz w:val="28"/>
          <w:szCs w:val="28"/>
          <w:rtl/>
        </w:rPr>
        <w:t xml:space="preserve">3. إن القواعد تحتل </w:t>
      </w:r>
      <w:r>
        <w:rPr>
          <w:rFonts w:ascii="Times New Roman" w:cs="Traditional Arabic" w:hAnsi="Times New Roman"/>
          <w:b/>
          <w:bCs/>
          <w:sz w:val="28"/>
          <w:szCs w:val="28"/>
          <w:rtl/>
        </w:rPr>
        <w:t xml:space="preserve">موقعًا محوريًا في شبكة العقود</w:t>
      </w:r>
      <w:r>
        <w:rPr>
          <w:rFonts w:ascii="Times New Roman" w:cs="Traditional Arabic" w:hAnsi="Times New Roman"/>
          <w:sz w:val="28"/>
          <w:szCs w:val="28"/>
          <w:rtl/>
        </w:rPr>
        <w:t xml:space="preserve"> المرتبطة بالبيع الدولي، فهي تحدد من يبرم عقدي النقل والتأمين، وما المستندات الواجب تقديمها في الاعتماد المستندي، وترتبط عمليًا بتحديد القيمة الجمركية، دون أن تحكم هذه العقود والعلاقات ذاتها.</w:t>
      </w:r>
    </w:p>
    <w:p>
      <w:pPr>
        <w:bidi/>
        <w:spacing w:after="120" w:line="340"/>
        <w:ind w:right="360" w:hanging="360"/>
        <w:jc w:val="both"/>
      </w:pPr>
      <w:r>
        <w:rPr>
          <w:rFonts w:ascii="Times New Roman" w:cs="Traditional Arabic" w:hAnsi="Times New Roman"/>
          <w:sz w:val="28"/>
          <w:szCs w:val="28"/>
          <w:rtl/>
        </w:rPr>
        <w:t xml:space="preserve">4. إن القواعد تعاني من </w:t>
      </w:r>
      <w:r>
        <w:rPr>
          <w:rFonts w:ascii="Times New Roman" w:cs="Traditional Arabic" w:hAnsi="Times New Roman"/>
          <w:b/>
          <w:bCs/>
          <w:sz w:val="28"/>
          <w:szCs w:val="28"/>
          <w:rtl/>
        </w:rPr>
        <w:t xml:space="preserve">حدود موضوعية</w:t>
      </w:r>
      <w:r>
        <w:rPr>
          <w:rFonts w:ascii="Times New Roman" w:cs="Traditional Arabic" w:hAnsi="Times New Roman"/>
          <w:sz w:val="28"/>
          <w:szCs w:val="28"/>
          <w:rtl/>
        </w:rPr>
        <w:t xml:space="preserve"> مقصودة، أبرزها سكوتها عن </w:t>
      </w:r>
      <w:r>
        <w:rPr>
          <w:rFonts w:ascii="Times New Roman" w:cs="Traditional Arabic" w:hAnsi="Times New Roman"/>
          <w:b/>
          <w:bCs/>
          <w:sz w:val="28"/>
          <w:szCs w:val="28"/>
          <w:rtl/>
        </w:rPr>
        <w:t xml:space="preserve">انتقال الملكية</w:t>
      </w:r>
      <w:r>
        <w:rPr>
          <w:rFonts w:ascii="Times New Roman" w:cs="Traditional Arabic" w:hAnsi="Times New Roman"/>
          <w:sz w:val="28"/>
          <w:szCs w:val="28"/>
          <w:rtl/>
        </w:rPr>
        <w:t xml:space="preserve"> وعن </w:t>
      </w:r>
      <w:r>
        <w:rPr>
          <w:rFonts w:ascii="Times New Roman" w:cs="Traditional Arabic" w:hAnsi="Times New Roman"/>
          <w:b/>
          <w:bCs/>
          <w:sz w:val="28"/>
          <w:szCs w:val="28"/>
          <w:rtl/>
        </w:rPr>
        <w:t xml:space="preserve">جزاءات الإخلال</w:t>
      </w:r>
      <w:r>
        <w:rPr>
          <w:rFonts w:ascii="Times New Roman" w:cs="Traditional Arabic" w:hAnsi="Times New Roman"/>
          <w:sz w:val="28"/>
          <w:szCs w:val="28"/>
          <w:rtl/>
        </w:rPr>
        <w:t xml:space="preserve">، وهو سكوت يترك المسألة للقوانين الوطنية المتباينة، ويُحدث أحيانًا انفصالًا بين من يتحمل المخاطر ومن يملك البضاعة.</w:t>
      </w:r>
    </w:p>
    <w:p>
      <w:pPr>
        <w:bidi/>
        <w:spacing w:after="120" w:line="340"/>
        <w:ind w:right="360" w:hanging="360"/>
        <w:jc w:val="both"/>
      </w:pPr>
      <w:r>
        <w:rPr>
          <w:rFonts w:ascii="Times New Roman" w:cs="Traditional Arabic" w:hAnsi="Times New Roman"/>
          <w:sz w:val="28"/>
          <w:szCs w:val="28"/>
          <w:rtl/>
        </w:rPr>
        <w:t xml:space="preserve">5. إن </w:t>
      </w:r>
      <w:r>
        <w:rPr>
          <w:rFonts w:ascii="Times New Roman" w:cs="Traditional Arabic" w:hAnsi="Times New Roman"/>
          <w:b/>
          <w:bCs/>
          <w:sz w:val="28"/>
          <w:szCs w:val="28"/>
          <w:rtl/>
        </w:rPr>
        <w:t xml:space="preserve">تعايش الإصدارات المتعددة</w:t>
      </w:r>
      <w:r>
        <w:rPr>
          <w:rFonts w:ascii="Times New Roman" w:cs="Traditional Arabic" w:hAnsi="Times New Roman"/>
          <w:sz w:val="28"/>
          <w:szCs w:val="28"/>
          <w:rtl/>
        </w:rPr>
        <w:t xml:space="preserve">، و</w:t>
      </w:r>
      <w:r>
        <w:rPr>
          <w:rFonts w:ascii="Times New Roman" w:cs="Traditional Arabic" w:hAnsi="Times New Roman"/>
          <w:b/>
          <w:bCs/>
          <w:sz w:val="28"/>
          <w:szCs w:val="28"/>
          <w:rtl/>
        </w:rPr>
        <w:t xml:space="preserve">التعديلات الاتفاقية</w:t>
      </w:r>
      <w:r>
        <w:rPr>
          <w:rFonts w:ascii="Times New Roman" w:cs="Traditional Arabic" w:hAnsi="Times New Roman"/>
          <w:sz w:val="28"/>
          <w:szCs w:val="28"/>
          <w:rtl/>
        </w:rPr>
        <w:t xml:space="preserve"> غير الدقيقة، و</w:t>
      </w:r>
      <w:r>
        <w:rPr>
          <w:rFonts w:ascii="Times New Roman" w:cs="Traditional Arabic" w:hAnsi="Times New Roman"/>
          <w:b/>
          <w:bCs/>
          <w:sz w:val="28"/>
          <w:szCs w:val="28"/>
          <w:rtl/>
        </w:rPr>
        <w:t xml:space="preserve">التفسيرات الوطنية</w:t>
      </w:r>
      <w:r>
        <w:rPr>
          <w:rFonts w:ascii="Times New Roman" w:cs="Traditional Arabic" w:hAnsi="Times New Roman"/>
          <w:sz w:val="28"/>
          <w:szCs w:val="28"/>
          <w:rtl/>
        </w:rPr>
        <w:t xml:space="preserve"> المغايرة، و</w:t>
      </w:r>
      <w:r>
        <w:rPr>
          <w:rFonts w:ascii="Times New Roman" w:cs="Traditional Arabic" w:hAnsi="Times New Roman"/>
          <w:b/>
          <w:bCs/>
          <w:sz w:val="28"/>
          <w:szCs w:val="28"/>
          <w:rtl/>
        </w:rPr>
        <w:t xml:space="preserve">الاستعمال الخاطئ</w:t>
      </w:r>
      <w:r>
        <w:rPr>
          <w:rFonts w:ascii="Times New Roman" w:cs="Traditional Arabic" w:hAnsi="Times New Roman"/>
          <w:sz w:val="28"/>
          <w:szCs w:val="28"/>
          <w:rtl/>
        </w:rPr>
        <w:t xml:space="preserve"> للقواعد البحرية في شحن الحاويات، تمثل مصادر مستمرة للمنازعات، تحد من الأثر التوحيدي للقواعد.</w:t>
      </w:r>
    </w:p>
    <w:p>
      <w:pPr>
        <w:bidi/>
        <w:spacing w:after="120" w:line="340"/>
        <w:ind w:right="360" w:hanging="360"/>
        <w:jc w:val="both"/>
      </w:pPr>
      <w:r>
        <w:rPr>
          <w:rFonts w:ascii="Times New Roman" w:cs="Traditional Arabic" w:hAnsi="Times New Roman"/>
          <w:sz w:val="28"/>
          <w:szCs w:val="28"/>
          <w:rtl/>
        </w:rPr>
        <w:t xml:space="preserve">6. إن القواعد تواجه </w:t>
      </w:r>
      <w:r>
        <w:rPr>
          <w:rFonts w:ascii="Times New Roman" w:cs="Traditional Arabic" w:hAnsi="Times New Roman"/>
          <w:b/>
          <w:bCs/>
          <w:sz w:val="28"/>
          <w:szCs w:val="28"/>
          <w:rtl/>
        </w:rPr>
        <w:t xml:space="preserve">تحديات مستجدة</w:t>
      </w:r>
      <w:r>
        <w:rPr>
          <w:rFonts w:ascii="Times New Roman" w:cs="Traditional Arabic" w:hAnsi="Times New Roman"/>
          <w:sz w:val="28"/>
          <w:szCs w:val="28"/>
          <w:rtl/>
        </w:rPr>
        <w:t xml:space="preserve"> تتعلق بالرقمنة والعقوبات الاقتصادية والأمن والاستدامة، يُنتظر أن تشكل محاور المراجعة القادمة.</w:t>
      </w:r>
    </w:p>
    <w:p>
      <w:pPr>
        <w:pStyle w:val="Heading2"/>
        <w:bidi/>
        <w:spacing w:after="160" w:before="240"/>
        <w:jc w:val="right"/>
      </w:pPr>
      <w:r>
        <w:rPr>
          <w:rFonts w:ascii="Times New Roman" w:cs="Traditional Arabic" w:hAnsi="Times New Roman"/>
          <w:b/>
          <w:bCs/>
          <w:color w:val="2E5496"/>
          <w:sz w:val="30"/>
          <w:szCs w:val="30"/>
          <w:rtl/>
        </w:rPr>
        <w:t xml:space="preserve">ثانيًا: التوصيات</w:t>
      </w:r>
    </w:p>
    <w:p>
      <w:pPr>
        <w:bidi/>
        <w:spacing w:after="120" w:line="340"/>
        <w:ind w:right="360" w:hanging="360"/>
        <w:jc w:val="both"/>
      </w:pPr>
      <w:r>
        <w:rPr>
          <w:rFonts w:ascii="Times New Roman" w:cs="Traditional Arabic" w:hAnsi="Times New Roman"/>
          <w:sz w:val="28"/>
          <w:szCs w:val="28"/>
          <w:rtl/>
        </w:rPr>
        <w:t xml:space="preserve">1. </w:t>
      </w:r>
      <w:r>
        <w:rPr>
          <w:rFonts w:ascii="Times New Roman" w:cs="Traditional Arabic" w:hAnsi="Times New Roman"/>
          <w:b/>
          <w:bCs/>
          <w:sz w:val="28"/>
          <w:szCs w:val="28"/>
          <w:rtl/>
        </w:rPr>
        <w:t xml:space="preserve">على مستوى المتعاملين</w:t>
      </w:r>
      <w:r>
        <w:rPr>
          <w:rFonts w:ascii="Times New Roman" w:cs="Traditional Arabic" w:hAnsi="Times New Roman"/>
          <w:sz w:val="28"/>
          <w:szCs w:val="28"/>
          <w:rtl/>
        </w:rPr>
        <w:t xml:space="preserve">: ضرورة الصياغة الكاملة للشرط بذكر القاعدة والمكان المسمى بدقة والإصدار (Incoterms® 2020)، وتجنب التعديلات الاتفاقية الغامضة أو توضيح أثرها على المخاطر والتكاليف معًا، واستعمال FCA وCPT وCIP بدلًا من FOB وCFR وCIF في شحن الحاويات، وإدراج شرط صريح بشأن انتقال الملكية والاحتفاظ بها.</w:t>
      </w:r>
    </w:p>
    <w:p>
      <w:pPr>
        <w:bidi/>
        <w:spacing w:after="120" w:line="340"/>
        <w:ind w:right="360" w:hanging="360"/>
        <w:jc w:val="both"/>
      </w:pPr>
      <w:r>
        <w:rPr>
          <w:rFonts w:ascii="Times New Roman" w:cs="Traditional Arabic" w:hAnsi="Times New Roman"/>
          <w:sz w:val="28"/>
          <w:szCs w:val="28"/>
          <w:rtl/>
        </w:rPr>
        <w:t xml:space="preserve">2. </w:t>
      </w:r>
      <w:r>
        <w:rPr>
          <w:rFonts w:ascii="Times New Roman" w:cs="Traditional Arabic" w:hAnsi="Times New Roman"/>
          <w:b/>
          <w:bCs/>
          <w:sz w:val="28"/>
          <w:szCs w:val="28"/>
          <w:rtl/>
        </w:rPr>
        <w:t xml:space="preserve">على مستوى المشرع العربي</w:t>
      </w:r>
      <w:r>
        <w:rPr>
          <w:rFonts w:ascii="Times New Roman" w:cs="Traditional Arabic" w:hAnsi="Times New Roman"/>
          <w:sz w:val="28"/>
          <w:szCs w:val="28"/>
          <w:rtl/>
        </w:rPr>
        <w:t xml:space="preserve">: مراجعة النصوص التشريعية المنظمة للبيوع البحرية، التي صيغ أغلبها قبل مراجعتي 2010 و2020، لملاءمتها مع الإنكوتيرمز، أو النص صراحةً على الإحالة إليها كقواعد تفسيرية احتياطية؛ وتشجيع الانضمام إلى اتفاقية فيينا لمن لم ينضم إليها بعد، وتبني القانون النموذجي للأونسيترال بشأن السجلات الإلكترونية القابلة للتحويل.</w:t>
      </w:r>
    </w:p>
    <w:p>
      <w:pPr>
        <w:bidi/>
        <w:spacing w:after="120" w:line="340"/>
        <w:ind w:right="360" w:hanging="360"/>
        <w:jc w:val="both"/>
      </w:pPr>
      <w:r>
        <w:rPr>
          <w:rFonts w:ascii="Times New Roman" w:cs="Traditional Arabic" w:hAnsi="Times New Roman"/>
          <w:sz w:val="28"/>
          <w:szCs w:val="28"/>
          <w:rtl/>
        </w:rPr>
        <w:t xml:space="preserve">3. </w:t>
      </w:r>
      <w:r>
        <w:rPr>
          <w:rFonts w:ascii="Times New Roman" w:cs="Traditional Arabic" w:hAnsi="Times New Roman"/>
          <w:b/>
          <w:bCs/>
          <w:sz w:val="28"/>
          <w:szCs w:val="28"/>
          <w:rtl/>
        </w:rPr>
        <w:t xml:space="preserve">على مستوى القضاء والتحكيم</w:t>
      </w:r>
      <w:r>
        <w:rPr>
          <w:rFonts w:ascii="Times New Roman" w:cs="Traditional Arabic" w:hAnsi="Times New Roman"/>
          <w:sz w:val="28"/>
          <w:szCs w:val="28"/>
          <w:rtl/>
        </w:rPr>
        <w:t xml:space="preserve">: تكريس الاعتراف بالإنكوتيرمز عرفًا تجاريًا دوليًا في نواتها الصلبة، مع التمييز بينها وبين الأحكام المستحدثة التي تحتاج إلى إحالة صريحة، والاعتماد على الشروح الرسمية للغرفة في التفسير.</w:t>
      </w:r>
    </w:p>
    <w:p>
      <w:pPr>
        <w:bidi/>
        <w:spacing w:after="120" w:line="340"/>
        <w:ind w:right="360" w:hanging="360"/>
        <w:jc w:val="both"/>
      </w:pPr>
      <w:r>
        <w:rPr>
          <w:rFonts w:ascii="Times New Roman" w:cs="Traditional Arabic" w:hAnsi="Times New Roman"/>
          <w:sz w:val="28"/>
          <w:szCs w:val="28"/>
          <w:rtl/>
        </w:rPr>
        <w:t xml:space="preserve">4. </w:t>
      </w:r>
      <w:r>
        <w:rPr>
          <w:rFonts w:ascii="Times New Roman" w:cs="Traditional Arabic" w:hAnsi="Times New Roman"/>
          <w:b/>
          <w:bCs/>
          <w:sz w:val="28"/>
          <w:szCs w:val="28"/>
          <w:rtl/>
        </w:rPr>
        <w:t xml:space="preserve">على مستوى غرفة التجارة الدولية</w:t>
      </w:r>
      <w:r>
        <w:rPr>
          <w:rFonts w:ascii="Times New Roman" w:cs="Traditional Arabic" w:hAnsi="Times New Roman"/>
          <w:sz w:val="28"/>
          <w:szCs w:val="28"/>
          <w:rtl/>
        </w:rPr>
        <w:t xml:space="preserve">: النظر في المراجعة القادمة في إدراج أحكام احتياطية بشأن المستندات الإلكترونية، وتوضيح أثر العقوبات الاقتصادية على الالتزامات الجمركية، وتقديم إرشادات بشأن الصيغ المعدلة الشائعة، وربما التفكير في مذكرة إرشادية غير ملزمة بشأن التنسيق بين انتقال المخاطر وانتقال الملكية.</w:t>
      </w:r>
    </w:p>
    <w:p>
      <w:pPr>
        <w:bidi/>
        <w:spacing w:after="120" w:line="340"/>
        <w:ind w:right="360" w:hanging="360"/>
        <w:jc w:val="both"/>
      </w:pPr>
      <w:r>
        <w:rPr>
          <w:rFonts w:ascii="Times New Roman" w:cs="Traditional Arabic" w:hAnsi="Times New Roman"/>
          <w:sz w:val="28"/>
          <w:szCs w:val="28"/>
          <w:rtl/>
        </w:rPr>
        <w:t xml:space="preserve">5. </w:t>
      </w:r>
      <w:r>
        <w:rPr>
          <w:rFonts w:ascii="Times New Roman" w:cs="Traditional Arabic" w:hAnsi="Times New Roman"/>
          <w:b/>
          <w:bCs/>
          <w:sz w:val="28"/>
          <w:szCs w:val="28"/>
          <w:rtl/>
        </w:rPr>
        <w:t xml:space="preserve">على مستوى البحث العلمي والتكوين</w:t>
      </w:r>
      <w:r>
        <w:rPr>
          <w:rFonts w:ascii="Times New Roman" w:cs="Traditional Arabic" w:hAnsi="Times New Roman"/>
          <w:sz w:val="28"/>
          <w:szCs w:val="28"/>
          <w:rtl/>
        </w:rPr>
        <w:t xml:space="preserve">: تعزيز الدراسات العربية حول الإنكوتيرمز وترجمة الشروح الرسمية، وإدماج هذه القواعد في برامج تكوين القضاة والمحامين وموظفي الجمارك والبنوك، بما يرفع من مستوى الأمن القانوني في المعاملات التجارية الدولية للدول العربية.</w:t>
      </w:r>
    </w:p>
    <w:p>
      <w:pPr>
        <w:bidi/>
        <w:spacing w:after="120" w:line="340"/>
        <w:jc w:val="both"/>
      </w:pPr>
      <w:r>
        <w:rPr>
          <w:rFonts w:ascii="Times New Roman" w:cs="Traditional Arabic" w:hAnsi="Times New Roman"/>
          <w:sz w:val="28"/>
          <w:szCs w:val="28"/>
          <w:rtl/>
        </w:rPr>
        <w:t xml:space="preserve">وفي الختام، تبقى الإنكوتيرمز شاهدًا حيًا على قدرة المجتمع التجاري الدولي على إنتاج قواعده بنفسه، وعلى أن توحيد القانون لا يمر بالضرورة عبر الاتفاقيات الدولية والتشريعات الوطنية، بل قد ينبع من الممارسة ذاتها حين تجد هيئة ذات مصداقية تصوغها وتطورها. غير أن هذه القدرة تظل مشروطة بوعي المتعاملين بحدود القواعد، وبتكاملها مع المنظومة القانونية الأشمل التي تحيط بعقد البيع الدولي.</w:t>
      </w:r>
    </w:p>
    <w:p>
      <w:r>
        <w:br w:type="page"/>
      </w:r>
    </w:p>
    <w:p>
      <w:pPr>
        <w:pStyle w:val="Heading1"/>
        <w:bidi/>
        <w:spacing w:after="160" w:before="360"/>
        <w:jc w:val="center"/>
      </w:pPr>
      <w:r>
        <w:rPr>
          <w:rFonts w:ascii="Times New Roman" w:cs="Traditional Arabic" w:hAnsi="Times New Roman"/>
          <w:b/>
          <w:bCs/>
          <w:color w:val="1F3864"/>
          <w:sz w:val="34"/>
          <w:szCs w:val="34"/>
          <w:rtl/>
        </w:rPr>
        <w:t xml:space="preserve">قائمة المصادر والمراجع</w:t>
      </w:r>
    </w:p>
    <w:p>
      <w:pPr>
        <w:pStyle w:val="Heading2"/>
        <w:bidi/>
        <w:spacing w:after="160" w:before="240"/>
        <w:jc w:val="right"/>
      </w:pPr>
      <w:r>
        <w:rPr>
          <w:rFonts w:ascii="Times New Roman" w:cs="Traditional Arabic" w:hAnsi="Times New Roman"/>
          <w:b/>
          <w:bCs/>
          <w:color w:val="2E5496"/>
          <w:sz w:val="30"/>
          <w:szCs w:val="30"/>
          <w:rtl/>
        </w:rPr>
        <w:t xml:space="preserve">أولًا: النصوص والوثائق الرسمية</w:t>
      </w:r>
    </w:p>
    <w:p>
      <w:pPr>
        <w:bidi/>
        <w:spacing w:after="120" w:line="340"/>
        <w:ind w:right="360" w:hanging="360"/>
        <w:jc w:val="both"/>
      </w:pPr>
      <w:r>
        <w:rPr>
          <w:rFonts w:ascii="Times New Roman" w:cs="Traditional Arabic" w:hAnsi="Times New Roman"/>
          <w:sz w:val="28"/>
          <w:szCs w:val="28"/>
          <w:rtl/>
        </w:rPr>
        <w:t xml:space="preserve">1. International Chamber of Commerce, </w:t>
      </w:r>
      <w:r>
        <w:rPr>
          <w:rFonts w:ascii="Times New Roman" w:cs="Traditional Arabic" w:hAnsi="Times New Roman"/>
          <w:i/>
          <w:iCs/>
          <w:sz w:val="28"/>
          <w:szCs w:val="28"/>
          <w:rtl/>
        </w:rPr>
        <w:t xml:space="preserve">Incoterms® 2020: ICC Rules for the Use of Domestic and International Trade Terms</w:t>
      </w:r>
      <w:r>
        <w:rPr>
          <w:rFonts w:ascii="Times New Roman" w:cs="Traditional Arabic" w:hAnsi="Times New Roman"/>
          <w:sz w:val="28"/>
          <w:szCs w:val="28"/>
          <w:rtl/>
        </w:rPr>
        <w:t xml:space="preserve">, ICC Publication No. 723E, Paris, 2019.</w:t>
      </w:r>
    </w:p>
    <w:p>
      <w:pPr>
        <w:bidi/>
        <w:spacing w:after="120" w:line="340"/>
        <w:ind w:right="360" w:hanging="360"/>
        <w:jc w:val="both"/>
      </w:pPr>
      <w:r>
        <w:rPr>
          <w:rFonts w:ascii="Times New Roman" w:cs="Traditional Arabic" w:hAnsi="Times New Roman"/>
          <w:sz w:val="28"/>
          <w:szCs w:val="28"/>
          <w:rtl/>
        </w:rPr>
        <w:t xml:space="preserve">2. International Chamber of Commerce, </w:t>
      </w:r>
      <w:r>
        <w:rPr>
          <w:rFonts w:ascii="Times New Roman" w:cs="Traditional Arabic" w:hAnsi="Times New Roman"/>
          <w:i/>
          <w:iCs/>
          <w:sz w:val="28"/>
          <w:szCs w:val="28"/>
          <w:rtl/>
        </w:rPr>
        <w:t xml:space="preserve">Incoterms® 2010</w:t>
      </w:r>
      <w:r>
        <w:rPr>
          <w:rFonts w:ascii="Times New Roman" w:cs="Traditional Arabic" w:hAnsi="Times New Roman"/>
          <w:sz w:val="28"/>
          <w:szCs w:val="28"/>
          <w:rtl/>
        </w:rPr>
        <w:t xml:space="preserve">, ICC Publication No. 715E, Paris, 2010.</w:t>
      </w:r>
    </w:p>
    <w:p>
      <w:pPr>
        <w:bidi/>
        <w:spacing w:after="120" w:line="340"/>
        <w:ind w:right="360" w:hanging="360"/>
        <w:jc w:val="both"/>
      </w:pPr>
      <w:r>
        <w:rPr>
          <w:rFonts w:ascii="Times New Roman" w:cs="Traditional Arabic" w:hAnsi="Times New Roman"/>
          <w:sz w:val="28"/>
          <w:szCs w:val="28"/>
          <w:rtl/>
        </w:rPr>
        <w:t xml:space="preserve">3. International Chamber of Commerce, </w:t>
      </w:r>
      <w:r>
        <w:rPr>
          <w:rFonts w:ascii="Times New Roman" w:cs="Traditional Arabic" w:hAnsi="Times New Roman"/>
          <w:i/>
          <w:iCs/>
          <w:sz w:val="28"/>
          <w:szCs w:val="28"/>
          <w:rtl/>
        </w:rPr>
        <w:t xml:space="preserve">Uniform Customs and Practice for Documentary Credits (UCP 600)</w:t>
      </w:r>
      <w:r>
        <w:rPr>
          <w:rFonts w:ascii="Times New Roman" w:cs="Traditional Arabic" w:hAnsi="Times New Roman"/>
          <w:sz w:val="28"/>
          <w:szCs w:val="28"/>
          <w:rtl/>
        </w:rPr>
        <w:t xml:space="preserve">, ICC Publication No. 600, Paris, 2007.</w:t>
      </w:r>
    </w:p>
    <w:p>
      <w:pPr>
        <w:bidi/>
        <w:spacing w:after="120" w:line="340"/>
        <w:ind w:right="360" w:hanging="360"/>
        <w:jc w:val="both"/>
      </w:pPr>
      <w:r>
        <w:rPr>
          <w:rFonts w:ascii="Times New Roman" w:cs="Traditional Arabic" w:hAnsi="Times New Roman"/>
          <w:sz w:val="28"/>
          <w:szCs w:val="28"/>
          <w:rtl/>
        </w:rPr>
        <w:t xml:space="preserve">4. اتفاقية الأمم المتحدة بشأن عقود البيع الدولي للبضائع، فيينا، 11 أبريل 1980.</w:t>
      </w:r>
    </w:p>
    <w:p>
      <w:pPr>
        <w:bidi/>
        <w:spacing w:after="120" w:line="340"/>
        <w:ind w:right="360" w:hanging="360"/>
        <w:jc w:val="both"/>
      </w:pPr>
      <w:r>
        <w:rPr>
          <w:rFonts w:ascii="Times New Roman" w:cs="Traditional Arabic" w:hAnsi="Times New Roman"/>
          <w:sz w:val="28"/>
          <w:szCs w:val="28"/>
          <w:rtl/>
        </w:rPr>
        <w:t xml:space="preserve">5. UNCITRAL, </w:t>
      </w:r>
      <w:r>
        <w:rPr>
          <w:rFonts w:ascii="Times New Roman" w:cs="Traditional Arabic" w:hAnsi="Times New Roman"/>
          <w:i/>
          <w:iCs/>
          <w:sz w:val="28"/>
          <w:szCs w:val="28"/>
          <w:rtl/>
        </w:rPr>
        <w:t xml:space="preserve">Model Law on Electronic Transferable Records</w:t>
      </w:r>
      <w:r>
        <w:rPr>
          <w:rFonts w:ascii="Times New Roman" w:cs="Traditional Arabic" w:hAnsi="Times New Roman"/>
          <w:sz w:val="28"/>
          <w:szCs w:val="28"/>
          <w:rtl/>
        </w:rPr>
        <w:t xml:space="preserve">, 2017.</w:t>
      </w:r>
    </w:p>
    <w:p>
      <w:pPr>
        <w:bidi/>
        <w:spacing w:after="120" w:line="340"/>
        <w:ind w:right="360" w:hanging="360"/>
        <w:jc w:val="both"/>
      </w:pPr>
      <w:r>
        <w:rPr>
          <w:rFonts w:ascii="Times New Roman" w:cs="Traditional Arabic" w:hAnsi="Times New Roman"/>
          <w:sz w:val="28"/>
          <w:szCs w:val="28"/>
          <w:rtl/>
        </w:rPr>
        <w:t xml:space="preserve">6. UNCITRAL, Report of the Commission on the work of its 45th session (A/67/17), 2012 – تأييد إنكوتيرمز 2010؛ وتقرير الدورة 53 (A/75/17)، 2020.</w:t>
      </w:r>
    </w:p>
    <w:p>
      <w:pPr>
        <w:bidi/>
        <w:spacing w:after="120" w:line="340"/>
        <w:ind w:right="360" w:hanging="360"/>
        <w:jc w:val="both"/>
      </w:pPr>
      <w:r>
        <w:rPr>
          <w:rFonts w:ascii="Times New Roman" w:cs="Traditional Arabic" w:hAnsi="Times New Roman"/>
          <w:sz w:val="28"/>
          <w:szCs w:val="28"/>
          <w:rtl/>
        </w:rPr>
        <w:t xml:space="preserve">7. اتفاق منظمة التجارة العالمية بشأن تطبيق المادة السابعة من الاتفاق العام للتعريفات والتجارة 1994 (اتفاق التقييم الجمركي).</w:t>
      </w:r>
    </w:p>
    <w:p>
      <w:pPr>
        <w:bidi/>
        <w:spacing w:after="120" w:line="340"/>
        <w:ind w:right="360" w:hanging="360"/>
        <w:jc w:val="both"/>
      </w:pPr>
      <w:r>
        <w:rPr>
          <w:rFonts w:ascii="Times New Roman" w:cs="Traditional Arabic" w:hAnsi="Times New Roman"/>
          <w:sz w:val="28"/>
          <w:szCs w:val="28"/>
          <w:rtl/>
        </w:rPr>
        <w:t xml:space="preserve">8. لائحة المجلس الأوروبي رقم 44/2001 (بروكسل الأولى) واللائحة رقم 1215/2012 (المعدلة).</w:t>
      </w:r>
    </w:p>
    <w:p>
      <w:pPr>
        <w:bidi/>
        <w:spacing w:after="120" w:line="340"/>
        <w:ind w:right="360" w:hanging="360"/>
        <w:jc w:val="both"/>
      </w:pPr>
      <w:r>
        <w:rPr>
          <w:rFonts w:ascii="Times New Roman" w:cs="Traditional Arabic" w:hAnsi="Times New Roman"/>
          <w:sz w:val="28"/>
          <w:szCs w:val="28"/>
          <w:rtl/>
        </w:rPr>
        <w:t xml:space="preserve">9. Uniform Commercial Code (U.S.), §§ 2-319, 2-320.</w:t>
      </w:r>
    </w:p>
    <w:p>
      <w:pPr>
        <w:bidi/>
        <w:spacing w:after="120" w:line="340"/>
        <w:ind w:right="360" w:hanging="360"/>
        <w:jc w:val="both"/>
      </w:pPr>
      <w:r>
        <w:rPr>
          <w:rFonts w:ascii="Times New Roman" w:cs="Traditional Arabic" w:hAnsi="Times New Roman"/>
          <w:sz w:val="28"/>
          <w:szCs w:val="28"/>
          <w:rtl/>
        </w:rPr>
        <w:t xml:space="preserve">10. قانون التجارة الكويتي، المرسوم بالقانون رقم 68 لسنة 1980 (الأحكام المتعلقة بالبيوع البحرية).</w:t>
      </w:r>
    </w:p>
    <w:p>
      <w:pPr>
        <w:pStyle w:val="Heading2"/>
        <w:bidi/>
        <w:spacing w:after="160" w:before="240"/>
        <w:jc w:val="right"/>
      </w:pPr>
      <w:r>
        <w:rPr>
          <w:rFonts w:ascii="Times New Roman" w:cs="Traditional Arabic" w:hAnsi="Times New Roman"/>
          <w:b/>
          <w:bCs/>
          <w:color w:val="2E5496"/>
          <w:sz w:val="30"/>
          <w:szCs w:val="30"/>
          <w:rtl/>
        </w:rPr>
        <w:t xml:space="preserve">ثانيًا: الأحكام القضائية</w:t>
      </w:r>
    </w:p>
    <w:p>
      <w:pPr>
        <w:bidi/>
        <w:spacing w:after="120" w:line="340"/>
        <w:ind w:right="360" w:hanging="360"/>
        <w:jc w:val="both"/>
      </w:pPr>
      <w:r>
        <w:rPr>
          <w:rFonts w:ascii="Times New Roman" w:cs="Traditional Arabic" w:hAnsi="Times New Roman"/>
          <w:sz w:val="28"/>
          <w:szCs w:val="28"/>
          <w:rtl/>
        </w:rPr>
        <w:t xml:space="preserve">11. </w:t>
      </w:r>
      <w:r>
        <w:rPr>
          <w:rFonts w:ascii="Times New Roman" w:cs="Traditional Arabic" w:hAnsi="Times New Roman"/>
          <w:i/>
          <w:iCs/>
          <w:sz w:val="28"/>
          <w:szCs w:val="28"/>
          <w:rtl/>
        </w:rPr>
        <w:t xml:space="preserve">St. Paul Guardian Insurance Co. v. Neuromed Medical Systems &amp; Support GmbH</w:t>
      </w:r>
      <w:r>
        <w:rPr>
          <w:rFonts w:ascii="Times New Roman" w:cs="Traditional Arabic" w:hAnsi="Times New Roman"/>
          <w:sz w:val="28"/>
          <w:szCs w:val="28"/>
          <w:rtl/>
        </w:rPr>
        <w:t xml:space="preserve">, U.S. District Court, S.D.N.Y., 26 March 2002, 2002 WL 465312.</w:t>
      </w:r>
    </w:p>
    <w:p>
      <w:pPr>
        <w:bidi/>
        <w:spacing w:after="120" w:line="340"/>
        <w:ind w:right="360" w:hanging="360"/>
        <w:jc w:val="both"/>
      </w:pPr>
      <w:r>
        <w:rPr>
          <w:rFonts w:ascii="Times New Roman" w:cs="Traditional Arabic" w:hAnsi="Times New Roman"/>
          <w:sz w:val="28"/>
          <w:szCs w:val="28"/>
          <w:rtl/>
        </w:rPr>
        <w:t xml:space="preserve">12. </w:t>
      </w:r>
      <w:r>
        <w:rPr>
          <w:rFonts w:ascii="Times New Roman" w:cs="Traditional Arabic" w:hAnsi="Times New Roman"/>
          <w:i/>
          <w:iCs/>
          <w:sz w:val="28"/>
          <w:szCs w:val="28"/>
          <w:rtl/>
        </w:rPr>
        <w:t xml:space="preserve">BP Oil International Ltd. v. Empresa Estatal Petróleos de Ecuador</w:t>
      </w:r>
      <w:r>
        <w:rPr>
          <w:rFonts w:ascii="Times New Roman" w:cs="Traditional Arabic" w:hAnsi="Times New Roman"/>
          <w:sz w:val="28"/>
          <w:szCs w:val="28"/>
          <w:rtl/>
        </w:rPr>
        <w:t xml:space="preserve">, U.S. Court of Appeals (5th Cir.), 11 June 2003, 332 F.3d 333.</w:t>
      </w:r>
    </w:p>
    <w:p>
      <w:pPr>
        <w:bidi/>
        <w:spacing w:after="120" w:line="340"/>
        <w:ind w:right="360" w:hanging="360"/>
        <w:jc w:val="both"/>
      </w:pPr>
      <w:r>
        <w:rPr>
          <w:rFonts w:ascii="Times New Roman" w:cs="Traditional Arabic" w:hAnsi="Times New Roman"/>
          <w:sz w:val="28"/>
          <w:szCs w:val="28"/>
          <w:rtl/>
        </w:rPr>
        <w:t xml:space="preserve">13. CJEU, Case C-87/10, </w:t>
      </w:r>
      <w:r>
        <w:rPr>
          <w:rFonts w:ascii="Times New Roman" w:cs="Traditional Arabic" w:hAnsi="Times New Roman"/>
          <w:i/>
          <w:iCs/>
          <w:sz w:val="28"/>
          <w:szCs w:val="28"/>
          <w:rtl/>
        </w:rPr>
        <w:t xml:space="preserve">Electrosteel Europe SA v. Edil Centro SpA</w:t>
      </w:r>
      <w:r>
        <w:rPr>
          <w:rFonts w:ascii="Times New Roman" w:cs="Traditional Arabic" w:hAnsi="Times New Roman"/>
          <w:sz w:val="28"/>
          <w:szCs w:val="28"/>
          <w:rtl/>
        </w:rPr>
        <w:t xml:space="preserve">, 9 June 2011, ECR I-4987.</w:t>
      </w:r>
    </w:p>
    <w:p>
      <w:pPr>
        <w:pStyle w:val="Heading2"/>
        <w:bidi/>
        <w:spacing w:after="160" w:before="240"/>
        <w:jc w:val="right"/>
      </w:pPr>
      <w:r>
        <w:rPr>
          <w:rFonts w:ascii="Times New Roman" w:cs="Traditional Arabic" w:hAnsi="Times New Roman"/>
          <w:b/>
          <w:bCs/>
          <w:color w:val="2E5496"/>
          <w:sz w:val="30"/>
          <w:szCs w:val="30"/>
          <w:rtl/>
        </w:rPr>
        <w:t xml:space="preserve">ثالثًا: المؤلفات والدراسات الأجنبية</w:t>
      </w:r>
    </w:p>
    <w:p>
      <w:pPr>
        <w:bidi/>
        <w:spacing w:after="120" w:line="340"/>
        <w:ind w:right="360" w:hanging="360"/>
        <w:jc w:val="both"/>
      </w:pPr>
      <w:r>
        <w:rPr>
          <w:rFonts w:ascii="Times New Roman" w:cs="Traditional Arabic" w:hAnsi="Times New Roman"/>
          <w:sz w:val="28"/>
          <w:szCs w:val="28"/>
          <w:rtl/>
        </w:rPr>
        <w:t xml:space="preserve">14. Ramberg, Jan, </w:t>
      </w:r>
      <w:r>
        <w:rPr>
          <w:rFonts w:ascii="Times New Roman" w:cs="Traditional Arabic" w:hAnsi="Times New Roman"/>
          <w:i/>
          <w:iCs/>
          <w:sz w:val="28"/>
          <w:szCs w:val="28"/>
          <w:rtl/>
        </w:rPr>
        <w:t xml:space="preserve">ICC Guide to Incoterms® 2010: Understanding and Practical Use</w:t>
      </w:r>
      <w:r>
        <w:rPr>
          <w:rFonts w:ascii="Times New Roman" w:cs="Traditional Arabic" w:hAnsi="Times New Roman"/>
          <w:sz w:val="28"/>
          <w:szCs w:val="28"/>
          <w:rtl/>
        </w:rPr>
        <w:t xml:space="preserve">, ICC Publication No. 720E, Paris, 2011.</w:t>
      </w:r>
    </w:p>
    <w:p>
      <w:pPr>
        <w:bidi/>
        <w:spacing w:after="120" w:line="340"/>
        <w:ind w:right="360" w:hanging="360"/>
        <w:jc w:val="both"/>
      </w:pPr>
      <w:r>
        <w:rPr>
          <w:rFonts w:ascii="Times New Roman" w:cs="Traditional Arabic" w:hAnsi="Times New Roman"/>
          <w:sz w:val="28"/>
          <w:szCs w:val="28"/>
          <w:rtl/>
        </w:rPr>
        <w:t xml:space="preserve">15. Ramberg, Jan; Rapatout, Philippe; Reynolds, Frank; Debattista, Charles, </w:t>
      </w:r>
      <w:r>
        <w:rPr>
          <w:rFonts w:ascii="Times New Roman" w:cs="Traditional Arabic" w:hAnsi="Times New Roman"/>
          <w:i/>
          <w:iCs/>
          <w:sz w:val="28"/>
          <w:szCs w:val="28"/>
          <w:rtl/>
        </w:rPr>
        <w:t xml:space="preserve">ICC Guide to Incoterms 2000</w:t>
      </w:r>
      <w:r>
        <w:rPr>
          <w:rFonts w:ascii="Times New Roman" w:cs="Traditional Arabic" w:hAnsi="Times New Roman"/>
          <w:sz w:val="28"/>
          <w:szCs w:val="28"/>
          <w:rtl/>
        </w:rPr>
        <w:t xml:space="preserve">, ICC Publication No. 620, Paris, 2000.</w:t>
      </w:r>
    </w:p>
    <w:p>
      <w:pPr>
        <w:bidi/>
        <w:spacing w:after="120" w:line="340"/>
        <w:ind w:right="360" w:hanging="360"/>
        <w:jc w:val="both"/>
      </w:pPr>
      <w:r>
        <w:rPr>
          <w:rFonts w:ascii="Times New Roman" w:cs="Traditional Arabic" w:hAnsi="Times New Roman"/>
          <w:sz w:val="28"/>
          <w:szCs w:val="28"/>
          <w:rtl/>
        </w:rPr>
        <w:t xml:space="preserve">16. Schwenzer, Ingeborg (ed.), </w:t>
      </w:r>
      <w:r>
        <w:rPr>
          <w:rFonts w:ascii="Times New Roman" w:cs="Traditional Arabic" w:hAnsi="Times New Roman"/>
          <w:i/>
          <w:iCs/>
          <w:sz w:val="28"/>
          <w:szCs w:val="28"/>
          <w:rtl/>
        </w:rPr>
        <w:t xml:space="preserve">Schlechtriem &amp; Schwenzer: Commentary on the UN Convention on the International Sale of Goods (CISG)</w:t>
      </w:r>
      <w:r>
        <w:rPr>
          <w:rFonts w:ascii="Times New Roman" w:cs="Traditional Arabic" w:hAnsi="Times New Roman"/>
          <w:sz w:val="28"/>
          <w:szCs w:val="28"/>
          <w:rtl/>
        </w:rPr>
        <w:t xml:space="preserve">, Oxford University Press (commentaries on arts. 9, 31, 66–70).</w:t>
      </w:r>
    </w:p>
    <w:p>
      <w:pPr>
        <w:bidi/>
        <w:spacing w:after="120" w:line="340"/>
        <w:ind w:right="360" w:hanging="360"/>
        <w:jc w:val="both"/>
      </w:pPr>
      <w:r>
        <w:rPr>
          <w:rFonts w:ascii="Times New Roman" w:cs="Traditional Arabic" w:hAnsi="Times New Roman"/>
          <w:sz w:val="28"/>
          <w:szCs w:val="28"/>
          <w:rtl/>
        </w:rPr>
        <w:t xml:space="preserve">17. CISG Advisory Council, </w:t>
      </w:r>
      <w:r>
        <w:rPr>
          <w:rFonts w:ascii="Times New Roman" w:cs="Traditional Arabic" w:hAnsi="Times New Roman"/>
          <w:i/>
          <w:iCs/>
          <w:sz w:val="28"/>
          <w:szCs w:val="28"/>
          <w:rtl/>
        </w:rPr>
        <w:t xml:space="preserve">Opinion No. 5: The Buyer's Right to Avoid the Contract in Case of Non-Conforming Goods or Documents</w:t>
      </w:r>
      <w:r>
        <w:rPr>
          <w:rFonts w:ascii="Times New Roman" w:cs="Traditional Arabic" w:hAnsi="Times New Roman"/>
          <w:sz w:val="28"/>
          <w:szCs w:val="28"/>
          <w:rtl/>
        </w:rPr>
        <w:t xml:space="preserve"> (Annex: case law overview).</w:t>
      </w:r>
    </w:p>
    <w:p>
      <w:pPr>
        <w:bidi/>
        <w:spacing w:after="120" w:line="340"/>
        <w:ind w:right="360" w:hanging="360"/>
        <w:jc w:val="both"/>
      </w:pPr>
      <w:r>
        <w:rPr>
          <w:rFonts w:ascii="Times New Roman" w:cs="Traditional Arabic" w:hAnsi="Times New Roman"/>
          <w:sz w:val="28"/>
          <w:szCs w:val="28"/>
          <w:rtl/>
        </w:rPr>
        <w:t xml:space="preserve">18. WCO, </w:t>
      </w:r>
      <w:r>
        <w:rPr>
          <w:rFonts w:ascii="Times New Roman" w:cs="Traditional Arabic" w:hAnsi="Times New Roman"/>
          <w:i/>
          <w:iCs/>
          <w:sz w:val="28"/>
          <w:szCs w:val="28"/>
          <w:rtl/>
        </w:rPr>
        <w:t xml:space="preserve">Guide to Customs Valuation and Transfer Pricing</w:t>
      </w:r>
      <w:r>
        <w:rPr>
          <w:rFonts w:ascii="Times New Roman" w:cs="Traditional Arabic" w:hAnsi="Times New Roman"/>
          <w:sz w:val="28"/>
          <w:szCs w:val="28"/>
          <w:rtl/>
        </w:rPr>
        <w:t xml:space="preserve">, 2018 edition.</w:t>
      </w:r>
    </w:p>
    <w:p>
      <w:pPr>
        <w:pStyle w:val="Heading2"/>
        <w:bidi/>
        <w:spacing w:after="160" w:before="240"/>
        <w:jc w:val="right"/>
      </w:pPr>
      <w:r>
        <w:rPr>
          <w:rFonts w:ascii="Times New Roman" w:cs="Traditional Arabic" w:hAnsi="Times New Roman"/>
          <w:b/>
          <w:bCs/>
          <w:color w:val="2E5496"/>
          <w:sz w:val="30"/>
          <w:szCs w:val="30"/>
          <w:rtl/>
        </w:rPr>
        <w:t xml:space="preserve">رابعًا: المراجع العربية</w:t>
      </w:r>
    </w:p>
    <w:p>
      <w:pPr>
        <w:bidi/>
        <w:spacing w:after="120" w:line="340"/>
        <w:ind w:right="360" w:hanging="360"/>
        <w:jc w:val="both"/>
      </w:pPr>
      <w:r>
        <w:rPr>
          <w:rFonts w:ascii="Times New Roman" w:cs="Traditional Arabic" w:hAnsi="Times New Roman"/>
          <w:sz w:val="28"/>
          <w:szCs w:val="28"/>
          <w:rtl/>
        </w:rPr>
        <w:t xml:space="preserve">19. محسن شفيق، </w:t>
      </w:r>
      <w:r>
        <w:rPr>
          <w:rFonts w:ascii="Times New Roman" w:cs="Traditional Arabic" w:hAnsi="Times New Roman"/>
          <w:i/>
          <w:iCs/>
          <w:sz w:val="28"/>
          <w:szCs w:val="28"/>
          <w:rtl/>
        </w:rPr>
        <w:t xml:space="preserve">اتفاقية الأمم المتحدة بشأن البيع الدولي للبضائع: دراسة في قانون التجارة الدولي</w:t>
      </w:r>
      <w:r>
        <w:rPr>
          <w:rFonts w:ascii="Times New Roman" w:cs="Traditional Arabic" w:hAnsi="Times New Roman"/>
          <w:sz w:val="28"/>
          <w:szCs w:val="28"/>
          <w:rtl/>
        </w:rPr>
        <w:t xml:space="preserve">، دار النهضة العربية، القاهرة.</w:t>
      </w:r>
    </w:p>
    <w:p>
      <w:pPr>
        <w:bidi/>
        <w:spacing w:after="120" w:line="340"/>
        <w:ind w:right="360" w:hanging="360"/>
        <w:jc w:val="both"/>
      </w:pPr>
      <w:r>
        <w:rPr>
          <w:rFonts w:ascii="Times New Roman" w:cs="Traditional Arabic" w:hAnsi="Times New Roman"/>
          <w:sz w:val="28"/>
          <w:szCs w:val="28"/>
          <w:rtl/>
        </w:rPr>
        <w:t xml:space="preserve">20. محمود سمير الشرقاوي، </w:t>
      </w:r>
      <w:r>
        <w:rPr>
          <w:rFonts w:ascii="Times New Roman" w:cs="Traditional Arabic" w:hAnsi="Times New Roman"/>
          <w:i/>
          <w:iCs/>
          <w:sz w:val="28"/>
          <w:szCs w:val="28"/>
          <w:rtl/>
        </w:rPr>
        <w:t xml:space="preserve">العقود التجارية الدولية</w:t>
      </w:r>
      <w:r>
        <w:rPr>
          <w:rFonts w:ascii="Times New Roman" w:cs="Traditional Arabic" w:hAnsi="Times New Roman"/>
          <w:sz w:val="28"/>
          <w:szCs w:val="28"/>
          <w:rtl/>
        </w:rPr>
        <w:t xml:space="preserve">، دار النهضة العربية، القاهرة.</w:t>
      </w:r>
    </w:p>
    <w:p>
      <w:pPr>
        <w:bidi/>
        <w:spacing w:after="120" w:line="340"/>
        <w:ind w:right="360" w:hanging="360"/>
        <w:jc w:val="both"/>
      </w:pPr>
      <w:r>
        <w:rPr>
          <w:rFonts w:ascii="Times New Roman" w:cs="Traditional Arabic" w:hAnsi="Times New Roman"/>
          <w:sz w:val="28"/>
          <w:szCs w:val="28"/>
          <w:rtl/>
        </w:rPr>
        <w:t xml:space="preserve">21. «البيوع البحرية في القانون الكويتي (بيع القيام والبيع سيف)»، مدونة المرجع القانونية، 2023.</w:t>
      </w:r>
    </w:p>
    <w:p>
      <w:pPr>
        <w:pStyle w:val="Heading2"/>
        <w:bidi/>
        <w:spacing w:after="160" w:before="240"/>
        <w:jc w:val="right"/>
      </w:pPr>
      <w:r>
        <w:rPr>
          <w:rFonts w:ascii="Times New Roman" w:cs="Traditional Arabic" w:hAnsi="Times New Roman"/>
          <w:b/>
          <w:bCs/>
          <w:color w:val="2E5496"/>
          <w:sz w:val="30"/>
          <w:szCs w:val="30"/>
          <w:rtl/>
        </w:rPr>
        <w:t xml:space="preserve">خامسًا: مصادر إلكترونية</w:t>
      </w:r>
    </w:p>
    <w:p>
      <w:pPr>
        <w:bidi/>
        <w:spacing w:after="120" w:line="340"/>
        <w:ind w:right="360" w:hanging="360"/>
        <w:jc w:val="both"/>
      </w:pPr>
      <w:r>
        <w:rPr>
          <w:rFonts w:ascii="Times New Roman" w:cs="Traditional Arabic" w:hAnsi="Times New Roman"/>
          <w:sz w:val="28"/>
          <w:szCs w:val="28"/>
          <w:rtl/>
        </w:rPr>
        <w:t xml:space="preserve">22. ICC – Incoterms® rules: https://iccwbo.org/business-solutions/incoterms-rules/</w:t>
      </w:r>
    </w:p>
    <w:p>
      <w:pPr>
        <w:bidi/>
        <w:spacing w:after="120" w:line="340"/>
        <w:ind w:right="360" w:hanging="360"/>
        <w:jc w:val="both"/>
      </w:pPr>
      <w:r>
        <w:rPr>
          <w:rFonts w:ascii="Times New Roman" w:cs="Traditional Arabic" w:hAnsi="Times New Roman"/>
          <w:sz w:val="28"/>
          <w:szCs w:val="28"/>
          <w:rtl/>
        </w:rPr>
        <w:t xml:space="preserve">23. ICC – Incoterms® rules history: https://iccwbo.org/business-solutions/incoterms-rules/incoterms-rules-history/</w:t>
      </w:r>
    </w:p>
    <w:p>
      <w:pPr>
        <w:bidi/>
        <w:spacing w:after="120" w:line="340"/>
        <w:ind w:right="360" w:hanging="360"/>
        <w:jc w:val="both"/>
      </w:pPr>
      <w:r>
        <w:rPr>
          <w:rFonts w:ascii="Times New Roman" w:cs="Traditional Arabic" w:hAnsi="Times New Roman"/>
          <w:sz w:val="28"/>
          <w:szCs w:val="28"/>
          <w:rtl/>
        </w:rPr>
        <w:t xml:space="preserve">24. UNCITRAL – Texts of other organisations endorsed by UNCITRAL: https://uncitral.un.org/en/texts/endorsed</w:t>
      </w:r>
    </w:p>
    <w:p>
      <w:pPr>
        <w:bidi/>
        <w:spacing w:after="120" w:line="340"/>
        <w:ind w:right="360" w:hanging="360"/>
        <w:jc w:val="both"/>
      </w:pPr>
      <w:r>
        <w:rPr>
          <w:rFonts w:ascii="Times New Roman" w:cs="Traditional Arabic" w:hAnsi="Times New Roman"/>
          <w:sz w:val="28"/>
          <w:szCs w:val="28"/>
          <w:rtl/>
        </w:rPr>
        <w:t xml:space="preserve">25. UNCITRAL – Saudi Arabia accedes to the CISG: https://uncitral.un.org/en/CISGSaudiArabia</w:t>
      </w:r>
    </w:p>
    <w:p>
      <w:pPr>
        <w:bidi/>
        <w:spacing w:after="120" w:line="340"/>
        <w:ind w:right="360" w:hanging="360"/>
        <w:jc w:val="both"/>
      </w:pPr>
      <w:r>
        <w:rPr>
          <w:rFonts w:ascii="Times New Roman" w:cs="Traditional Arabic" w:hAnsi="Times New Roman"/>
          <w:sz w:val="28"/>
          <w:szCs w:val="28"/>
          <w:rtl/>
        </w:rPr>
        <w:t xml:space="preserve">26. U.S. International Trade Administration – Know Your Incoterms: https://www.trade.gov/know-your-incoterms</w:t>
      </w:r>
    </w:p>
    <w:p>
      <w:pPr>
        <w:bidi/>
        <w:spacing w:after="120" w:line="340"/>
        <w:ind w:right="360" w:hanging="360"/>
        <w:jc w:val="both"/>
      </w:pPr>
      <w:r>
        <w:rPr>
          <w:rFonts w:ascii="Times New Roman" w:cs="Traditional Arabic" w:hAnsi="Times New Roman"/>
          <w:sz w:val="28"/>
          <w:szCs w:val="28"/>
          <w:rtl/>
        </w:rPr>
        <w:t xml:space="preserve">27. EUR-Lex – Judgment C-87/10: https://eur-lex.europa.eu/legal-content/EN/TXT/?uri=celex:62010CJ0087</w:t>
      </w:r>
    </w:p>
    <w:p>
      <w:pPr>
        <w:bidi/>
        <w:spacing w:after="120" w:line="340"/>
        <w:ind w:right="360" w:hanging="360"/>
        <w:jc w:val="both"/>
      </w:pPr>
      <w:r>
        <w:rPr>
          <w:rFonts w:ascii="Times New Roman" w:cs="Traditional Arabic" w:hAnsi="Times New Roman"/>
          <w:sz w:val="28"/>
          <w:szCs w:val="28"/>
          <w:rtl/>
        </w:rPr>
        <w:t xml:space="preserve">28. Justia – BP Oil v. PetroEcuador, 332 F.3d 333: https://law.justia.com/cases/federal/appellate-courts/F3/332/333/550400/</w:t>
      </w:r>
    </w:p>
    <w:p>
      <w:pPr>
        <w:bidi/>
        <w:spacing w:after="120" w:line="340"/>
        <w:ind w:right="360" w:hanging="360"/>
        <w:jc w:val="both"/>
      </w:pPr>
      <w:r>
        <w:rPr>
          <w:rFonts w:ascii="Times New Roman" w:cs="Traditional Arabic" w:hAnsi="Times New Roman"/>
          <w:sz w:val="28"/>
          <w:szCs w:val="28"/>
          <w:rtl/>
        </w:rPr>
        <w:t xml:space="preserve">29. CISG-online – St. Paul Guardian v. Neuromed: https://cisg-online.org/files/cases/6573/fullTextFile/615_88998724.pdf</w:t>
      </w:r>
    </w:p>
    <w:p>
      <w:pPr>
        <w:bidi/>
        <w:spacing w:after="120" w:line="340"/>
        <w:ind w:right="360" w:hanging="360"/>
        <w:jc w:val="both"/>
      </w:pPr>
      <w:r>
        <w:rPr>
          <w:rFonts w:ascii="Times New Roman" w:cs="Traditional Arabic" w:hAnsi="Times New Roman"/>
          <w:sz w:val="28"/>
          <w:szCs w:val="28"/>
          <w:rtl/>
        </w:rPr>
        <w:t xml:space="preserve">30. البيوع البحرية في القانون الكويتي: https://almirjah.wordpress.com/2023/01/11/54/</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500" w:hanging="300"/>
      </w:pPr>
    </w:lvl>
    <w:lvl w:ilvl="1" w15:tentative="1">
      <w:start w:val="1"/>
      <w:numFmt w:val="bullet"/>
      <w:lvlText w:val="○"/>
      <w:lvlJc w:val="right"/>
      <w:pPr>
        <w:ind w:right="900" w:hanging="300"/>
      </w:pPr>
    </w:lvl>
    <w:lvl w:ilvl="2" w15:tentative="1">
      <w:start w:val="1"/>
      <w:numFmt w:val="bullet"/>
      <w:lvlText w:val="■"/>
      <w:lvlJc w:val="right"/>
      <w:pPr>
        <w:ind w:right="13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raditional Arabic" w:hAnsi="Times New Roman"/>
        <w:sz w:val="28"/>
        <w:szCs w:val="28"/>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b/>
      <w:bCs/>
      <w:sz w:val="34"/>
      <w:szCs w:val="34"/>
    </w:rPr>
  </w:style>
  <w:style w:type="paragraph" w:styleId="Heading2">
    <w:name w:val="Heading 2"/>
    <w:basedOn w:val="Normal"/>
    <w:next w:val="Normal"/>
    <w:qFormat/>
    <w:pPr>
      <w:keepNext/>
      <w:outlineLvl w:val="1"/>
    </w:pPr>
    <w:rPr>
      <w:b/>
      <w:bCs/>
      <w:sz w:val="30"/>
      <w:szCs w:val="30"/>
    </w:rPr>
  </w:style>
  <w:style w:type="paragraph" w:styleId="Heading3">
    <w:name w:val="Heading 3"/>
    <w:basedOn w:val="Normal"/>
    <w:next w:val="Normal"/>
    <w:qFormat/>
    <w:pPr>
      <w:keepNext/>
      <w:outlineLvl w:val="2"/>
    </w:pPr>
    <w:rPr>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2026-09-27T17:28:55.254Z</dcterms:created>
  <dcterms:modified xsi:type="dcterms:W3CDTF">2026-09-27T17:28:55.254Z</dcterms:modified>
</cp:coreProperties>
</file>

<file path=docProps/custom.xml><?xml version="1.0" encoding="utf-8"?>
<Properties xmlns="http://schemas.openxmlformats.org/officeDocument/2006/custom-properties" xmlns:vt="http://schemas.openxmlformats.org/officeDocument/2006/docPropsVTypes"/>
</file>