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3CE7F" w14:textId="3172A26A" w:rsidR="00435EA3" w:rsidRDefault="00C47D2D">
      <w:pPr>
        <w:pStyle w:val="Heading1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531E466" wp14:editId="0E523812">
            <wp:simplePos x="0" y="0"/>
            <wp:positionH relativeFrom="column">
              <wp:posOffset>2622550</wp:posOffset>
            </wp:positionH>
            <wp:positionV relativeFrom="paragraph">
              <wp:posOffset>-635</wp:posOffset>
            </wp:positionV>
            <wp:extent cx="278638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13" y="21337"/>
                <wp:lineTo x="21413" y="0"/>
                <wp:lineTo x="0" y="0"/>
              </wp:wrapPolygon>
            </wp:wrapTight>
            <wp:docPr id="114453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RENEW Aesthetics &amp; Wellbeing</w:t>
      </w:r>
    </w:p>
    <w:p w14:paraId="5A35CAEE" w14:textId="77777777" w:rsidR="00435EA3" w:rsidRDefault="00000000">
      <w:pPr>
        <w:pStyle w:val="Heading2"/>
      </w:pPr>
      <w:r>
        <w:t>Botulinum Toxin (Anti-wrinkle) – Aftercare &amp; Risks</w:t>
      </w:r>
    </w:p>
    <w:p w14:paraId="5CB702C5" w14:textId="77777777" w:rsidR="00435EA3" w:rsidRDefault="00000000">
      <w:r>
        <w:t>Please keep this for your records. Contact us if you have any concerns.</w:t>
      </w:r>
    </w:p>
    <w:p w14:paraId="73F2387F" w14:textId="15CD8830" w:rsidR="00435EA3" w:rsidRDefault="00000000">
      <w:pPr>
        <w:pStyle w:val="Heading3"/>
      </w:pPr>
      <w:r>
        <w:t>What to expect</w:t>
      </w:r>
    </w:p>
    <w:p w14:paraId="2E6E66C9" w14:textId="77777777" w:rsidR="00435EA3" w:rsidRDefault="00000000">
      <w:pPr>
        <w:pStyle w:val="ListBullet"/>
      </w:pPr>
      <w:r>
        <w:t>Mild redness, small bumps, or tenderness at injection sites for up to 24–48 hours.</w:t>
      </w:r>
    </w:p>
    <w:p w14:paraId="5C69F03B" w14:textId="77777777" w:rsidR="00435EA3" w:rsidRDefault="00000000">
      <w:pPr>
        <w:pStyle w:val="ListBullet"/>
      </w:pPr>
      <w:r>
        <w:t>Occasional headache or a tight feeling in treated muscles for a few days.</w:t>
      </w:r>
    </w:p>
    <w:p w14:paraId="6731DEA6" w14:textId="77777777" w:rsidR="00435EA3" w:rsidRDefault="00000000">
      <w:pPr>
        <w:pStyle w:val="ListBullet"/>
      </w:pPr>
      <w:r>
        <w:t>Results develop gradually; allow 3–14 days to see the full effect.</w:t>
      </w:r>
    </w:p>
    <w:p w14:paraId="7F3770A0" w14:textId="77777777" w:rsidR="00435EA3" w:rsidRDefault="00000000">
      <w:pPr>
        <w:pStyle w:val="Heading3"/>
      </w:pPr>
      <w:r>
        <w:t>Do</w:t>
      </w:r>
    </w:p>
    <w:p w14:paraId="0CE8A0AA" w14:textId="47BE6E32" w:rsidR="00435EA3" w:rsidRDefault="00000000">
      <w:pPr>
        <w:pStyle w:val="ListBullet"/>
      </w:pPr>
      <w:r>
        <w:t xml:space="preserve">Keep upright for </w:t>
      </w:r>
      <w:r w:rsidR="000A3773">
        <w:t>an hour</w:t>
      </w:r>
      <w:r>
        <w:t xml:space="preserve"> after treatment.</w:t>
      </w:r>
    </w:p>
    <w:p w14:paraId="53685B05" w14:textId="77777777" w:rsidR="00435EA3" w:rsidRDefault="00000000">
      <w:pPr>
        <w:pStyle w:val="ListBullet"/>
      </w:pPr>
      <w:r>
        <w:t>Gently move the treated muscles a few times in the first hour (optional).</w:t>
      </w:r>
    </w:p>
    <w:p w14:paraId="6578B0AC" w14:textId="77777777" w:rsidR="00435EA3" w:rsidRDefault="00000000">
      <w:pPr>
        <w:pStyle w:val="ListBullet"/>
      </w:pPr>
      <w:r>
        <w:t>Use paracetamol for discomfort if needed.</w:t>
      </w:r>
    </w:p>
    <w:p w14:paraId="621E98DD" w14:textId="77777777" w:rsidR="00435EA3" w:rsidRDefault="00000000">
      <w:pPr>
        <w:pStyle w:val="ListBullet"/>
      </w:pPr>
      <w:r>
        <w:t>Resume normal skincare that evening; be gentle over injection sites.</w:t>
      </w:r>
    </w:p>
    <w:p w14:paraId="4ADB4315" w14:textId="77777777" w:rsidR="00435EA3" w:rsidRDefault="00000000">
      <w:pPr>
        <w:pStyle w:val="Heading3"/>
      </w:pPr>
      <w:r>
        <w:t>Avoid (for 24 hours)</w:t>
      </w:r>
    </w:p>
    <w:p w14:paraId="58A94C94" w14:textId="77777777" w:rsidR="00435EA3" w:rsidRDefault="00000000">
      <w:pPr>
        <w:pStyle w:val="ListBullet"/>
      </w:pPr>
      <w:r>
        <w:t>Rubbing/massaging the treated areas.</w:t>
      </w:r>
    </w:p>
    <w:p w14:paraId="71EB9C55" w14:textId="77777777" w:rsidR="00435EA3" w:rsidRDefault="00000000">
      <w:pPr>
        <w:pStyle w:val="ListBullet"/>
      </w:pPr>
      <w:r>
        <w:t>Strenuous exercise, saunas/steam rooms, hot yoga.</w:t>
      </w:r>
    </w:p>
    <w:p w14:paraId="76D96F86" w14:textId="77777777" w:rsidR="00435EA3" w:rsidRDefault="00000000">
      <w:pPr>
        <w:pStyle w:val="ListBullet"/>
      </w:pPr>
      <w:r>
        <w:lastRenderedPageBreak/>
        <w:t>Alcohol (may increase bruising).</w:t>
      </w:r>
    </w:p>
    <w:p w14:paraId="0E985142" w14:textId="77777777" w:rsidR="00435EA3" w:rsidRDefault="00000000">
      <w:pPr>
        <w:pStyle w:val="ListBullet"/>
      </w:pPr>
      <w:r>
        <w:t>Facials or treatments that apply pressure to the face for 48 hours.</w:t>
      </w:r>
    </w:p>
    <w:p w14:paraId="047201E9" w14:textId="77777777" w:rsidR="00435EA3" w:rsidRDefault="00000000">
      <w:pPr>
        <w:pStyle w:val="Heading3"/>
      </w:pPr>
      <w:r>
        <w:t>When to contact us urgently</w:t>
      </w:r>
    </w:p>
    <w:p w14:paraId="24BFEC36" w14:textId="77777777" w:rsidR="00435EA3" w:rsidRDefault="00000000">
      <w:pPr>
        <w:pStyle w:val="ListBullet"/>
      </w:pPr>
      <w:r>
        <w:t>Signs of allergy: widespread rash, wheeze, lip/tongue swelling (call 999 if severe).</w:t>
      </w:r>
    </w:p>
    <w:p w14:paraId="71D59FAB" w14:textId="77777777" w:rsidR="00435EA3" w:rsidRDefault="00000000">
      <w:pPr>
        <w:pStyle w:val="ListBullet"/>
      </w:pPr>
      <w:r>
        <w:t>Severe headache with neck stiffness, double vision, or trouble speaking/swallowing.</w:t>
      </w:r>
    </w:p>
    <w:p w14:paraId="2B5B4AF9" w14:textId="77777777" w:rsidR="00435EA3" w:rsidRDefault="00000000">
      <w:pPr>
        <w:pStyle w:val="ListBullet"/>
      </w:pPr>
      <w:r>
        <w:t>Drooping eyelid affecting vision that is worsening.</w:t>
      </w:r>
    </w:p>
    <w:p w14:paraId="68580301" w14:textId="77777777" w:rsidR="00435EA3" w:rsidRDefault="00000000">
      <w:pPr>
        <w:pStyle w:val="Heading3"/>
      </w:pPr>
      <w:r>
        <w:t>Risks &amp; how common they are (cosmetic facial use)</w:t>
      </w:r>
    </w:p>
    <w:p w14:paraId="13782152" w14:textId="77777777" w:rsidR="00435EA3" w:rsidRDefault="00000000">
      <w:pPr>
        <w:pStyle w:val="ListBullet"/>
      </w:pPr>
      <w:r>
        <w:t>Headache: ~9% (forehead lines clinical studies).</w:t>
      </w:r>
    </w:p>
    <w:p w14:paraId="02A3061C" w14:textId="77777777" w:rsidR="00435EA3" w:rsidRDefault="00000000">
      <w:pPr>
        <w:pStyle w:val="ListBullet"/>
      </w:pPr>
      <w:r>
        <w:t>Eyelid ptosis after glabellar treatment: ~3%; brow ptosis with forehead treatment: ~2%.</w:t>
      </w:r>
    </w:p>
    <w:p w14:paraId="432DFFF1" w14:textId="77777777" w:rsidR="00435EA3" w:rsidRDefault="00000000">
      <w:pPr>
        <w:pStyle w:val="ListBullet"/>
      </w:pPr>
      <w:r>
        <w:t>Bruising/redness: common and settle in days.</w:t>
      </w:r>
    </w:p>
    <w:p w14:paraId="56C09AFE" w14:textId="77777777" w:rsidR="00435EA3" w:rsidRDefault="00000000">
      <w:pPr>
        <w:pStyle w:val="ListBullet"/>
      </w:pPr>
      <w:r>
        <w:t>Dry eye or eye irritation: uncommon; more likely in those with existing dry eye.</w:t>
      </w:r>
    </w:p>
    <w:p w14:paraId="3606D5F8" w14:textId="77777777" w:rsidR="00435EA3" w:rsidRDefault="00000000">
      <w:pPr>
        <w:pStyle w:val="ListBullet"/>
      </w:pPr>
      <w:r>
        <w:t>Very rare spread of effect causing swallowing or breathing difficulty (seek urgent care).</w:t>
      </w:r>
    </w:p>
    <w:p w14:paraId="49CDDD9C" w14:textId="3CBE0924" w:rsidR="00435EA3" w:rsidRDefault="00000000" w:rsidP="000A3773">
      <w:pPr>
        <w:pStyle w:val="IntenseQuote"/>
      </w:pPr>
      <w:r>
        <w:t>Percentages are from BOTOX® Cosmetic prescribing information clinical trial data for approved facial indications.</w:t>
      </w:r>
    </w:p>
    <w:p w14:paraId="79BB7F89" w14:textId="77777777" w:rsidR="00435EA3" w:rsidRDefault="00000000">
      <w:pPr>
        <w:pStyle w:val="Heading3"/>
      </w:pPr>
      <w:r>
        <w:t>References (selected)</w:t>
      </w:r>
    </w:p>
    <w:p w14:paraId="2918B11E" w14:textId="77777777" w:rsidR="00435EA3" w:rsidRDefault="00000000">
      <w:pPr>
        <w:pStyle w:val="ListBullet"/>
      </w:pPr>
      <w:r>
        <w:t>BOTOX Cosmetic (onabotulinumtoxinA) Prescribing Information, AbbVie, revised 10/2024.</w:t>
      </w:r>
    </w:p>
    <w:p w14:paraId="334F999A" w14:textId="77777777" w:rsidR="00435EA3" w:rsidRDefault="00000000">
      <w:pPr>
        <w:pStyle w:val="ListBullet"/>
      </w:pPr>
      <w:r>
        <w:lastRenderedPageBreak/>
        <w:t>Alotaibi GF et al. Eyelid ptosis following botulinum toxin injection. Cureus. 2022.</w:t>
      </w:r>
    </w:p>
    <w:sectPr w:rsidR="00435EA3" w:rsidSect="00547A68">
      <w:pgSz w:w="12240" w:h="15840"/>
      <w:pgMar w:top="851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74690270">
    <w:abstractNumId w:val="8"/>
  </w:num>
  <w:num w:numId="2" w16cid:durableId="2111856005">
    <w:abstractNumId w:val="6"/>
  </w:num>
  <w:num w:numId="3" w16cid:durableId="1294143424">
    <w:abstractNumId w:val="5"/>
  </w:num>
  <w:num w:numId="4" w16cid:durableId="944771685">
    <w:abstractNumId w:val="4"/>
  </w:num>
  <w:num w:numId="5" w16cid:durableId="1721246376">
    <w:abstractNumId w:val="7"/>
  </w:num>
  <w:num w:numId="6" w16cid:durableId="2040012715">
    <w:abstractNumId w:val="3"/>
  </w:num>
  <w:num w:numId="7" w16cid:durableId="1109855405">
    <w:abstractNumId w:val="2"/>
  </w:num>
  <w:num w:numId="8" w16cid:durableId="712122943">
    <w:abstractNumId w:val="1"/>
  </w:num>
  <w:num w:numId="9" w16cid:durableId="540433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3773"/>
    <w:rsid w:val="0015074B"/>
    <w:rsid w:val="0029639D"/>
    <w:rsid w:val="00326F90"/>
    <w:rsid w:val="003A316F"/>
    <w:rsid w:val="00435EA3"/>
    <w:rsid w:val="00547A68"/>
    <w:rsid w:val="00AA1D8D"/>
    <w:rsid w:val="00B31C9B"/>
    <w:rsid w:val="00B47730"/>
    <w:rsid w:val="00C47D2D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7136452F-3D87-45D3-856C-6974BDF54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Adam Rochford (BathNES)</cp:lastModifiedBy>
  <cp:revision>5</cp:revision>
  <dcterms:created xsi:type="dcterms:W3CDTF">2013-12-23T23:15:00Z</dcterms:created>
  <dcterms:modified xsi:type="dcterms:W3CDTF">2025-10-07T18:09:00Z</dcterms:modified>
  <cp:category/>
</cp:coreProperties>
</file>