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EC359" w14:textId="2C513C8B" w:rsidR="00C34DF0" w:rsidRDefault="00D624CC">
      <w:pPr>
        <w:pStyle w:val="Heading1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4F37230" wp14:editId="5981A7D3">
            <wp:simplePos x="0" y="0"/>
            <wp:positionH relativeFrom="column">
              <wp:posOffset>3162300</wp:posOffset>
            </wp:positionH>
            <wp:positionV relativeFrom="paragraph">
              <wp:posOffset>313055</wp:posOffset>
            </wp:positionV>
            <wp:extent cx="2317750" cy="1447800"/>
            <wp:effectExtent l="0" t="0" r="6350" b="0"/>
            <wp:wrapTight wrapText="bothSides">
              <wp:wrapPolygon edited="0">
                <wp:start x="0" y="0"/>
                <wp:lineTo x="0" y="21316"/>
                <wp:lineTo x="21482" y="21316"/>
                <wp:lineTo x="21482" y="0"/>
                <wp:lineTo x="0" y="0"/>
              </wp:wrapPolygon>
            </wp:wrapTight>
            <wp:docPr id="56680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RENEW Aesthetics &amp; Wellbeing</w:t>
      </w:r>
      <w:r>
        <w:t xml:space="preserve"> </w:t>
      </w:r>
    </w:p>
    <w:p w14:paraId="7E58E8F9" w14:textId="77777777" w:rsidR="00C34DF0" w:rsidRDefault="00000000">
      <w:pPr>
        <w:pStyle w:val="Heading2"/>
      </w:pPr>
      <w:r>
        <w:t>Hyaluronic Acid Dermal Filler – Aftercare &amp; Risks</w:t>
      </w:r>
    </w:p>
    <w:p w14:paraId="33EE88C7" w14:textId="77777777" w:rsidR="00C34DF0" w:rsidRDefault="00000000">
      <w:r>
        <w:t>Please keep this for your records. Contact us if you have any concerns.</w:t>
      </w:r>
    </w:p>
    <w:p w14:paraId="6101F88F" w14:textId="77777777" w:rsidR="00C34DF0" w:rsidRDefault="00000000">
      <w:pPr>
        <w:pStyle w:val="Heading3"/>
      </w:pPr>
      <w:r>
        <w:t>What to expect</w:t>
      </w:r>
    </w:p>
    <w:p w14:paraId="23A95D9E" w14:textId="77777777" w:rsidR="00C34DF0" w:rsidRDefault="00000000">
      <w:pPr>
        <w:pStyle w:val="ListBullet"/>
      </w:pPr>
      <w:r>
        <w:t>Redness, swelling and tenderness for 24–72 hours (lips can swell for up to 5 days).</w:t>
      </w:r>
    </w:p>
    <w:p w14:paraId="33793DCE" w14:textId="77777777" w:rsidR="00C34DF0" w:rsidRDefault="00000000">
      <w:pPr>
        <w:pStyle w:val="ListBullet"/>
      </w:pPr>
      <w:r>
        <w:t>Small lumps or asymmetry may appear as swelling settles.</w:t>
      </w:r>
    </w:p>
    <w:p w14:paraId="4D44E5A5" w14:textId="77777777" w:rsidR="00C34DF0" w:rsidRDefault="00000000">
      <w:pPr>
        <w:pStyle w:val="ListBullet"/>
      </w:pPr>
      <w:r>
        <w:t>Bruising is common and can take up to 10 days to fade.</w:t>
      </w:r>
    </w:p>
    <w:p w14:paraId="672AD4AA" w14:textId="77777777" w:rsidR="00C34DF0" w:rsidRDefault="00000000">
      <w:pPr>
        <w:pStyle w:val="Heading3"/>
      </w:pPr>
      <w:r>
        <w:t>Do</w:t>
      </w:r>
    </w:p>
    <w:p w14:paraId="712D62E9" w14:textId="77777777" w:rsidR="00C34DF0" w:rsidRDefault="00000000">
      <w:pPr>
        <w:pStyle w:val="ListBullet"/>
      </w:pPr>
      <w:r>
        <w:t>Use cold packs gently (10 minutes on/off) in the first 24 hours.</w:t>
      </w:r>
    </w:p>
    <w:p w14:paraId="753866B9" w14:textId="77777777" w:rsidR="00C34DF0" w:rsidRDefault="00000000">
      <w:pPr>
        <w:pStyle w:val="ListBullet"/>
      </w:pPr>
      <w:r>
        <w:t>Sleep with head slightly elevated on the first night.</w:t>
      </w:r>
    </w:p>
    <w:p w14:paraId="0FC9BE92" w14:textId="77777777" w:rsidR="00C34DF0" w:rsidRDefault="00000000">
      <w:pPr>
        <w:pStyle w:val="ListBullet"/>
      </w:pPr>
      <w:r>
        <w:t>Use paracetamol for discomfort if needed.</w:t>
      </w:r>
    </w:p>
    <w:p w14:paraId="49A0A827" w14:textId="77777777" w:rsidR="00C34DF0" w:rsidRDefault="00000000">
      <w:pPr>
        <w:pStyle w:val="ListBullet"/>
      </w:pPr>
      <w:r>
        <w:t>Keep the area clean; you may wear light makeup after 24 hours if skin is intact.</w:t>
      </w:r>
    </w:p>
    <w:p w14:paraId="335FB417" w14:textId="77777777" w:rsidR="00C34DF0" w:rsidRDefault="00000000">
      <w:pPr>
        <w:pStyle w:val="Heading3"/>
      </w:pPr>
      <w:r>
        <w:t>Avoid</w:t>
      </w:r>
    </w:p>
    <w:p w14:paraId="798C9A9D" w14:textId="77777777" w:rsidR="00C34DF0" w:rsidRDefault="00000000">
      <w:pPr>
        <w:pStyle w:val="ListBullet"/>
      </w:pPr>
      <w:r>
        <w:t>Intense exercise, alcohol, saunas/steam rooms for 24 hours.</w:t>
      </w:r>
    </w:p>
    <w:p w14:paraId="22146515" w14:textId="77777777" w:rsidR="00C34DF0" w:rsidRDefault="00000000">
      <w:pPr>
        <w:pStyle w:val="ListBullet"/>
      </w:pPr>
      <w:r>
        <w:t>Facials, dental work or high‑pressure treatments over the area for 2 weeks.</w:t>
      </w:r>
    </w:p>
    <w:p w14:paraId="0376ADC6" w14:textId="77777777" w:rsidR="00C34DF0" w:rsidRDefault="00000000">
      <w:pPr>
        <w:pStyle w:val="Heading3"/>
      </w:pPr>
      <w:r>
        <w:t>When to contact us urgently</w:t>
      </w:r>
    </w:p>
    <w:p w14:paraId="7AF541EB" w14:textId="77777777" w:rsidR="00C34DF0" w:rsidRDefault="00000000">
      <w:pPr>
        <w:pStyle w:val="ListBullet"/>
      </w:pPr>
      <w:r>
        <w:t>Severe increasing pain, pale/grey or dusky skin, mottling (livedo), or cool skin – possible vascular occlusion.</w:t>
      </w:r>
    </w:p>
    <w:p w14:paraId="2DEECF08" w14:textId="77777777" w:rsidR="00C34DF0" w:rsidRDefault="00000000">
      <w:pPr>
        <w:pStyle w:val="ListBullet"/>
      </w:pPr>
      <w:r>
        <w:t>Any sudden vision change, severe headache, dizziness, or nausea after treatment around nose, frown, or forehead: call 999.</w:t>
      </w:r>
    </w:p>
    <w:p w14:paraId="3D8926B8" w14:textId="77777777" w:rsidR="00C34DF0" w:rsidRDefault="00000000">
      <w:pPr>
        <w:pStyle w:val="ListBullet"/>
      </w:pPr>
      <w:r>
        <w:t>Signs of infection (worsening redness, heat, pus, fever).</w:t>
      </w:r>
    </w:p>
    <w:p w14:paraId="519F3F41" w14:textId="77777777" w:rsidR="00C34DF0" w:rsidRDefault="00000000">
      <w:pPr>
        <w:pStyle w:val="Heading3"/>
      </w:pPr>
      <w:r>
        <w:t>Risks &amp; how common they are</w:t>
      </w:r>
    </w:p>
    <w:p w14:paraId="654A755B" w14:textId="77777777" w:rsidR="00C34DF0" w:rsidRDefault="00000000">
      <w:pPr>
        <w:pStyle w:val="ListBullet"/>
      </w:pPr>
      <w:r>
        <w:t>Bruising, swelling, redness, tenderness: common; settle in days.</w:t>
      </w:r>
    </w:p>
    <w:p w14:paraId="74850E9B" w14:textId="77777777" w:rsidR="00C34DF0" w:rsidRDefault="00000000">
      <w:pPr>
        <w:pStyle w:val="ListBullet"/>
      </w:pPr>
      <w:r>
        <w:t>Delayed swelling or nodules: uncommon.</w:t>
      </w:r>
    </w:p>
    <w:p w14:paraId="2F8E3563" w14:textId="77777777" w:rsidR="00C34DF0" w:rsidRDefault="00000000">
      <w:pPr>
        <w:pStyle w:val="ListBullet"/>
      </w:pPr>
      <w:r>
        <w:t>Vascular occlusion: rare (~0.01%–0.05% per treatment).</w:t>
      </w:r>
    </w:p>
    <w:p w14:paraId="7DA2F226" w14:textId="77777777" w:rsidR="00C34DF0" w:rsidRDefault="00000000">
      <w:pPr>
        <w:pStyle w:val="ListBullet"/>
      </w:pPr>
      <w:r>
        <w:t>Skin necrosis: very rare when treated early.</w:t>
      </w:r>
    </w:p>
    <w:p w14:paraId="6F309E2D" w14:textId="77777777" w:rsidR="00C34DF0" w:rsidRDefault="00000000">
      <w:pPr>
        <w:pStyle w:val="ListBullet"/>
      </w:pPr>
      <w:r>
        <w:t>Vision loss: extremely rare; most reported cases with injections to nose/glabella.</w:t>
      </w:r>
    </w:p>
    <w:p w14:paraId="73A48358" w14:textId="10673CC3" w:rsidR="00C34DF0" w:rsidRDefault="00000000" w:rsidP="00D624CC">
      <w:pPr>
        <w:pStyle w:val="IntenseQuote"/>
      </w:pPr>
      <w:r>
        <w:t>Rates based on cohort studies and ACE Group World data; true risk depends on area and technique.</w:t>
      </w:r>
    </w:p>
    <w:p w14:paraId="094FCD65" w14:textId="77777777" w:rsidR="00C34DF0" w:rsidRDefault="00000000">
      <w:pPr>
        <w:pStyle w:val="Heading3"/>
      </w:pPr>
      <w:r>
        <w:t>References (selected)</w:t>
      </w:r>
    </w:p>
    <w:p w14:paraId="55874A12" w14:textId="77777777" w:rsidR="00C34DF0" w:rsidRDefault="00000000">
      <w:pPr>
        <w:pStyle w:val="ListBullet"/>
      </w:pPr>
      <w:r>
        <w:t>Schelke L et al. Incidence of Vascular Obstruction After Filler Injections. Aesthet Surg J Open Forum. 2020.</w:t>
      </w:r>
    </w:p>
    <w:p w14:paraId="42317F16" w14:textId="77777777" w:rsidR="00C34DF0" w:rsidRDefault="00000000">
      <w:pPr>
        <w:pStyle w:val="ListBullet"/>
      </w:pPr>
      <w:r>
        <w:t>Beleznay K et al. Update on Avoiding/Treating Blindness From Fillers. Aesthet Surg J. 2019.</w:t>
      </w:r>
    </w:p>
    <w:p w14:paraId="7FE55411" w14:textId="77777777" w:rsidR="00C34DF0" w:rsidRDefault="00000000">
      <w:pPr>
        <w:pStyle w:val="ListBullet"/>
      </w:pPr>
      <w:r>
        <w:t>ACE Group World. Management of Vascular Occlusion v2.5.</w:t>
      </w:r>
    </w:p>
    <w:sectPr w:rsidR="00C34DF0" w:rsidSect="00D624CC">
      <w:pgSz w:w="12240" w:h="15840"/>
      <w:pgMar w:top="567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419672162">
    <w:abstractNumId w:val="8"/>
  </w:num>
  <w:num w:numId="2" w16cid:durableId="1634142474">
    <w:abstractNumId w:val="6"/>
  </w:num>
  <w:num w:numId="3" w16cid:durableId="1637641744">
    <w:abstractNumId w:val="5"/>
  </w:num>
  <w:num w:numId="4" w16cid:durableId="846555667">
    <w:abstractNumId w:val="4"/>
  </w:num>
  <w:num w:numId="5" w16cid:durableId="2070688993">
    <w:abstractNumId w:val="7"/>
  </w:num>
  <w:num w:numId="6" w16cid:durableId="232594130">
    <w:abstractNumId w:val="3"/>
  </w:num>
  <w:num w:numId="7" w16cid:durableId="1314674490">
    <w:abstractNumId w:val="2"/>
  </w:num>
  <w:num w:numId="8" w16cid:durableId="875122976">
    <w:abstractNumId w:val="1"/>
  </w:num>
  <w:num w:numId="9" w16cid:durableId="1706523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31C9B"/>
    <w:rsid w:val="00B47730"/>
    <w:rsid w:val="00C34DF0"/>
    <w:rsid w:val="00CB0664"/>
    <w:rsid w:val="00D624C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062061"/>
  <w14:defaultImageDpi w14:val="300"/>
  <w15:docId w15:val="{7136452F-3D87-45D3-856C-6974BDF54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263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1760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Adam Rochford (BathNES)</cp:lastModifiedBy>
  <cp:revision>2</cp:revision>
  <dcterms:created xsi:type="dcterms:W3CDTF">2013-12-23T23:15:00Z</dcterms:created>
  <dcterms:modified xsi:type="dcterms:W3CDTF">2025-10-07T18:12:00Z</dcterms:modified>
  <cp:category/>
</cp:coreProperties>
</file>