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6B4E"/>
          <w:spacing w:val="20"/>
          <w:sz w:val="17"/>
          <w:szCs w:val="17"/>
        </w:rPr>
        <w:t xml:space="preserve">PROYECTO FINAL · ETHEREUM DEVELOPER PACK, ETH KIPU</w:t>
      </w:r>
    </w:p>
    <w:p>
      <w:pPr>
        <w:spacing w:after="20"/>
      </w:pPr>
      <w:r>
        <w:rPr>
          <w:rFonts w:ascii="Cambria" w:cs="Cambria" w:eastAsia="Cambria" w:hAnsi="Cambria"/>
          <w:b/>
          <w:bCs/>
          <w:sz w:val="60"/>
          <w:szCs w:val="60"/>
        </w:rPr>
        <w:t xml:space="preserve">MintEd</w:t>
      </w:r>
    </w:p>
    <w:p>
      <w:pPr>
        <w:spacing w:after="100"/>
      </w:pPr>
      <w:r>
        <w:rPr>
          <w:color w:val="4B5F56"/>
          <w:sz w:val="24"/>
          <w:szCs w:val="24"/>
        </w:rPr>
        <w:t xml:space="preserve">Aprender Web3 usando Web3: tokens de práctica y credenciales verificables on-chain</w:t>
      </w:r>
    </w:p>
    <w:p>
      <w:pPr>
        <w:pBdr>
          <w:bottom w:val="single" w:color="BFCBC5" w:sz="6" w:space="6"/>
        </w:pBdr>
        <w:spacing w:after="100"/>
      </w:pPr>
      <w:r>
        <w:rPr>
          <w:b/>
          <w:bCs/>
          <w:sz w:val="18"/>
          <w:szCs w:val="18"/>
        </w:rPr>
        <w:t xml:space="preserve">Equipo:</w:t>
      </w:r>
      <w:r>
        <w:rPr>
          <w:sz w:val="18"/>
          <w:szCs w:val="18"/>
        </w:rPr>
        <w:t xml:space="preserve"> </w:t>
      </w:r>
      <w:r>
        <w:rPr>
          <w:sz w:val="18"/>
          <w:szCs w:val="18"/>
          <w:shd w:fill="FFF200" w:color="auto" w:val="clear"/>
        </w:rPr>
        <w:t xml:space="preserve">[nombres de los integrantes]</w:t>
      </w:r>
      <w:r>
        <w:rPr>
          <w:sz w:val="18"/>
          <w:szCs w:val="18"/>
        </w:rPr>
        <w:t xml:space="preserve">   </w:t>
      </w:r>
      <w:r>
        <w:rPr>
          <w:b/>
          <w:bCs/>
          <w:sz w:val="18"/>
          <w:szCs w:val="18"/>
        </w:rPr>
        <w:t xml:space="preserve">Red:</w:t>
      </w:r>
      <w:r>
        <w:rPr>
          <w:sz w:val="18"/>
          <w:szCs w:val="18"/>
        </w:rPr>
        <w:t xml:space="preserve"> Sepolia   </w:t>
      </w:r>
      <w:r>
        <w:rPr>
          <w:b/>
          <w:bCs/>
          <w:sz w:val="18"/>
          <w:szCs w:val="18"/>
        </w:rPr>
        <w:t xml:space="preserve">Entrega:</w:t>
      </w:r>
      <w:r>
        <w:rPr>
          <w:sz w:val="18"/>
          <w:szCs w:val="18"/>
        </w:rPr>
        <w:t xml:space="preserve"> 27/10/2026   </w:t>
      </w:r>
      <w:r>
        <w:rPr>
          <w:b/>
          <w:bCs/>
          <w:sz w:val="18"/>
          <w:szCs w:val="18"/>
        </w:rPr>
        <w:t xml:space="preserve">Repositorio:</w:t>
      </w:r>
      <w:r>
        <w:rPr>
          <w:sz w:val="18"/>
          <w:szCs w:val="18"/>
        </w:rPr>
        <w:t xml:space="preserve"> </w:t>
      </w:r>
      <w:r>
        <w:rPr>
          <w:sz w:val="18"/>
          <w:szCs w:val="18"/>
          <w:shd w:fill="FFF200" w:color="auto" w:val="clear"/>
        </w:rPr>
        <w:t xml:space="preserve">[pegar enlace a GitHub]</w:t>
      </w:r>
    </w:p>
    <w:p>
      <w:pPr>
        <w:spacing w:after="100" w:line="264"/>
      </w:pPr>
      <w:r>
        <w:rPr>
          <w:b/>
          <w:bCs/>
        </w:rPr>
        <w:t xml:space="preserve">Resumen.</w:t>
      </w:r>
      <w:r>
        <w:t xml:space="preserve"> MintEd es una plataforma educativa Web3 en la que se aprende usando blockchain. La persona completa actividades prácticas en una testnet, gana MintXP (MXP), un token ERC-20, y quema parte de ese saldo para obtener una credencial verificable on-chain que no puede transferirse. El contenido educativo vive off-chain. Ethereum se usa para la propiedad de los tokens, la auditoría de su emisión y la verificación de las credenciales. Este documento describe el diseño del MVP en Sepolia. El Anexo registra la evidencia de cada afirmación (despliegues, transacciones y pruebas), que se completa a medida que se verifica.</w:t>
      </w:r>
    </w:p>
    <w:p>
      <w:pPr>
        <w:pStyle w:val="Heading1"/>
      </w:pPr>
      <w:r>
        <w:t xml:space="preserve">1. Definición del problema</w:t>
      </w:r>
    </w:p>
    <w:p>
      <w:pPr>
        <w:spacing w:after="100" w:line="264"/>
      </w:pPr>
      <w:r>
        <w:rPr>
          <w:b/>
          <w:bCs/>
        </w:rPr>
        <w:t xml:space="preserve">Falta de práctica guiada.</w:t>
      </w:r>
      <w:r>
        <w:t xml:space="preserve"> Entrar a Web3 requiere una práctica que la lectura no da. Una persona puede saber qué es una wallet, el gas o un smart contract y aun así no saber qué ocurre cuando firma una transacción o aprueba un gasto, y un error con fondos reales tiene costo. El público objetivo son adultos sin formación técnica, o con experiencia limitada a exchanges, que quieren entender y usar herramientas cripto. La magnitud de esta brecha es una hipótesis de partida que el proyecto propone medir (sección 6).</w:t>
      </w:r>
    </w:p>
    <w:p>
      <w:pPr>
        <w:keepNext/>
        <w:spacing w:after="100" w:line="264"/>
      </w:pPr>
      <w:r>
        <w:t xml:space="preserve">A ese punto de dolor se suman dos ineficiencias del sistema actual de formación y certificación:</w:t>
      </w:r>
    </w:p>
    <w:p>
      <w:pPr>
        <w:pStyle w:val="ListParagraph"/>
        <w:numPr>
          <w:ilvl w:val="0"/>
          <w:numId w:val="2"/>
        </w:numPr>
        <w:spacing w:after="50" w:line="259"/>
      </w:pPr>
      <w:r>
        <w:rPr>
          <w:b/>
          <w:bCs/>
        </w:rPr>
        <w:t xml:space="preserve">Credenciales que dependen del emisor.</w:t>
      </w:r>
      <w:r>
        <w:t xml:space="preserve"> Un certificado suele ser un archivo o un registro dentro de la plataforma que lo emitió. Verificarlo exige consultar al emisor, que debe seguir existiendo y conservar el registro.</w:t>
      </w:r>
    </w:p>
    <w:p>
      <w:pPr>
        <w:pStyle w:val="ListParagraph"/>
        <w:numPr>
          <w:ilvl w:val="0"/>
          <w:numId w:val="2"/>
        </w:numPr>
        <w:spacing w:after="50" w:line="259"/>
      </w:pPr>
      <w:r>
        <w:rPr>
          <w:b/>
          <w:bCs/>
        </w:rPr>
        <w:t xml:space="preserve">Recompensas sin economía.</w:t>
      </w:r>
      <w:r>
        <w:t xml:space="preserve"> En los modelos Learn-to-Earn, un token que solo se emite y nunca se consume no tiene utilidad ni escasez. Si además puede comprarse, la credencial deja de probar conocimiento.</w:t>
      </w:r>
    </w:p>
    <w:p>
      <w:pPr>
        <w:pStyle w:val="Heading1"/>
      </w:pPr>
      <w:r>
        <w:t xml:space="preserve">2. Propuesta de valor</w:t>
      </w:r>
    </w:p>
    <w:p>
      <w:pPr>
        <w:spacing w:after="100" w:line="264"/>
      </w:pPr>
      <w:r>
        <w:t xml:space="preserve">MintEd combina lecciones con actividades que el usuario ejecuta en la testnet Sepolia: conectar una wallet, firmar un reclamo, autorizar un gasto, quemar tokens. Cada acción es una transacción real con fondos de prueba, de modo que la blockchain es a la vez infraestructura y entorno de aprendizaje. Cada actividad aprobada permite reclamar 10 MXP. Un recorrido de 3 actividades otorga 30 MXP y emitir su credencial quema 20 MXP.</w:t>
      </w:r>
    </w:p>
    <w:p>
      <w:pPr>
        <w:keepNext/>
        <w:spacing w:after="100" w:line="264"/>
      </w:pPr>
      <w:r>
        <w:rPr>
          <w:b/>
          <w:bCs/>
        </w:rPr>
        <w:t xml:space="preserve">Por qué Ethereum y no solo una base de datos.</w:t>
      </w:r>
      <w:r>
        <w:t xml:space="preserve"> Una base de datos tradicional es la mejor opción para el contenido educativo. Ethereum aporta valor en tres propiedades concretas: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Propiedad</w:t>
            </w:r>
          </w:p>
        </w:tc>
        <w:tc>
          <w:tcPr>
            <w:tcW w:type="dxa" w:w="33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Base de datos tradicional</w:t>
            </w:r>
          </w:p>
        </w:tc>
        <w:tc>
          <w:tcPr>
            <w:tcW w:type="dxa" w:w="4438"/>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Ethereum en MintEd</w:t>
            </w:r>
          </w:p>
        </w:tc>
      </w:tr>
      <w:tr>
        <w:trPr>
          <w:cantSplit/>
        </w:trPr>
        <w:tc>
          <w:tcPr>
            <w:tcW w:type="dxa" w:w="1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Transparencia</w:t>
            </w:r>
          </w:p>
        </w:tc>
        <w:tc>
          <w:tcPr>
            <w:tcW w:type="dxa" w:w="3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El operador publica las cifras de emisión que decide mostrar.</w:t>
            </w:r>
          </w:p>
        </w:tc>
        <w:tc>
          <w:tcPr>
            <w:tcW w:type="dxa" w:w="44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La oferta total de MXP y cada emisión y quema son públicas y auditables por cualquiera.</w:t>
            </w:r>
          </w:p>
        </w:tc>
      </w:tr>
      <w:tr>
        <w:trPr>
          <w:cantSplit/>
        </w:trPr>
        <w:tc>
          <w:tcPr>
            <w:tcW w:type="dxa" w:w="1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Inmutabilidad</w:t>
            </w:r>
          </w:p>
        </w:tc>
        <w:tc>
          <w:tcPr>
            <w:tcW w:type="dxa" w:w="3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El operador puede editar o borrar registros y reglas.</w:t>
            </w:r>
          </w:p>
        </w:tc>
        <w:tc>
          <w:tcPr>
            <w:tcW w:type="dxa" w:w="44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Las reglas quedan fijas en el contrato: el costo de la quema es inmutable, los recorridos no se editan y no existe función para revocar credenciales.</w:t>
            </w:r>
          </w:p>
        </w:tc>
      </w:tr>
      <w:tr>
        <w:trPr>
          <w:cantSplit/>
        </w:trPr>
        <w:tc>
          <w:tcPr>
            <w:tcW w:type="dxa" w:w="1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Descentralización</w:t>
            </w:r>
          </w:p>
        </w:tc>
        <w:tc>
          <w:tcPr>
            <w:tcW w:type="dxa" w:w="3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Tokens y certificados viven en la cuenta del usuario dentro de la plataforma. Verificar exige consultar al emisor.</w:t>
            </w:r>
          </w:p>
        </w:tc>
        <w:tc>
          <w:tcPr>
            <w:tcW w:type="dxa" w:w="44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El usuario custodia MXP y credencial en su propia wallet. Cualquiera verifica consultando el contrato, sin depender de MintEd.</w:t>
            </w:r>
          </w:p>
        </w:tc>
      </w:tr>
      <w:tr>
        <w:trPr>
          <w:cantSplit/>
        </w:trPr>
        <w:tc>
          <w:tcPr>
            <w:tcW w:type="dxa" w:w="1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Contenido educativo</w:t>
            </w:r>
          </w:p>
        </w:tc>
        <w:tc>
          <w:tcPr>
            <w:tcW w:type="dxa" w:w="3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Más eficiente y fácil de actualizar.</w:t>
            </w:r>
          </w:p>
        </w:tc>
        <w:tc>
          <w:tcPr>
            <w:tcW w:type="dxa" w:w="44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No se usa: lecciones, quizzes y corrección viven off-chain.</w:t>
            </w:r>
          </w:p>
        </w:tc>
      </w:tr>
    </w:tbl>
    <w:p>
      <w:pPr>
        <w:spacing w:after="60"/>
      </w:pPr>
    </w:p>
    <w:p>
      <w:pPr>
        <w:spacing w:after="100" w:line="264"/>
      </w:pPr>
      <w:r>
        <w:rPr>
          <w:b/>
          <w:bCs/>
        </w:rPr>
        <w:t xml:space="preserve">Arquitectura híbrida.</w:t>
      </w:r>
      <w:r>
        <w:t xml:space="preserve"> Off-chain permanecen lecciones, respuestas, corrección y sesiones. On-chain se registran la emisión y quema de MXP, los reclamos por actividad y la titularidad de las credenciales. El sistema no es completamente descentralizado: el backend decide si una actividad fue aprobada y el contrato verifica una autorización firmada, no observa el aprendizaje (secciones 3.2 y 5).</w:t>
      </w:r>
    </w:p>
    <w:p>
      <w:pPr>
        <w:spacing w:after="100" w:line="264"/>
      </w:pPr>
      <w:r>
        <w:rPr>
          <w:b/>
          <w:bCs/>
        </w:rPr>
        <w:t xml:space="preserve">Dos activos con funciones distintas.</w:t>
      </w:r>
      <w:r>
        <w:t xml:space="preserve"> MXP es fungible y transferible: se acumula, se transfiere y se quema. La credencial es un NFT no transferible asociado a un recorrido. Tener MXP no alcanza para obtenerla, porque el contrato exige además los reclamos de cada actividad registrados en la misma wallet. Por eso comprar tokens no permite comprar la credencial. La quema es el uso educativo del token y su sumidero de oferta (quedan 10 MXP por recorrido). No garantiza demanda ni valor: el MVP no contempla venta, mercado ni conversión a dinero, y no promete rentabilidad. Los importes son parámetros iniciales de diseño. La credencial acredita un registro emitido por MintEd y no garantiza por sí misma competencia, empleo ni acreditación oficial.</w:t>
      </w:r>
    </w:p>
    <w:p>
      <w:pPr>
        <w:pStyle w:val="Heading1"/>
      </w:pPr>
      <w:r>
        <w:t xml:space="preserve">3. Arquitectura del sistema</w:t>
      </w:r>
    </w:p>
    <w:p>
      <w:pPr>
        <w:pStyle w:val="Heading2"/>
      </w:pPr>
      <w:r>
        <w:t xml:space="preserve">3.1 Capa de smart contracts</w:t>
      </w:r>
    </w:p>
    <w:p>
      <w:pPr>
        <w:keepNext/>
        <w:spacing w:after="100" w:line="264"/>
      </w:pPr>
      <w:r>
        <w:rPr>
          <w:b/>
          <w:bCs/>
        </w:rPr>
        <w:t xml:space="preserve">MintXP</w:t>
      </w:r>
      <w:r>
        <w:t xml:space="preserve"> (ERC-20 con </w:t>
      </w:r>
      <w:r>
        <w:rPr>
          <w:rFonts w:ascii="Consolas" w:cs="Consolas" w:eastAsia="Consolas" w:hAnsi="Consolas"/>
          <w:sz w:val="18"/>
          <w:szCs w:val="18"/>
        </w:rPr>
        <w:t xml:space="preserve">ERC20Burnable</w:t>
      </w:r>
      <w:r>
        <w:t xml:space="preserve"> de OpenZeppelin 5 y firmas EIP-712):</w:t>
      </w:r>
    </w:p>
    <w:p>
      <w:pPr>
        <w:pStyle w:val="ListParagraph"/>
        <w:numPr>
          <w:ilvl w:val="0"/>
          <w:numId w:val="2"/>
        </w:numPr>
        <w:spacing w:after="50" w:line="259"/>
      </w:pPr>
      <w:r>
        <w:rPr>
          <w:rFonts w:ascii="Consolas" w:cs="Consolas" w:eastAsia="Consolas" w:hAnsi="Consolas"/>
          <w:sz w:val="18"/>
          <w:szCs w:val="18"/>
        </w:rPr>
        <w:t xml:space="preserve">claimXP(activityId, amount, deadline, signature)</w:t>
      </w:r>
      <w:r>
        <w:t xml:space="preserve"> exige una firma válida del </w:t>
      </w:r>
      <w:r>
        <w:rPr>
          <w:rFonts w:ascii="Consolas" w:cs="Consolas" w:eastAsia="Consolas" w:hAnsi="Consolas"/>
          <w:sz w:val="18"/>
          <w:szCs w:val="18"/>
        </w:rPr>
        <w:t xml:space="preserve">claimSigner</w:t>
      </w:r>
      <w:r>
        <w:t xml:space="preserve">, que no haya vencido, un monto mayor a 0 y no mayor a </w:t>
      </w:r>
      <w:r>
        <w:rPr>
          <w:rFonts w:ascii="Consolas" w:cs="Consolas" w:eastAsia="Consolas" w:hAnsi="Consolas"/>
          <w:sz w:val="18"/>
          <w:szCs w:val="18"/>
        </w:rPr>
        <w:t xml:space="preserve">MAX_CLAIM</w:t>
      </w:r>
      <w:r>
        <w:t xml:space="preserve"> (100 MXP), y que el par (usuario, actividad) no se haya reclamado antes. Marca </w:t>
      </w:r>
      <w:r>
        <w:rPr>
          <w:rFonts w:ascii="Consolas" w:cs="Consolas" w:eastAsia="Consolas" w:hAnsi="Consolas"/>
          <w:sz w:val="18"/>
          <w:szCs w:val="18"/>
        </w:rPr>
        <w:t xml:space="preserve">claimed</w:t>
      </w:r>
      <w:r>
        <w:t xml:space="preserve"> y recién entonces emite los tokens.</w:t>
      </w:r>
    </w:p>
    <w:p>
      <w:pPr>
        <w:pStyle w:val="ListParagraph"/>
        <w:numPr>
          <w:ilvl w:val="0"/>
          <w:numId w:val="2"/>
        </w:numPr>
        <w:spacing w:after="50" w:line="259"/>
      </w:pPr>
      <w:r>
        <w:t xml:space="preserve">El mensaje firmado es </w:t>
      </w:r>
      <w:r>
        <w:rPr>
          <w:rFonts w:ascii="Consolas" w:cs="Consolas" w:eastAsia="Consolas" w:hAnsi="Consolas"/>
          <w:sz w:val="18"/>
          <w:szCs w:val="18"/>
        </w:rPr>
        <w:t xml:space="preserve">Claim(user, activityId, amount, deadline)</w:t>
      </w:r>
      <w:r>
        <w:t xml:space="preserve"> dentro de un dominio con la red y la dirección del contrato: la firma no sirve para otro usuario, actividad, monto, contrato ni red.</w:t>
      </w:r>
    </w:p>
    <w:p>
      <w:pPr>
        <w:pStyle w:val="ListParagraph"/>
        <w:numPr>
          <w:ilvl w:val="0"/>
          <w:numId w:val="2"/>
        </w:numPr>
        <w:spacing w:after="50" w:line="259"/>
      </w:pPr>
      <w:r>
        <w:t xml:space="preserve">El owner puede rotar el firmante con </w:t>
      </w:r>
      <w:r>
        <w:rPr>
          <w:rFonts w:ascii="Consolas" w:cs="Consolas" w:eastAsia="Consolas" w:hAnsi="Consolas"/>
          <w:sz w:val="18"/>
          <w:szCs w:val="18"/>
        </w:rPr>
        <w:t xml:space="preserve">setClaimSigner</w:t>
      </w:r>
      <w:r>
        <w:t xml:space="preserve">. Emite los eventos </w:t>
      </w:r>
      <w:r>
        <w:rPr>
          <w:rFonts w:ascii="Consolas" w:cs="Consolas" w:eastAsia="Consolas" w:hAnsi="Consolas"/>
          <w:sz w:val="18"/>
          <w:szCs w:val="18"/>
        </w:rPr>
        <w:t xml:space="preserve">XPClaimed</w:t>
      </w:r>
      <w:r>
        <w:t xml:space="preserve"> y </w:t>
      </w:r>
      <w:r>
        <w:rPr>
          <w:rFonts w:ascii="Consolas" w:cs="Consolas" w:eastAsia="Consolas" w:hAnsi="Consolas"/>
          <w:sz w:val="18"/>
          <w:szCs w:val="18"/>
        </w:rPr>
        <w:t xml:space="preserve">ClaimSignerUpdated</w:t>
      </w:r>
      <w:r>
        <w:t xml:space="preserve">.</w:t>
      </w:r>
    </w:p>
    <w:p>
      <w:pPr>
        <w:keepNext/>
        <w:spacing w:after="100" w:before="60"/>
      </w:pPr>
      <w:r>
        <w:rPr>
          <w:b/>
          <w:bCs/>
        </w:rPr>
        <w:t xml:space="preserve">MintCredential</w:t>
      </w:r>
      <w:r>
        <w:t xml:space="preserve"> (ERC-721 no transferible, compatible con ERC-5192):</w:t>
      </w:r>
    </w:p>
    <w:p>
      <w:pPr>
        <w:pStyle w:val="ListParagraph"/>
        <w:numPr>
          <w:ilvl w:val="0"/>
          <w:numId w:val="2"/>
        </w:numPr>
        <w:spacing w:after="50" w:line="259"/>
      </w:pPr>
      <w:r>
        <w:rPr>
          <w:rFonts w:ascii="Consolas" w:cs="Consolas" w:eastAsia="Consolas" w:hAnsi="Consolas"/>
          <w:sz w:val="18"/>
          <w:szCs w:val="18"/>
        </w:rPr>
        <w:t xml:space="preserve">createPath(pathId, activityIds)</w:t>
      </w:r>
      <w:r>
        <w:t xml:space="preserve">: solo el owner, y un recorrido no se puede modificar una vez creado.</w:t>
      </w:r>
    </w:p>
    <w:p>
      <w:pPr>
        <w:pStyle w:val="ListParagraph"/>
        <w:numPr>
          <w:ilvl w:val="0"/>
          <w:numId w:val="2"/>
        </w:numPr>
        <w:spacing w:after="50" w:line="259"/>
      </w:pPr>
      <w:r>
        <w:rPr>
          <w:rFonts w:ascii="Consolas" w:cs="Consolas" w:eastAsia="Consolas" w:hAnsi="Consolas"/>
          <w:sz w:val="18"/>
          <w:szCs w:val="18"/>
        </w:rPr>
        <w:t xml:space="preserve">claimCredential(pathId)</w:t>
      </w:r>
      <w:r>
        <w:t xml:space="preserve"> verifica en </w:t>
      </w:r>
      <w:r>
        <w:rPr>
          <w:rFonts w:ascii="Consolas" w:cs="Consolas" w:eastAsia="Consolas" w:hAnsi="Consolas"/>
          <w:sz w:val="18"/>
          <w:szCs w:val="18"/>
        </w:rPr>
        <w:t xml:space="preserve">MintXP.claimed</w:t>
      </w:r>
      <w:r>
        <w:t xml:space="preserve"> cada actividad del recorrido, quema </w:t>
      </w:r>
      <w:r>
        <w:rPr>
          <w:rFonts w:ascii="Consolas" w:cs="Consolas" w:eastAsia="Consolas" w:hAnsi="Consolas"/>
          <w:sz w:val="18"/>
          <w:szCs w:val="18"/>
        </w:rPr>
        <w:t xml:space="preserve">burnCost</w:t>
      </w:r>
      <w:r>
        <w:t xml:space="preserve"> (20 MXP, inmutable) con </w:t>
      </w:r>
      <w:r>
        <w:rPr>
          <w:rFonts w:ascii="Consolas" w:cs="Consolas" w:eastAsia="Consolas" w:hAnsi="Consolas"/>
          <w:sz w:val="18"/>
          <w:szCs w:val="18"/>
        </w:rPr>
        <w:t xml:space="preserve">burnFrom</w:t>
      </w:r>
      <w:r>
        <w:t xml:space="preserve"> y emite la credencial, todo en una sola transacción. Requiere un </w:t>
      </w:r>
      <w:r>
        <w:rPr>
          <w:rFonts w:ascii="Consolas" w:cs="Consolas" w:eastAsia="Consolas" w:hAnsi="Consolas"/>
          <w:sz w:val="18"/>
          <w:szCs w:val="18"/>
        </w:rPr>
        <w:t xml:space="preserve">approve</w:t>
      </w:r>
      <w:r>
        <w:t xml:space="preserve"> previo del usuario.</w:t>
      </w:r>
    </w:p>
    <w:p>
      <w:pPr>
        <w:pStyle w:val="ListParagraph"/>
        <w:numPr>
          <w:ilvl w:val="0"/>
          <w:numId w:val="2"/>
        </w:numPr>
        <w:spacing w:after="50" w:line="259"/>
      </w:pPr>
      <w:r>
        <w:t xml:space="preserve">Bloquea toda transferencia después de la emisión (</w:t>
      </w:r>
      <w:r>
        <w:rPr>
          <w:rFonts w:ascii="Consolas" w:cs="Consolas" w:eastAsia="Consolas" w:hAnsi="Consolas"/>
          <w:sz w:val="18"/>
          <w:szCs w:val="18"/>
        </w:rPr>
        <w:t xml:space="preserve">locked()</w:t>
      </w:r>
      <w:r>
        <w:t xml:space="preserve"> y evento </w:t>
      </w:r>
      <w:r>
        <w:rPr>
          <w:rFonts w:ascii="Consolas" w:cs="Consolas" w:eastAsia="Consolas" w:hAnsi="Consolas"/>
          <w:sz w:val="18"/>
          <w:szCs w:val="18"/>
        </w:rPr>
        <w:t xml:space="preserve">Locked</w:t>
      </w:r>
      <w:r>
        <w:t xml:space="preserve">). No hay contratos actualizables ni función de revocación. Si el usuario pierde su wallet, la credencial no se puede migrar.</w:t>
      </w:r>
    </w:p>
    <w:p>
      <w:pPr>
        <w:pStyle w:val="Heading2"/>
      </w:pPr>
      <w:r>
        <w:t xml:space="preserve">3.2 Interacción de usuario</w:t>
      </w:r>
    </w:p>
    <w:p>
      <w:pPr>
        <w:keepNext/>
        <w:spacing w:after="100" w:line="264"/>
      </w:pPr>
      <w:r>
        <w:t xml:space="preserve">El flujo va de la wallet a la dApp, pasa por el backend para validar el aprendizaje y termina en los dos contratos. Los pasos 4 a 6 son transacciones que el usuario firma y paga con gas (ETH de prueba). El paso 4 se repite por cada actividad.</w:t>
      </w:r>
    </w:p>
    <w:p>
      <w:pPr>
        <w:keepNext/>
        <w:spacing w:after="40"/>
        <w:jc w:val="center"/>
      </w:pPr>
      <w:r>
        <w:drawing>
          <wp:inline distT="0" distB="0" distL="0" distR="0">
            <wp:extent cx="5715000" cy="3209925"/>
            <wp:effectExtent t="0" r="0" b="0" l="0"/>
            <wp:docPr id="1" name="flujo" descr="Diagrama de secuencia entre usuario, dApp, backend, MintXP y MintCredential" title="Flujo de M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100" w:line="264"/>
      </w:pPr>
      <w:r>
        <w:rPr>
          <w:b/>
          <w:bCs/>
        </w:rPr>
        <w:t xml:space="preserve">Modelo de confianza.</w:t>
      </w:r>
      <w:r>
        <w:t xml:space="preserve"> Un contrato no puede ver el contenido off-chain, así que alguien tiene que decirle que el usuario completó una actividad. En MintEd lo hace el backend, que corrige el quiz y firma el reclamo. Ese firmante es un punto de confianza centralizado. El diseño lo acota (tope por reclamo, firmas con vencimiento, un reclamo por actividad, rotación del firmante) y la sección 5 lo declara como limitación.</w:t>
      </w:r>
    </w:p>
    <w:p>
      <w:pPr>
        <w:pStyle w:val="Heading2"/>
      </w:pPr>
      <w:r>
        <w:t xml:space="preserve">3.3 Componentes externos</w:t>
      </w:r>
    </w:p>
    <w:p>
      <w:pPr>
        <w:pStyle w:val="ListParagraph"/>
        <w:numPr>
          <w:ilvl w:val="0"/>
          <w:numId w:val="2"/>
        </w:numPr>
        <w:spacing w:after="50" w:line="259"/>
      </w:pPr>
      <w:r>
        <w:rPr>
          <w:b/>
          <w:bCs/>
        </w:rPr>
        <w:t xml:space="preserve">Backend en Node.js:</w:t>
      </w:r>
      <w:r>
        <w:t xml:space="preserve"> sirve las lecciones, corrige los quizzes y firma los reclamos. Las respuestas correctas nunca salen del servidor. Cada quiz tiene 4 preguntas y se aprueba con 3. Admite 3 intentos con preguntas distintas en cada uno, no muestra el puntaje al fallar y bloquea la actividad 24 horas tras el tercer fallo, con la lección a la vista para repasar. En el MVP guarda el progreso en memoria.</w:t>
      </w:r>
    </w:p>
    <w:p>
      <w:pPr>
        <w:pStyle w:val="ListParagraph"/>
        <w:numPr>
          <w:ilvl w:val="0"/>
          <w:numId w:val="2"/>
        </w:numPr>
        <w:spacing w:after="50" w:line="259"/>
      </w:pPr>
      <w:r>
        <w:rPr>
          <w:b/>
          <w:bCs/>
        </w:rPr>
        <w:t xml:space="preserve">Oráculos:</w:t>
      </w:r>
      <w:r>
        <w:t xml:space="preserve"> no se usan. El backend es la fuente de autorización de los resultados off-chain.</w:t>
      </w:r>
    </w:p>
    <w:p>
      <w:pPr>
        <w:pStyle w:val="ListParagraph"/>
        <w:numPr>
          <w:ilvl w:val="0"/>
          <w:numId w:val="2"/>
        </w:numPr>
        <w:spacing w:after="50" w:line="259"/>
      </w:pPr>
      <w:r>
        <w:rPr>
          <w:b/>
          <w:bCs/>
        </w:rPr>
        <w:t xml:space="preserve">IPFS:</w:t>
      </w:r>
      <w:r>
        <w:t xml:space="preserve"> no se usa. La credencial lleva metadata mínima. Metadata ampliada en IPFS queda como extensión.</w:t>
      </w:r>
    </w:p>
    <w:p>
      <w:pPr>
        <w:pStyle w:val="ListParagraph"/>
        <w:numPr>
          <w:ilvl w:val="0"/>
          <w:numId w:val="2"/>
        </w:numPr>
        <w:spacing w:after="50" w:line="259"/>
      </w:pPr>
      <w:r>
        <w:rPr>
          <w:b/>
          <w:bCs/>
        </w:rPr>
        <w:t xml:space="preserve">Capas 2:</w:t>
      </w:r>
      <w:r>
        <w:t xml:space="preserve"> no se usan. Sepolia no tiene costo real. En producción, un rollup reduciría el gas de cada reclamo.</w:t>
      </w:r>
    </w:p>
    <w:p>
      <w:pPr>
        <w:pStyle w:val="ListParagraph"/>
        <w:numPr>
          <w:ilvl w:val="0"/>
          <w:numId w:val="2"/>
        </w:numPr>
        <w:spacing w:after="50" w:line="259"/>
      </w:pPr>
      <w:r>
        <w:rPr>
          <w:b/>
          <w:bCs/>
        </w:rPr>
        <w:t xml:space="preserve">Wallet y RPC:</w:t>
      </w:r>
      <w:r>
        <w:t xml:space="preserve"> una wallet compatible con EIP-1193 (MetaMask u otra) y un proveedor RPC de Sepolia. Los contratos no guardan nombres ni datos personales, pero los reclamos asociados a direcciones son públicos.</w:t>
      </w:r>
    </w:p>
    <w:p>
      <w:pPr>
        <w:pStyle w:val="Heading1"/>
      </w:pPr>
      <w:r>
        <w:t xml:space="preserve">4. Stack tecnológico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Capa</w:t>
            </w:r>
          </w:p>
        </w:tc>
        <w:tc>
          <w:tcPr>
            <w:tcW w:type="dxa" w:w="7338"/>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Herramientas</w:t>
            </w:r>
          </w:p>
        </w:tc>
      </w:tr>
      <w:tr>
        <w:trPr>
          <w:cantSplit/>
        </w:trPr>
        <w:tc>
          <w:tcPr>
            <w:tcW w:type="dxa" w:w="2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Contratos</w:t>
            </w:r>
          </w:p>
        </w:tc>
        <w:tc>
          <w:tcPr>
            <w:tcW w:type="dxa" w:w="7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Solidity 0.8.28, OpenZeppelin Contracts 5, Hardhat</w:t>
            </w:r>
          </w:p>
        </w:tc>
      </w:tr>
      <w:tr>
        <w:trPr>
          <w:cantSplit/>
        </w:trPr>
        <w:tc>
          <w:tcPr>
            <w:tcW w:type="dxa" w:w="2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Pruebas</w:t>
            </w:r>
          </w:p>
        </w:tc>
        <w:tc>
          <w:tcPr>
            <w:tcW w:type="dxa" w:w="7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Hardhat con Chai para los contratos, </w:t>
            </w:r>
            <w:r>
              <w:rPr>
                <w:rFonts w:ascii="Consolas" w:cs="Consolas" w:eastAsia="Consolas" w:hAnsi="Consolas"/>
                <w:b w:val="false"/>
                <w:bCs w:val="false"/>
                <w:sz w:val="16"/>
                <w:szCs w:val="16"/>
              </w:rPr>
              <w:t xml:space="preserve">node:test</w:t>
            </w:r>
            <w:r>
              <w:rPr>
                <w:b w:val="false"/>
                <w:bCs w:val="false"/>
                <w:sz w:val="18"/>
                <w:szCs w:val="18"/>
              </w:rPr>
              <w:t xml:space="preserve"> para el backend</w:t>
            </w:r>
          </w:p>
        </w:tc>
      </w:tr>
      <w:tr>
        <w:trPr>
          <w:cantSplit/>
        </w:trPr>
        <w:tc>
          <w:tcPr>
            <w:tcW w:type="dxa" w:w="2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Front</w:t>
            </w:r>
          </w:p>
        </w:tc>
        <w:tc>
          <w:tcPr>
            <w:tcW w:type="dxa" w:w="7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HTML y JavaScript con módulos ES, ethers.js v6, wallet compatible con EIP-1193</w:t>
            </w:r>
          </w:p>
        </w:tc>
      </w:tr>
      <w:tr>
        <w:trPr>
          <w:cantSplit/>
        </w:trPr>
        <w:tc>
          <w:tcPr>
            <w:tcW w:type="dxa" w:w="2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Backend</w:t>
            </w:r>
          </w:p>
        </w:tc>
        <w:tc>
          <w:tcPr>
            <w:tcW w:type="dxa" w:w="7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Node.js 20, ethers.js v6 (</w:t>
            </w:r>
            <w:r>
              <w:rPr>
                <w:rFonts w:ascii="Consolas" w:cs="Consolas" w:eastAsia="Consolas" w:hAnsi="Consolas"/>
                <w:b w:val="false"/>
                <w:bCs w:val="false"/>
                <w:sz w:val="16"/>
                <w:szCs w:val="16"/>
              </w:rPr>
              <w:t xml:space="preserve">signTypedData</w:t>
            </w:r>
            <w:r>
              <w:rPr>
                <w:b w:val="false"/>
                <w:bCs w:val="false"/>
                <w:sz w:val="18"/>
                <w:szCs w:val="18"/>
              </w:rPr>
              <w:t xml:space="preserve">)</w:t>
            </w:r>
          </w:p>
        </w:tc>
      </w:tr>
      <w:tr>
        <w:trPr>
          <w:cantSplit/>
        </w:trPr>
        <w:tc>
          <w:tcPr>
            <w:tcW w:type="dxa" w:w="2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Red y verificación</w:t>
            </w:r>
          </w:p>
        </w:tc>
        <w:tc>
          <w:tcPr>
            <w:tcW w:type="dxa" w:w="7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Sepolia, proveedor RPC y Etherscan</w:t>
            </w:r>
          </w:p>
        </w:tc>
      </w:tr>
      <w:tr>
        <w:trPr>
          <w:cantSplit/>
        </w:trPr>
        <w:tc>
          <w:tcPr>
            <w:tcW w:type="dxa" w:w="2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Código y documentación</w:t>
            </w:r>
          </w:p>
        </w:tc>
        <w:tc>
          <w:tcPr>
            <w:tcW w:type="dxa" w:w="7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Repositorio en GitHub con README</w:t>
            </w:r>
          </w:p>
        </w:tc>
      </w:tr>
    </w:tbl>
    <w:p>
      <w:pPr>
        <w:pStyle w:val="Heading1"/>
      </w:pPr>
      <w:r>
        <w:t xml:space="preserve">5. Riesgos y limitaciones</w:t>
      </w:r>
    </w:p>
    <w:p>
      <w:pPr>
        <w:keepNext/>
        <w:spacing w:after="100" w:line="264"/>
      </w:pPr>
      <w:r>
        <w:t xml:space="preserve">Cada fila indica qué mitiga el diseño y qué queda sin resolver. Los puntos abiertos son decisiones de alcance.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cantSplit/>
          <w:tblHeader/>
        </w:trPr>
        <w:tc>
          <w:tcPr>
            <w:tcW w:type="dxa" w:w="24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Riesgo</w:t>
            </w:r>
          </w:p>
        </w:tc>
        <w:tc>
          <w:tcPr>
            <w:tcW w:type="dxa" w:w="35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Mitigación en el MVP</w:t>
            </w:r>
          </w:p>
        </w:tc>
        <w:tc>
          <w:tcPr>
            <w:tcW w:type="dxa" w:w="3738"/>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Qué queda abierto</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Firmante comprometido o deshonesto</w:t>
            </w:r>
          </w:p>
          <w:p>
            <w:pPr>
              <w:spacing w:after="20" w:line="240"/>
            </w:pPr>
            <w:r>
              <w:rPr>
                <w:b w:val="false"/>
                <w:bCs w:val="false"/>
                <w:sz w:val="18"/>
                <w:szCs w:val="18"/>
              </w:rPr>
              <w:t xml:space="preserve">Con la clave del backend se pueden emitir MXP sin que nadie haya aprendido.</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MAX_CLAIM</w:t>
            </w:r>
            <w:r>
              <w:rPr>
                <w:b w:val="false"/>
                <w:bCs w:val="false"/>
                <w:sz w:val="18"/>
                <w:szCs w:val="18"/>
              </w:rPr>
              <w:t xml:space="preserve"> por reclamo, un reclamo por (usuario, actividad), firmas con vencimiento y rotación con </w:t>
            </w:r>
            <w:r>
              <w:rPr>
                <w:rFonts w:ascii="Consolas" w:cs="Consolas" w:eastAsia="Consolas" w:hAnsi="Consolas"/>
                <w:b w:val="false"/>
                <w:bCs w:val="false"/>
                <w:sz w:val="16"/>
                <w:szCs w:val="16"/>
              </w:rPr>
              <w:t xml:space="preserve">setClaimSigner</w:t>
            </w:r>
            <w:r>
              <w:rPr>
                <w:b w:val="false"/>
                <w:bCs w:val="false"/>
                <w:sz w:val="18"/>
                <w:szCs w:val="18"/>
              </w:rPr>
              <w:t xml:space="preserve">. El backend solo firma las actividades configuradas.</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El tope es por reclamo, no por total emitido, y el contrato no restringe qué actividades acepta. Sigue siendo un único punto de confianza. En producción: clave en servicio gestionado, multisig como owner y varios firmantes.</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Doble reclamo y replay</w:t>
            </w:r>
          </w:p>
          <w:p>
            <w:pPr>
              <w:spacing w:after="20" w:line="240"/>
            </w:pPr>
            <w:r>
              <w:rPr>
                <w:b w:val="false"/>
                <w:bCs w:val="false"/>
                <w:sz w:val="18"/>
                <w:szCs w:val="18"/>
              </w:rPr>
              <w:t xml:space="preserve">Reutilizar una firma para cobrar dos veces.</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Mapping </w:t>
            </w:r>
            <w:r>
              <w:rPr>
                <w:rFonts w:ascii="Consolas" w:cs="Consolas" w:eastAsia="Consolas" w:hAnsi="Consolas"/>
                <w:b w:val="false"/>
                <w:bCs w:val="false"/>
                <w:sz w:val="16"/>
                <w:szCs w:val="16"/>
              </w:rPr>
              <w:t xml:space="preserve">claimed</w:t>
            </w:r>
            <w:r>
              <w:rPr>
                <w:b w:val="false"/>
                <w:bCs w:val="false"/>
                <w:sz w:val="18"/>
                <w:szCs w:val="18"/>
              </w:rPr>
              <w:t xml:space="preserve">. La firma queda atada a usuario, actividad, monto, vencimiento, red y contrato.</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Resuelto en el contrato. Evidencia en el Anexo (filas 9 a 11).</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Multi-wallet (sybil)</w:t>
            </w:r>
          </w:p>
          <w:p>
            <w:pPr>
              <w:spacing w:after="20" w:line="240"/>
            </w:pPr>
            <w:r>
              <w:rPr>
                <w:b w:val="false"/>
                <w:bCs w:val="false"/>
                <w:sz w:val="18"/>
                <w:szCs w:val="18"/>
              </w:rPr>
              <w:t xml:space="preserve">Una persona crea varias wallets.</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Límite de intentos por wallet.</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No hay prueba de personalidad. En testnet el MXP no vale nada. Con valor real haría falta Proof of Personhood.</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Automatización</w:t>
            </w:r>
          </w:p>
          <w:p>
            <w:pPr>
              <w:spacing w:after="20" w:line="240"/>
            </w:pPr>
            <w:r>
              <w:rPr>
                <w:b w:val="false"/>
                <w:bCs w:val="false"/>
                <w:sz w:val="18"/>
                <w:szCs w:val="18"/>
              </w:rPr>
              <w:t xml:space="preserve">Un bot resuelve el quiz por ensayo y error.</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3 intentos con preguntas distintas, sin puntaje al fallar y bloqueo de 24 h por actividad. Las respuestas correctas solo existen en el servidor.</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El banco es finito y con wallets nuevas un bot lo resuelve. Mejoras: banco más grande, desafíos verificables on-chain, captcha.</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Comprar conocimiento</w:t>
            </w:r>
          </w:p>
          <w:p>
            <w:pPr>
              <w:spacing w:after="20" w:line="240"/>
            </w:pPr>
            <w:r>
              <w:rPr>
                <w:b w:val="false"/>
                <w:bCs w:val="false"/>
                <w:sz w:val="18"/>
                <w:szCs w:val="18"/>
              </w:rPr>
              <w:t xml:space="preserve">Comprar MXP para obtener la credencial.</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La credencial exige los reclamos de las actividades con la misma wallet y no se transfiere.</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Se pueden comprar MXP para cubrir la quema, pero no saltear las actividades. Respuestas compartidas o ceder el control de una cuenta no se evitan.</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Inflación y falta de demanda</w:t>
            </w:r>
          </w:p>
          <w:p>
            <w:pPr>
              <w:spacing w:after="20" w:line="240"/>
            </w:pPr>
            <w:r>
              <w:rPr>
                <w:b w:val="false"/>
                <w:bCs w:val="false"/>
                <w:sz w:val="18"/>
                <w:szCs w:val="18"/>
              </w:rPr>
              <w:t xml:space="preserve">Se emite más de lo que se consume.</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Cada recorrido completo emite 30 MXP y quema 20.</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Los MXP sobrantes quedan en circulación, no hay un máximo global de oferta y el token no tiene otros usos.</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Especulación futura</w:t>
            </w:r>
          </w:p>
          <w:p>
            <w:pPr>
              <w:spacing w:after="20" w:line="240"/>
            </w:pPr>
            <w:r>
              <w:rPr>
                <w:b w:val="false"/>
                <w:bCs w:val="false"/>
                <w:sz w:val="18"/>
                <w:szCs w:val="18"/>
              </w:rPr>
              <w:t xml:space="preserve">Si MXP cotizara, aparecen incentivos para explotar el sistema.</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Solo testnet. La credencial no transferible separa el valor educativo del económico.</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Pasar a mainnet exigiría rediseñar la economía y los controles.</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Vulnerabilidades de los contratos</w:t>
            </w:r>
          </w:p>
          <w:p>
            <w:pPr>
              <w:spacing w:after="20" w:line="240"/>
            </w:pPr>
            <w:r>
              <w:rPr>
                <w:b w:val="false"/>
                <w:bCs w:val="false"/>
                <w:sz w:val="18"/>
                <w:szCs w:val="18"/>
              </w:rPr>
              <w:t xml:space="preserve">Reentrancia, permisos o errores de lógica.</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OpenZeppelin, escritura de estado antes de emitir, </w:t>
            </w:r>
            <w:r>
              <w:rPr>
                <w:rFonts w:ascii="Consolas" w:cs="Consolas" w:eastAsia="Consolas" w:hAnsi="Consolas"/>
                <w:b w:val="false"/>
                <w:bCs w:val="false"/>
                <w:sz w:val="16"/>
                <w:szCs w:val="16"/>
              </w:rPr>
              <w:t xml:space="preserve">_mint</w:t>
            </w:r>
            <w:r>
              <w:rPr>
                <w:b w:val="false"/>
                <w:bCs w:val="false"/>
                <w:sz w:val="18"/>
                <w:szCs w:val="18"/>
              </w:rPr>
              <w:t xml:space="preserve"> en vez de </w:t>
            </w:r>
            <w:r>
              <w:rPr>
                <w:rFonts w:ascii="Consolas" w:cs="Consolas" w:eastAsia="Consolas" w:hAnsi="Consolas"/>
                <w:b w:val="false"/>
                <w:bCs w:val="false"/>
                <w:sz w:val="16"/>
                <w:szCs w:val="16"/>
              </w:rPr>
              <w:t xml:space="preserve">_safeMint</w:t>
            </w:r>
            <w:r>
              <w:rPr>
                <w:b w:val="false"/>
                <w:bCs w:val="false"/>
                <w:sz w:val="18"/>
                <w:szCs w:val="18"/>
              </w:rPr>
              <w:t xml:space="preserve"> para no ejecutar código del receptor, errores personalizados y tests automatizados.</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Usar OpenZeppelin no equivale a una auditoría. No hay auditoría externa.</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Autenticación del backend</w:t>
            </w:r>
          </w:p>
          <w:p>
            <w:pPr>
              <w:spacing w:after="20" w:line="240"/>
            </w:pPr>
            <w:r>
              <w:rPr>
                <w:b w:val="false"/>
                <w:bCs w:val="false"/>
                <w:sz w:val="18"/>
                <w:szCs w:val="18"/>
              </w:rPr>
              <w:t xml:space="preserve">No comprueba que quien consulta controle la dirección. Podría agotar los intentos de otra wallet.</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Las firmas solo sirven al usuario nombrado (el contrato usa </w:t>
            </w:r>
            <w:r>
              <w:rPr>
                <w:rFonts w:ascii="Consolas" w:cs="Consolas" w:eastAsia="Consolas" w:hAnsi="Consolas"/>
                <w:b w:val="false"/>
                <w:bCs w:val="false"/>
                <w:sz w:val="16"/>
                <w:szCs w:val="16"/>
              </w:rPr>
              <w:t xml:space="preserve">msg.sender</w:t>
            </w:r>
            <w:r>
              <w:rPr>
                <w:b w:val="false"/>
                <w:bCs w:val="false"/>
                <w:sz w:val="18"/>
                <w:szCs w:val="18"/>
              </w:rPr>
              <w:t xml:space="preserve">), así que no se pueden robar.</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Falta autenticar con firma de mensaje (Sign-In with Ethereum) y persistir el progreso en una base de datos.</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Costo de gas</w:t>
            </w:r>
          </w:p>
          <w:p>
            <w:pPr>
              <w:spacing w:after="20" w:line="240"/>
            </w:pPr>
            <w:r>
              <w:rPr>
                <w:b w:val="false"/>
                <w:bCs w:val="false"/>
                <w:sz w:val="18"/>
                <w:szCs w:val="18"/>
              </w:rPr>
              <w:t xml:space="preserve">Cada reclamo cuesta gas. En mainnet puede superar la recompensa.</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En Sepolia no tiene costo real.</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Llevar el sistema a un rollup antes de producción.</w:t>
            </w:r>
          </w:p>
        </w:tc>
      </w:tr>
      <w:tr>
        <w:trPr>
          <w:cantSplit/>
        </w:trPr>
        <w:tc>
          <w:tcPr>
            <w:tcW w:type="dxa" w:w="24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Privacidad del progreso</w:t>
            </w:r>
          </w:p>
          <w:p>
            <w:pPr>
              <w:spacing w:after="20" w:line="240"/>
            </w:pPr>
            <w:r>
              <w:rPr>
                <w:rFonts w:ascii="Consolas" w:cs="Consolas" w:eastAsia="Consolas" w:hAnsi="Consolas"/>
                <w:b w:val="false"/>
                <w:bCs w:val="false"/>
                <w:sz w:val="16"/>
                <w:szCs w:val="16"/>
              </w:rPr>
              <w:t xml:space="preserve">claimed</w:t>
            </w:r>
            <w:r>
              <w:rPr>
                <w:b w:val="false"/>
                <w:bCs w:val="false"/>
                <w:sz w:val="18"/>
                <w:szCs w:val="18"/>
              </w:rPr>
              <w:t xml:space="preserve"> es público y queda ligado a la dirección.</w:t>
            </w:r>
          </w:p>
        </w:tc>
        <w:tc>
          <w:tcPr>
            <w:tcW w:type="dxa" w:w="3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Decisión de diseño: permite verificar sin intermediarios.</w:t>
            </w:r>
          </w:p>
        </w:tc>
        <w:tc>
          <w:tcPr>
            <w:tcW w:type="dxa" w:w="3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Puede exponer hábitos de aprendizaje. Evaluar divulgación selectiva.</w:t>
            </w:r>
          </w:p>
        </w:tc>
      </w:tr>
    </w:tbl>
    <w:p>
      <w:pPr>
        <w:pStyle w:val="Heading1"/>
      </w:pPr>
      <w:r>
        <w:t xml:space="preserve">6. Alcance, validación y evolución</w:t>
      </w:r>
    </w:p>
    <w:p>
      <w:pPr>
        <w:spacing w:after="100" w:line="264"/>
      </w:pPr>
      <w:r>
        <w:rPr>
          <w:b/>
          <w:bCs/>
        </w:rPr>
        <w:t xml:space="preserve">Alcance del MVP.</w:t>
      </w:r>
      <w:r>
        <w:t xml:space="preserve"> Un recorrido de tres actividades, conexión de wallet, evaluación off-chain, reclamo de MXP, aprobación de gasto, quema y emisión de la credencial, con despliegue verificado en Sepolia. Se necesita ETH de prueba para pagar el gas.</w:t>
      </w:r>
    </w:p>
    <w:p>
      <w:pPr>
        <w:spacing w:after="100" w:line="264"/>
      </w:pPr>
      <w:r>
        <w:rPr>
          <w:b/>
          <w:bCs/>
        </w:rPr>
        <w:t xml:space="preserve">Validación.</w:t>
      </w:r>
      <w:r>
        <w:t xml:space="preserve"> Una vez desplegado el MVP, se propone una prueba con participantes reales: evaluación de conocimientos y tareas antes y después del recorrido, registro de errores y ayuda requerida, y comprensión de los permisos. Los resultados se agregan al Anexo (fila 19). Hasta entonces no se afirma ningún efecto sobre el aprendizaje.</w:t>
      </w:r>
    </w:p>
    <w:p>
      <w:pPr>
        <w:spacing w:after="100" w:line="264"/>
      </w:pPr>
      <w:r>
        <w:rPr>
          <w:b/>
          <w:bCs/>
        </w:rPr>
        <w:t xml:space="preserve">Evolución.</w:t>
      </w:r>
      <w:r>
        <w:t xml:space="preserve"> Más usos para MXP, intercambio por otros activos, Proof of Personhood, autenticación con Sign-In with Ethereum y progreso persistente, varios recorridos y credenciales por nivel, metadata en IPFS, migración a una L2 y multisig para el firmante. Una economía con valor real exigiría un diseño adicional de incentivos y controles.</w:t>
      </w:r>
    </w:p>
    <w:p>
      <w:pPr>
        <w:pStyle w:val="Heading2"/>
      </w:pPr>
      <w:r>
        <w:t xml:space="preserve">Referencias técnicas</w:t>
      </w:r>
    </w:p>
    <w:p>
      <w:pPr>
        <w:spacing w:after="100" w:line="264"/>
      </w:pPr>
      <w:hyperlink w:history="1" r:id="rIdxxqzjbt6mkfjh4o2kzdy6">
        <w:r>
          <w:rPr>
            <w:color w:val="0563C1"/>
            <w:sz w:val="18"/>
            <w:szCs w:val="18"/>
            <w:u w:val="single"/>
          </w:rPr>
          <w:t xml:space="preserve">ERC-20</w:t>
        </w:r>
      </w:hyperlink>
      <w:r>
        <w:rPr>
          <w:sz w:val="18"/>
          <w:szCs w:val="18"/>
        </w:rPr>
        <w:t xml:space="preserve"> · </w:t>
      </w:r>
      <w:hyperlink w:history="1" r:id="rIdi6bcas44px8axsve9ffte">
        <w:r>
          <w:rPr>
            <w:color w:val="0563C1"/>
            <w:sz w:val="18"/>
            <w:szCs w:val="18"/>
            <w:u w:val="single"/>
          </w:rPr>
          <w:t xml:space="preserve">ERC-721</w:t>
        </w:r>
      </w:hyperlink>
      <w:r>
        <w:rPr>
          <w:sz w:val="18"/>
          <w:szCs w:val="18"/>
        </w:rPr>
        <w:t xml:space="preserve"> · </w:t>
      </w:r>
      <w:hyperlink w:history="1" r:id="rIdc0v1nbuyjjwinlx5ynzm_">
        <w:r>
          <w:rPr>
            <w:color w:val="0563C1"/>
            <w:sz w:val="18"/>
            <w:szCs w:val="18"/>
            <w:u w:val="single"/>
          </w:rPr>
          <w:t xml:space="preserve">ERC-5192</w:t>
        </w:r>
      </w:hyperlink>
      <w:r>
        <w:rPr>
          <w:sz w:val="18"/>
          <w:szCs w:val="18"/>
        </w:rPr>
        <w:t xml:space="preserve"> · </w:t>
      </w:r>
      <w:hyperlink w:history="1" r:id="rIdu2c6hti_w5fiyy2q05fqx">
        <w:r>
          <w:rPr>
            <w:color w:val="0563C1"/>
            <w:sz w:val="18"/>
            <w:szCs w:val="18"/>
            <w:u w:val="single"/>
          </w:rPr>
          <w:t xml:space="preserve">EIP-712</w:t>
        </w:r>
      </w:hyperlink>
      <w:r>
        <w:rPr>
          <w:sz w:val="18"/>
          <w:szCs w:val="18"/>
        </w:rPr>
        <w:t xml:space="preserve"> · </w:t>
      </w:r>
      <w:hyperlink w:history="1" r:id="rIdrlwpgfpnngwmd5q_hoiep">
        <w:r>
          <w:rPr>
            <w:color w:val="0563C1"/>
            <w:sz w:val="18"/>
            <w:szCs w:val="18"/>
            <w:u w:val="single"/>
          </w:rPr>
          <w:t xml:space="preserve">OpenZeppelin Contracts 5.x</w:t>
        </w:r>
      </w:hyperlink>
      <w:r>
        <w:rPr>
          <w:sz w:val="18"/>
          <w:szCs w:val="18"/>
        </w:rPr>
        <w:t xml:space="preserve"> · </w:t>
      </w:r>
      <w:hyperlink w:history="1" r:id="rIdmclowmgj2ej7ptc1-cbqy">
        <w:r>
          <w:rPr>
            <w:color w:val="0563C1"/>
            <w:sz w:val="18"/>
            <w:szCs w:val="18"/>
            <w:u w:val="single"/>
          </w:rPr>
          <w:t xml:space="preserve">Hardhat</w:t>
        </w:r>
      </w:hyperlink>
      <w:r>
        <w:rPr>
          <w:sz w:val="18"/>
          <w:szCs w:val="18"/>
        </w:rPr>
        <w:t xml:space="preserve"> · </w:t>
      </w:r>
      <w:hyperlink w:history="1" r:id="rIdig818uytu2hrsv6ddsdu9">
        <w:r>
          <w:rPr>
            <w:color w:val="0563C1"/>
            <w:sz w:val="18"/>
            <w:szCs w:val="18"/>
            <w:u w:val="single"/>
          </w:rPr>
          <w:t xml:space="preserve">ethers.js v6</w:t>
        </w:r>
      </w:hyperlink>
    </w:p>
    <w:p>
      <w:pPr>
        <w:pStyle w:val="Heading1"/>
        <w:pageBreakBefore/>
      </w:pPr>
      <w:r>
        <w:t xml:space="preserve">Anexo. Registro de evidencia</w:t>
      </w:r>
    </w:p>
    <w:p>
      <w:pPr>
        <w:spacing w:after="100" w:line="264"/>
      </w:pPr>
      <w:r>
        <w:t xml:space="preserve">Cada afirmación de funcionamiento de este documento se respalda con un enlace. Mientras una fila figure como Pendiente, la capacidad es diseño y no resultado. </w:t>
      </w:r>
      <w:r>
        <w:rPr>
          <w:b/>
          <w:bCs/>
        </w:rPr>
        <w:t xml:space="preserve">Para completar una fila:</w:t>
      </w:r>
      <w:r>
        <w:t xml:space="preserve"> reemplazar el estado por Verificado (y quitar el resaltado), seleccionar el texto del enlace, presionar Ctrl+K (Cmd+K en Mac) y pegar la URL de Etherscan, del repositorio o del video.</w:t>
      </w:r>
    </w:p>
    <w:p>
      <w:pPr>
        <w:pStyle w:val="Heading2"/>
      </w:pPr>
      <w:r>
        <w:t xml:space="preserve">Direcciones en Sepolia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Elemento</w:t>
            </w:r>
          </w:p>
        </w:tc>
        <w:tc>
          <w:tcPr>
            <w:tcW w:type="dxa" w:w="6738"/>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Dirección y enlace a Etherscan</w:t>
            </w:r>
          </w:p>
        </w:tc>
      </w:tr>
      <w:tr>
        <w:trPr>
          <w:cantSplit/>
        </w:trPr>
        <w:tc>
          <w:tcPr>
            <w:tcW w:type="dxa" w:w="2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Contrato </w:t>
            </w:r>
            <w:r>
              <w:rPr>
                <w:rFonts w:ascii="Consolas" w:cs="Consolas" w:eastAsia="Consolas" w:hAnsi="Consolas"/>
                <w:b/>
                <w:bCs/>
                <w:sz w:val="16"/>
                <w:szCs w:val="16"/>
              </w:rPr>
              <w:t xml:space="preserve">MintXP</w:t>
            </w:r>
          </w:p>
        </w:tc>
        <w:tc>
          <w:tcPr>
            <w:tcW w:type="dxa" w:w="6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dirección y enlace]</w:t>
            </w:r>
          </w:p>
        </w:tc>
      </w:tr>
      <w:tr>
        <w:trPr>
          <w:cantSplit/>
        </w:trPr>
        <w:tc>
          <w:tcPr>
            <w:tcW w:type="dxa" w:w="2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Contrato </w:t>
            </w:r>
            <w:r>
              <w:rPr>
                <w:rFonts w:ascii="Consolas" w:cs="Consolas" w:eastAsia="Consolas" w:hAnsi="Consolas"/>
                <w:b/>
                <w:bCs/>
                <w:sz w:val="16"/>
                <w:szCs w:val="16"/>
              </w:rPr>
              <w:t xml:space="preserve">MintCredential</w:t>
            </w:r>
          </w:p>
        </w:tc>
        <w:tc>
          <w:tcPr>
            <w:tcW w:type="dxa" w:w="6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dirección y enlace]</w:t>
            </w:r>
          </w:p>
        </w:tc>
      </w:tr>
      <w:tr>
        <w:trPr>
          <w:cantSplit/>
        </w:trPr>
        <w:tc>
          <w:tcPr>
            <w:tcW w:type="dxa" w:w="29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bCs/>
                <w:sz w:val="18"/>
                <w:szCs w:val="18"/>
              </w:rPr>
              <w:t xml:space="preserve">Firmante de reclamos (</w:t>
            </w:r>
            <w:r>
              <w:rPr>
                <w:rFonts w:ascii="Consolas" w:cs="Consolas" w:eastAsia="Consolas" w:hAnsi="Consolas"/>
                <w:b/>
                <w:bCs/>
                <w:sz w:val="16"/>
                <w:szCs w:val="16"/>
              </w:rPr>
              <w:t xml:space="preserve">claimSigner</w:t>
            </w:r>
            <w:r>
              <w:rPr>
                <w:b/>
                <w:bCs/>
                <w:sz w:val="18"/>
                <w:szCs w:val="18"/>
              </w:rPr>
              <w:t xml:space="preserve">)</w:t>
            </w:r>
          </w:p>
        </w:tc>
        <w:tc>
          <w:tcPr>
            <w:tcW w:type="dxa" w:w="67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dirección pública; nunca la clave privada]</w:t>
            </w:r>
          </w:p>
        </w:tc>
      </w:tr>
    </w:tbl>
    <w:p>
      <w:pPr>
        <w:spacing w:after="60"/>
      </w:pPr>
    </w:p>
    <w:p>
      <w:pPr>
        <w:pStyle w:val="Heading2"/>
      </w:pPr>
      <w:r>
        <w:t xml:space="preserve">Evidencia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338"/>
        <w:gridCol w:w="1300"/>
        <w:gridCol w:w="2500"/>
      </w:tblGrid>
      <w:tr>
        <w:trPr>
          <w:cantSplit/>
          <w:tblHeader/>
        </w:trPr>
        <w:tc>
          <w:tcPr>
            <w:tcW w:type="dxa" w:w="5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Nº</w:t>
            </w:r>
          </w:p>
        </w:tc>
        <w:tc>
          <w:tcPr>
            <w:tcW w:type="dxa" w:w="5338"/>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Qué se demuestra</w:t>
            </w:r>
          </w:p>
        </w:tc>
        <w:tc>
          <w:tcPr>
            <w:tcW w:type="dxa" w:w="13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Estado</w:t>
            </w:r>
          </w:p>
        </w:tc>
        <w:tc>
          <w:tcPr>
            <w:tcW w:type="dxa" w:w="2500"/>
            <w:tcBorders>
              <w:top w:val="single" w:color="BFCBC5" w:sz="4"/>
              <w:left w:val="single" w:color="BFCBC5" w:sz="4"/>
              <w:bottom w:val="single" w:color="BFCBC5" w:sz="4"/>
              <w:right w:val="single" w:color="BFCBC5" w:sz="4"/>
            </w:tcBorders>
            <w:shd w:fill="E3EFE9" w:color="auto" w:val="clear"/>
            <w:tcMar>
              <w:top w:type="dxa" w:w="50"/>
              <w:left w:type="dxa" w:w="90"/>
              <w:bottom w:type="dxa" w:w="50"/>
              <w:right w:type="dxa" w:w="90"/>
            </w:tcMar>
          </w:tcPr>
          <w:p>
            <w:pPr>
              <w:spacing w:after="20" w:line="240"/>
            </w:pPr>
            <w:r>
              <w:rPr>
                <w:b/>
                <w:bCs/>
                <w:color w:val="0A6B4E"/>
                <w:sz w:val="18"/>
                <w:szCs w:val="18"/>
              </w:rPr>
              <w:t xml:space="preserve">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MintXP</w:t>
            </w:r>
            <w:r>
              <w:rPr>
                <w:b w:val="false"/>
                <w:bCs w:val="false"/>
                <w:sz w:val="18"/>
                <w:szCs w:val="18"/>
              </w:rPr>
              <w:t xml:space="preserve"> desplegado y verificado en Sepolia</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2</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MintCredential</w:t>
            </w:r>
            <w:r>
              <w:rPr>
                <w:b w:val="false"/>
                <w:bCs w:val="false"/>
                <w:sz w:val="18"/>
                <w:szCs w:val="18"/>
              </w:rPr>
              <w:t xml:space="preserve"> desplegado y verificado en Sepolia</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3</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Recorrido 1 creado con las actividades 1, 2 y 3 (</w:t>
            </w:r>
            <w:r>
              <w:rPr>
                <w:rFonts w:ascii="Consolas" w:cs="Consolas" w:eastAsia="Consolas" w:hAnsi="Consolas"/>
                <w:b w:val="false"/>
                <w:bCs w:val="false"/>
                <w:sz w:val="16"/>
                <w:szCs w:val="16"/>
              </w:rPr>
              <w:t xml:space="preserve">createPath</w:t>
            </w:r>
            <w:r>
              <w:rPr>
                <w:b w:val="false"/>
                <w:bCs w:val="false"/>
                <w:sz w:val="18"/>
                <w:szCs w:val="18"/>
              </w:rPr>
              <w:t xml:space="preserve">)</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4</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Reclamo de 10 MXP por una actividad (evento </w:t>
            </w:r>
            <w:r>
              <w:rPr>
                <w:rFonts w:ascii="Consolas" w:cs="Consolas" w:eastAsia="Consolas" w:hAnsi="Consolas"/>
                <w:b w:val="false"/>
                <w:bCs w:val="false"/>
                <w:sz w:val="16"/>
                <w:szCs w:val="16"/>
              </w:rPr>
              <w:t xml:space="preserve">XPClaimed</w:t>
            </w:r>
            <w:r>
              <w:rPr>
                <w:b w:val="false"/>
                <w:bCs w:val="false"/>
                <w:sz w:val="18"/>
                <w:szCs w:val="18"/>
              </w:rPr>
              <w:t xml:space="preserve">)</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5</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Reclamo de las 3 actividades (saldo de 30 MXP)</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6</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Aprobación (</w:t>
            </w:r>
            <w:r>
              <w:rPr>
                <w:rFonts w:ascii="Consolas" w:cs="Consolas" w:eastAsia="Consolas" w:hAnsi="Consolas"/>
                <w:b w:val="false"/>
                <w:bCs w:val="false"/>
                <w:sz w:val="16"/>
                <w:szCs w:val="16"/>
              </w:rPr>
              <w:t xml:space="preserve">approve</w:t>
            </w:r>
            <w:r>
              <w:rPr>
                <w:b w:val="false"/>
                <w:bCs w:val="false"/>
                <w:sz w:val="18"/>
                <w:szCs w:val="18"/>
              </w:rPr>
              <w:t xml:space="preserve">) de 20 MXP a </w:t>
            </w:r>
            <w:r>
              <w:rPr>
                <w:rFonts w:ascii="Consolas" w:cs="Consolas" w:eastAsia="Consolas" w:hAnsi="Consolas"/>
                <w:b w:val="false"/>
                <w:bCs w:val="false"/>
                <w:sz w:val="16"/>
                <w:szCs w:val="16"/>
              </w:rPr>
              <w:t xml:space="preserve">MintCredential</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7</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Emisión de la credencial con quema de 20 MXP (</w:t>
            </w:r>
            <w:r>
              <w:rPr>
                <w:rFonts w:ascii="Consolas" w:cs="Consolas" w:eastAsia="Consolas" w:hAnsi="Consolas"/>
                <w:b w:val="false"/>
                <w:bCs w:val="false"/>
                <w:sz w:val="16"/>
                <w:szCs w:val="16"/>
              </w:rPr>
              <w:t xml:space="preserve">claimCredential</w:t>
            </w:r>
            <w:r>
              <w:rPr>
                <w:b w:val="false"/>
                <w:bCs w:val="false"/>
                <w:sz w:val="18"/>
                <w:szCs w:val="18"/>
              </w:rPr>
              <w:t xml:space="preserve">)</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8</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Transferencia de MXP a otra wallet</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9</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Doble reclamo de una actividad: revierte con </w:t>
            </w:r>
            <w:r>
              <w:rPr>
                <w:rFonts w:ascii="Consolas" w:cs="Consolas" w:eastAsia="Consolas" w:hAnsi="Consolas"/>
                <w:b w:val="false"/>
                <w:bCs w:val="false"/>
                <w:sz w:val="16"/>
                <w:szCs w:val="16"/>
              </w:rPr>
              <w:t xml:space="preserve">AlreadyClaimed</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10</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Firma emitida para otro usuario: revierte con </w:t>
            </w:r>
            <w:r>
              <w:rPr>
                <w:rFonts w:ascii="Consolas" w:cs="Consolas" w:eastAsia="Consolas" w:hAnsi="Consolas"/>
                <w:b w:val="false"/>
                <w:bCs w:val="false"/>
                <w:sz w:val="16"/>
                <w:szCs w:val="16"/>
              </w:rPr>
              <w:t xml:space="preserve">BadSignature</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11</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Firma vencida: revierte con </w:t>
            </w:r>
            <w:r>
              <w:rPr>
                <w:rFonts w:ascii="Consolas" w:cs="Consolas" w:eastAsia="Consolas" w:hAnsi="Consolas"/>
                <w:b w:val="false"/>
                <w:bCs w:val="false"/>
                <w:sz w:val="16"/>
                <w:szCs w:val="16"/>
              </w:rPr>
              <w:t xml:space="preserve">ClaimExpired</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12</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Credencial sin las 3 actividades: revierte con </w:t>
            </w:r>
            <w:r>
              <w:rPr>
                <w:rFonts w:ascii="Consolas" w:cs="Consolas" w:eastAsia="Consolas" w:hAnsi="Consolas"/>
                <w:b w:val="false"/>
                <w:bCs w:val="false"/>
                <w:sz w:val="16"/>
                <w:szCs w:val="16"/>
              </w:rPr>
              <w:t xml:space="preserve">PathIncomplete</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13</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Transferencia de la credencial: revierte con </w:t>
            </w:r>
            <w:r>
              <w:rPr>
                <w:rFonts w:ascii="Consolas" w:cs="Consolas" w:eastAsia="Consolas" w:hAnsi="Consolas"/>
                <w:b w:val="false"/>
                <w:bCs w:val="false"/>
                <w:sz w:val="16"/>
                <w:szCs w:val="16"/>
              </w:rPr>
              <w:t xml:space="preserve">Soulbound</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14</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Tres intentos con preguntas distintas y bloqueo de 24 h tras el tercer fallo (respuesta 429)</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15</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Resultado de los tests de los contratos</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16</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Resultado de los tests del backend</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17</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Repositorio y README</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18</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Video de la demo</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r>
        <w:trPr>
          <w:cantSplit/>
        </w:trPr>
        <w:tc>
          <w:tcPr>
            <w:tcW w:type="dxa" w:w="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19</w:t>
            </w:r>
          </w:p>
        </w:tc>
        <w:tc>
          <w:tcPr>
            <w:tcW w:type="dxa" w:w="5338"/>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rPr>
              <w:t xml:space="preserve">Prueba con usuarios reales (evaluación antes y después)</w:t>
            </w:r>
          </w:p>
        </w:tc>
        <w:tc>
          <w:tcPr>
            <w:tcW w:type="dxa" w:w="13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Pendiente</w:t>
            </w:r>
          </w:p>
        </w:tc>
        <w:tc>
          <w:tcPr>
            <w:tcW w:type="dxa" w:w="2500"/>
            <w:tcBorders>
              <w:top w:val="single" w:color="BFCBC5" w:sz="4"/>
              <w:left w:val="single" w:color="BFCBC5" w:sz="4"/>
              <w:bottom w:val="single" w:color="BFCBC5" w:sz="4"/>
              <w:right w:val="single" w:color="BFCBC5" w:sz="4"/>
            </w:tcBorders>
            <w:tcMar>
              <w:top w:type="dxa" w:w="50"/>
              <w:left w:type="dxa" w:w="90"/>
              <w:bottom w:type="dxa" w:w="50"/>
              <w:right w:type="dxa" w:w="90"/>
            </w:tcMar>
          </w:tcPr>
          <w:p>
            <w:pPr>
              <w:spacing w:after="20" w:line="240"/>
            </w:pPr>
            <w:r>
              <w:rPr>
                <w:b w:val="false"/>
                <w:bCs w:val="false"/>
                <w:sz w:val="18"/>
                <w:szCs w:val="18"/>
                <w:shd w:fill="FFF200" w:color="auto" w:val="clear"/>
              </w:rPr>
              <w:t xml:space="preserve">[pegar enlace]</w:t>
            </w:r>
          </w:p>
        </w:tc>
      </w:tr>
    </w:tbl>
    <w:sectPr>
      <w:foot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B5F56"/>
        <w:sz w:val="16"/>
        <w:szCs w:val="16"/>
      </w:rPr>
      <w:t xml:space="preserve">MintEd · Whitepaper</w:t>
    </w:r>
    <w:r>
      <w:rPr>
        <w:color w:val="4B5F56"/>
        <w:sz w:val="16"/>
        <w:szCs w:val="16"/>
      </w:rPr>
      <w:t xml:space="preserve">	Página </w:t>
    </w:r>
    <w:r>
      <w:rPr>
        <w:color w:val="4B5F56"/>
        <w:sz w:val="16"/>
        <w:szCs w:val="16"/>
      </w:rPr>
      <w:fldChar w:fldCharType="begin"/>
      <w:instrText xml:space="preserve">PAGE</w:instrText>
      <w:fldChar w:fldCharType="separate"/>
      <w:fldChar w:fldCharType="end"/>
    </w:r>
    <w:r>
      <w:rPr>
        <w:color w:val="4B5F56"/>
        <w:sz w:val="16"/>
        <w:szCs w:val="16"/>
      </w:rPr>
      <w:t xml:space="preserve"> de </w:t>
    </w:r>
    <w:r>
      <w:rPr>
        <w:color w:val="4B5F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Cambria" w:cs="Cambria" w:eastAsia="Cambria" w:hAnsi="Cambria"/>
      <w:b/>
      <w:bCs/>
      <w:color w:val="14231D"/>
      <w:sz w:val="28"/>
      <w:szCs w:val="28"/>
    </w:rPr>
  </w:style>
  <w:style w:type="paragraph" w:styleId="Heading2">
    <w:name w:val="Heading 2"/>
    <w:basedOn w:val="Normal"/>
    <w:next w:val="Normal"/>
    <w:qFormat/>
    <w:pPr>
      <w:keepNext/>
      <w:spacing w:after="70" w:before="140"/>
      <w:outlineLvl w:val="1"/>
    </w:pPr>
    <w:rPr>
      <w:rFonts w:ascii="Calibri" w:cs="Calibri" w:eastAsia="Calibri" w:hAnsi="Calibri"/>
      <w:b/>
      <w:bCs/>
      <w:color w:val="0A6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xqzjbt6mkfjh4o2kzdy6" Type="http://schemas.openxmlformats.org/officeDocument/2006/relationships/hyperlink" Target="https://eips.ethereum.org/EIPS/eip-20" TargetMode="External"/><Relationship Id="rIdi6bcas44px8axsve9ffte" Type="http://schemas.openxmlformats.org/officeDocument/2006/relationships/hyperlink" Target="https://eips.ethereum.org/EIPS/eip-721" TargetMode="External"/><Relationship Id="rIdc0v1nbuyjjwinlx5ynzm_" Type="http://schemas.openxmlformats.org/officeDocument/2006/relationships/hyperlink" Target="https://eips.ethereum.org/EIPS/eip-5192" TargetMode="External"/><Relationship Id="rIdu2c6hti_w5fiyy2q05fqx" Type="http://schemas.openxmlformats.org/officeDocument/2006/relationships/hyperlink" Target="https://eips.ethereum.org/EIPS/eip-712" TargetMode="External"/><Relationship Id="rIdrlwpgfpnngwmd5q_hoiep" Type="http://schemas.openxmlformats.org/officeDocument/2006/relationships/hyperlink" Target="https://docs.openzeppelin.com/contracts/5.x/" TargetMode="External"/><Relationship Id="rIdmclowmgj2ej7ptc1-cbqy" Type="http://schemas.openxmlformats.org/officeDocument/2006/relationships/hyperlink" Target="https://hardhat.org/docs" TargetMode="External"/><Relationship Id="rIdig818uytu2hrsv6ddsdu9" Type="http://schemas.openxmlformats.org/officeDocument/2006/relationships/hyperlink" Target="https://docs.ethers.org/v6/" TargetMode="External"/><Relationship Id="rId8" Type="http://schemas.openxmlformats.org/officeDocument/2006/relationships/image" Target="media/fd868044b40f13d844d7b6032618bafb63c965a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Whitepaper de MintEd</dc:title>
  <dc:creator>Equipo MintEd</dc:creator>
  <cp:lastModifiedBy>Un-named</cp:lastModifiedBy>
  <cp:revision>1</cp:revision>
  <dcterms:created xsi:type="dcterms:W3CDTF">2026-10-09T23:25:26.501Z</dcterms:created>
  <dcterms:modified xsi:type="dcterms:W3CDTF">2026-10-09T23:25:26.501Z</dcterms:modified>
</cp:coreProperties>
</file>

<file path=docProps/custom.xml><?xml version="1.0" encoding="utf-8"?>
<Properties xmlns="http://schemas.openxmlformats.org/officeDocument/2006/custom-properties" xmlns:vt="http://schemas.openxmlformats.org/officeDocument/2006/docPropsVTypes"/>
</file>