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Maquetar el Menú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Maquetar el menu adjunto teniendo en cuenta los detalles de tamaño y posicionamiento.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 Utilizar de manera correcta las etiquetas de  HTML5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 Utilizar las técnicas y propiedades de posicionamiento aprendidas de CSS3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 Implementar íconos de IonIcons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 incluye: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 Template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Recursos recomendados: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Documento de posicionamiento: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http://es.learnlayout.com/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s.learnlayout.com/" TargetMode="External"/></Relationships>
</file>