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High Yield Bond Mispricing Methodology</w:t>
      </w:r>
    </w:p>
    <w:p>
      <w:pPr/>
      <w:r>
        <w:t xml:space="preserve">Oct 20, 2026</w:t>
      </w:r>
      <w:r>
        <w:t xml:space="preserve"> · </w:t>
      </w:r>
      <w:r>
        <w:t xml:space="preserve">@A K</w:t>
      </w:r>
    </w:p>
    <w:p>
      <w:pPr>
        <w:pStyle w:val="Heading2"/>
      </w:pPr>
      <w:r>
        <w:t xml:space="preserve">The book in one page</w:t>
      </w:r>
    </w:p>
    <w:p>
      <w:pPr/>
      <w:r>
        <w:t xml:space="preserve">Gatto's </w:t>
      </w:r>
      <w:r>
        <w:rPr>
          <w:i/>
        </w:rPr>
        <w:t xml:space="preserve">Credit Investor's Handbook</w:t>
      </w:r>
      <w:r>
        <w:t xml:space="preserve"> (Wiley, 2023) teaches one process: analyse a leveraged company in seven steps, then judge each loan or bond by its risk-adjusted return against every other investment you could make. The book has three parts. Part One gives the building blocks: the leveraged credit markets (Chapter 1, p. 62), credit cycles (Chapter 2, p. 79), trading terms (Chapter 3, p. 103), and leveraged buyouts (Chapter 4, p. 123). Part Two gives the seven-step process (Chapters 5 to 13, pp. 141–414). Part Three covers distressed debt: bankruptcy, creditor fights, subordination, liability management, and eight distressed strategies (Chapters 14 to 19, pp. 415–572).</w:t>
      </w:r>
    </w:p>
    <w:p>
      <w:pPr>
        <w:pStyle w:val="Heading3"/>
      </w:pPr>
      <w:r>
        <w:t xml:space="preserve">The seven-step process</w:t>
      </w:r>
    </w:p>
    <w:tbl>
      <w:tblPr>
        <w:tblStyle w:val="TableGrid"/>
        <w:tblW w:w="0" w:type="auto"/>
        <w:tblLayout w:type="fixed"/>
        <w:tblLook w:val="04A0" w:firstRow="1" w:lastRow="0" w:firstColumn="0" w:lastColumn="0" w:noHBand="0" w:noVBand="1"/>
      </w:tblPr>
      <w:tblGrid>
        <w:gridCol w:w="2031"/>
        <w:gridCol w:w="3835"/>
        <w:gridCol w:w="1358"/>
        <w:gridCol w:w="2136"/>
      </w:tblGrid>
      <w:tr>
        <w:trPr>
          <w:tblHeader/>
        </w:trPr>
        <w:tc>
          <w:tcPr>
            <w:tcW w:w="2031" w:type="dxa"/>
            <w:shd w:val="clear" w:color="auto" w:fill="F2F2F2"/>
          </w:tcPr>
          <w:p>
            <w:pPr/>
            <w:r>
              <w:t xml:space="preserve">Step</w:t>
            </w:r>
          </w:p>
        </w:tc>
        <w:tc>
          <w:tcPr>
            <w:tcW w:w="3835" w:type="dxa"/>
            <w:shd w:val="clear" w:color="auto" w:fill="F2F2F2"/>
          </w:tcPr>
          <w:p>
            <w:pPr/>
            <w:r>
              <w:t xml:space="preserve">What the analyst does</w:t>
            </w:r>
          </w:p>
        </w:tc>
        <w:tc>
          <w:tcPr>
            <w:tcW w:w="1358" w:type="dxa"/>
            <w:shd w:val="clear" w:color="auto" w:fill="F2F2F2"/>
          </w:tcPr>
          <w:p>
            <w:pPr/>
            <w:r>
              <w:t xml:space="preserve">Key output</w:t>
            </w:r>
          </w:p>
        </w:tc>
        <w:tc>
          <w:tcPr>
            <w:tcW w:w="2136" w:type="dxa"/>
            <w:shd w:val="clear" w:color="auto" w:fill="F2F2F2"/>
          </w:tcPr>
          <w:p>
            <w:pPr/>
            <w:r>
              <w:t xml:space="preserve">Chapter and pages</w:t>
            </w:r>
          </w:p>
        </w:tc>
      </w:tr>
      <w:tr>
        <w:tc>
          <w:tcPr>
            <w:tcW w:w="2031" w:type="dxa"/>
          </w:tcPr>
          <w:p>
            <w:pPr/>
            <w:r>
              <w:t xml:space="preserve">1. Sources and uses</w:t>
            </w:r>
          </w:p>
        </w:tc>
        <w:tc>
          <w:tcPr>
            <w:tcW w:w="3835" w:type="dxa"/>
          </w:tcPr>
          <w:p>
            <w:pPr/>
            <w:r>
              <w:t xml:space="preserve">Ask why the company needs capital and what instruments fund it. Originations only.</w:t>
            </w:r>
          </w:p>
        </w:tc>
        <w:tc>
          <w:tcPr>
            <w:tcW w:w="1358" w:type="dxa"/>
          </w:tcPr>
          <w:p>
            <w:pPr/>
            <w:r>
              <w:t xml:space="preserve">Sources and uses table</w:t>
            </w:r>
          </w:p>
        </w:tc>
        <w:tc>
          <w:tcPr>
            <w:tcW w:w="2136" w:type="dxa"/>
          </w:tcPr>
          <w:p>
            <w:pPr/>
            <w:r>
              <w:t xml:space="preserve">5, pp. 142–154</w:t>
            </w:r>
          </w:p>
        </w:tc>
      </w:tr>
      <w:tr>
        <w:tc>
          <w:tcPr>
            <w:tcW w:w="2031" w:type="dxa"/>
          </w:tcPr>
          <w:p>
            <w:pPr/>
            <w:r>
              <w:t xml:space="preserve">2. Qualitative analysis</w:t>
            </w:r>
          </w:p>
        </w:tc>
        <w:tc>
          <w:tcPr>
            <w:tcW w:w="3835" w:type="dxa"/>
          </w:tcPr>
          <w:p>
            <w:pPr/>
            <w:r>
              <w:t xml:space="preserve">Score eight industry and business risks, the strategy, the management team, and ESG</w:t>
            </w:r>
          </w:p>
        </w:tc>
        <w:tc>
          <w:tcPr>
            <w:tcW w:w="1358" w:type="dxa"/>
          </w:tcPr>
          <w:p>
            <w:pPr/>
            <w:r>
              <w:t xml:space="preserve">Risk list with mitigants</w:t>
            </w:r>
          </w:p>
        </w:tc>
        <w:tc>
          <w:tcPr>
            <w:tcW w:w="2136" w:type="dxa"/>
          </w:tcPr>
          <w:p>
            <w:pPr/>
            <w:r>
              <w:t xml:space="preserve">6, pp. 155–186</w:t>
            </w:r>
          </w:p>
        </w:tc>
      </w:tr>
      <w:tr>
        <w:tc>
          <w:tcPr>
            <w:tcW w:w="2031" w:type="dxa"/>
          </w:tcPr>
          <w:p>
            <w:pPr/>
            <w:r>
              <w:t xml:space="preserve">3a. Profitability</w:t>
            </w:r>
          </w:p>
        </w:tc>
        <w:tc>
          <w:tcPr>
            <w:tcW w:w="3835" w:type="dxa"/>
          </w:tcPr>
          <w:p>
            <w:pPr/>
            <w:r>
              <w:t xml:space="preserve">Remove nonrecurring items, test earnings quality, compare with peers, judge against expectations</w:t>
            </w:r>
          </w:p>
        </w:tc>
        <w:tc>
          <w:tcPr>
            <w:tcW w:w="1358" w:type="dxa"/>
          </w:tcPr>
          <w:p>
            <w:pPr/>
            <w:r>
              <w:t xml:space="preserve">Adjusted income statement; red flags</w:t>
            </w:r>
          </w:p>
        </w:tc>
        <w:tc>
          <w:tcPr>
            <w:tcW w:w="2136" w:type="dxa"/>
          </w:tcPr>
          <w:p>
            <w:pPr/>
            <w:r>
              <w:t xml:space="preserve">7, pp. 187–223</w:t>
            </w:r>
          </w:p>
        </w:tc>
      </w:tr>
      <w:tr>
        <w:tc>
          <w:tcPr>
            <w:tcW w:w="2031" w:type="dxa"/>
          </w:tcPr>
          <w:p>
            <w:pPr/>
            <w:r>
              <w:t xml:space="preserve">3b. Cash flow and liquidity</w:t>
            </w:r>
          </w:p>
        </w:tc>
        <w:tc>
          <w:tcPr>
            <w:tcW w:w="3835" w:type="dxa"/>
          </w:tcPr>
          <w:p>
            <w:pPr/>
            <w:r>
              <w:t xml:space="preserve">Static liquidity, maturity schedule, free cash flow, cash cycle, refinance access, levers</w:t>
            </w:r>
          </w:p>
        </w:tc>
        <w:tc>
          <w:tcPr>
            <w:tcW w:w="1358" w:type="dxa"/>
          </w:tcPr>
          <w:p>
            <w:pPr/>
            <w:r>
              <w:t xml:space="preserve">Liquidity runway and maturity wall</w:t>
            </w:r>
          </w:p>
        </w:tc>
        <w:tc>
          <w:tcPr>
            <w:tcW w:w="2136" w:type="dxa"/>
          </w:tcPr>
          <w:p>
            <w:pPr/>
            <w:r>
              <w:t xml:space="preserve">8, pp. 224–254</w:t>
            </w:r>
          </w:p>
        </w:tc>
      </w:tr>
      <w:tr>
        <w:tc>
          <w:tcPr>
            <w:tcW w:w="2031" w:type="dxa"/>
          </w:tcPr>
          <w:p>
            <w:pPr/>
            <w:r>
              <w:t xml:space="preserve">3c. Capital structure</w:t>
            </w:r>
          </w:p>
        </w:tc>
        <w:tc>
          <w:tcPr>
            <w:tcW w:w="3835" w:type="dxa"/>
          </w:tcPr>
          <w:p>
            <w:pPr/>
            <w:r>
              <w:t xml:space="preserve">Build the capital structure table; leverage, loan-to-value, and coverage through each tranche, at face and at market; add leases, pensions, and guarantees</w:t>
            </w:r>
          </w:p>
        </w:tc>
        <w:tc>
          <w:tcPr>
            <w:tcW w:w="1358" w:type="dxa"/>
          </w:tcPr>
          <w:p>
            <w:pPr/>
            <w:r>
              <w:t xml:space="preserve">Priority-ordered table with ratios and ratings</w:t>
            </w:r>
          </w:p>
        </w:tc>
        <w:tc>
          <w:tcPr>
            <w:tcW w:w="2136" w:type="dxa"/>
          </w:tcPr>
          <w:p>
            <w:pPr/>
            <w:r>
              <w:t xml:space="preserve">9, pp. 255–282</w:t>
            </w:r>
          </w:p>
        </w:tc>
      </w:tr>
      <w:tr>
        <w:tc>
          <w:tcPr>
            <w:tcW w:w="2031" w:type="dxa"/>
          </w:tcPr>
          <w:p>
            <w:pPr/>
            <w:r>
              <w:t xml:space="preserve">4. Forecasting</w:t>
            </w:r>
          </w:p>
        </w:tc>
        <w:tc>
          <w:tcPr>
            <w:tcW w:w="3835" w:type="dxa"/>
          </w:tcPr>
          <w:p>
            <w:pPr/>
            <w:r>
              <w:t xml:space="preserve">Set drivers, build management, base, and downside cases, assign probabilities</w:t>
            </w:r>
          </w:p>
        </w:tc>
        <w:tc>
          <w:tcPr>
            <w:tcW w:w="1358" w:type="dxa"/>
          </w:tcPr>
          <w:p>
            <w:pPr/>
            <w:r>
              <w:t xml:space="preserve">Scenario paths of EBITDA, leverage, liquidity</w:t>
            </w:r>
          </w:p>
        </w:tc>
        <w:tc>
          <w:tcPr>
            <w:tcW w:w="2136" w:type="dxa"/>
          </w:tcPr>
          <w:p>
            <w:pPr/>
            <w:r>
              <w:t xml:space="preserve">10, pp. 283–318</w:t>
            </w:r>
          </w:p>
        </w:tc>
      </w:tr>
      <w:tr>
        <w:tc>
          <w:tcPr>
            <w:tcW w:w="2031" w:type="dxa"/>
          </w:tcPr>
          <w:p>
            <w:pPr/>
            <w:r>
              <w:t xml:space="preserve">5. Valuation</w:t>
            </w:r>
          </w:p>
        </w:tc>
        <w:tc>
          <w:tcPr>
            <w:tcW w:w="3835" w:type="dxa"/>
          </w:tcPr>
          <w:p>
            <w:pPr/>
            <w:r>
              <w:t xml:space="preserve">Comparable companies, precedent deals, DCF, liquidation; read loan-to-value off the range</w:t>
            </w:r>
          </w:p>
        </w:tc>
        <w:tc>
          <w:tcPr>
            <w:tcW w:w="1358" w:type="dxa"/>
          </w:tcPr>
          <w:p>
            <w:pPr/>
            <w:r>
              <w:t xml:space="preserve">Enterprise value range</w:t>
            </w:r>
          </w:p>
        </w:tc>
        <w:tc>
          <w:tcPr>
            <w:tcW w:w="2136" w:type="dxa"/>
          </w:tcPr>
          <w:p>
            <w:pPr/>
            <w:r>
              <w:t xml:space="preserve">11, pp. 319–336</w:t>
            </w:r>
          </w:p>
        </w:tc>
      </w:tr>
      <w:tr>
        <w:tc>
          <w:tcPr>
            <w:tcW w:w="2031" w:type="dxa"/>
          </w:tcPr>
          <w:p>
            <w:pPr/>
            <w:r>
              <w:t xml:space="preserve">6. Structure and documents</w:t>
            </w:r>
          </w:p>
        </w:tc>
        <w:tc>
          <w:tcPr>
            <w:tcW w:w="3835" w:type="dxa"/>
          </w:tcPr>
          <w:p>
            <w:pPr/>
            <w:r>
              <w:t xml:space="preserve">Economics, collateral, maintenance and incurrence covenants, add-backs, baskets, sacred rights</w:t>
            </w:r>
          </w:p>
        </w:tc>
        <w:tc>
          <w:tcPr>
            <w:tcW w:w="1358" w:type="dxa"/>
          </w:tcPr>
          <w:p>
            <w:pPr/>
            <w:r>
              <w:t xml:space="preserve">Document risk list</w:t>
            </w:r>
          </w:p>
        </w:tc>
        <w:tc>
          <w:tcPr>
            <w:tcW w:w="2136" w:type="dxa"/>
          </w:tcPr>
          <w:p>
            <w:pPr/>
            <w:r>
              <w:t xml:space="preserve">12, pp. 337–365</w:t>
            </w:r>
          </w:p>
        </w:tc>
      </w:tr>
      <w:tr>
        <w:tc>
          <w:tcPr>
            <w:tcW w:w="2031" w:type="dxa"/>
          </w:tcPr>
          <w:p>
            <w:pPr/>
            <w:r>
              <w:t xml:space="preserve">7. Recommendation</w:t>
            </w:r>
          </w:p>
        </w:tc>
        <w:tc>
          <w:tcPr>
            <w:tcW w:w="3835" w:type="dxa"/>
          </w:tcPr>
          <w:p>
            <w:pPr/>
            <w:r>
              <w:t xml:space="preserve">Thesis, risks and mitigants, relative value against rating indices, peers, and the issuer's own capital structure; force rank against the portfolio</w:t>
            </w:r>
          </w:p>
        </w:tc>
        <w:tc>
          <w:tcPr>
            <w:tcW w:w="1358" w:type="dxa"/>
          </w:tcPr>
          <w:p>
            <w:pPr/>
            <w:r>
              <w:t xml:space="preserve">Credit committee memo</w:t>
            </w:r>
          </w:p>
        </w:tc>
        <w:tc>
          <w:tcPr>
            <w:tcW w:w="2136" w:type="dxa"/>
          </w:tcPr>
          <w:p>
            <w:pPr/>
            <w:r>
              <w:t xml:space="preserve">13, pp. 366–414</w:t>
            </w:r>
          </w:p>
        </w:tc>
      </w:tr>
    </w:tbl>
    <w:p>
      <w:pPr>
        <w:pStyle w:val="Heading3"/>
      </w:pPr>
      <w:r>
        <w:t xml:space="preserve">The principles the process rests on</w:t>
      </w:r>
    </w:p>
    <w:p>
      <w:pPr>
        <w:pStyle w:val="ListParagraph"/>
        <w:numPr>
          <w:ilvl w:val="0"/>
          <w:numId w:val="2"/>
        </w:numPr>
      </w:pPr>
      <w:r>
        <w:t xml:space="preserve">Risk is the probability of default times the loss given default. Relative value compares expected return per unit of that risk, not absolute yield (p. 119).</w:t>
      </w:r>
    </w:p>
    <w:p>
      <w:pPr>
        <w:pStyle w:val="ListParagraph"/>
        <w:numPr>
          <w:ilvl w:val="0"/>
          <w:numId w:val="2"/>
        </w:numPr>
      </w:pPr>
      <w:r>
        <w:t xml:space="preserve">A bond price moves for three reasons: the risk-free rate, the market spread level, and the issuer's own risk (p. 113). Price, yield, and spread are three ways to quote one level (p. 117).</w:t>
      </w:r>
    </w:p>
    <w:p>
      <w:pPr>
        <w:pStyle w:val="ListParagraph"/>
        <w:numPr>
          <w:ilvl w:val="0"/>
          <w:numId w:val="2"/>
        </w:numPr>
      </w:pPr>
      <w:r>
        <w:t xml:space="preserve">Debt is analysed by priority. Senior claims enter at face; the tranche under analysis enters at market, which gives the creation multiple (p. 264).</w:t>
      </w:r>
    </w:p>
    <w:p>
      <w:pPr>
        <w:pStyle w:val="ListParagraph"/>
        <w:numPr>
          <w:ilvl w:val="0"/>
          <w:numId w:val="2"/>
        </w:numPr>
      </w:pPr>
      <w:r>
        <w:t xml:space="preserve">The base case is a coin toss up or down. The downside case is where credit work earns its keep (p. 285).</w:t>
      </w:r>
    </w:p>
    <w:p>
      <w:pPr>
        <w:pStyle w:val="ListParagraph"/>
        <w:numPr>
          <w:ilvl w:val="0"/>
          <w:numId w:val="2"/>
        </w:numPr>
      </w:pPr>
      <w:r>
        <w:t xml:space="preserve">Covenants give the lender a seat at the table; permissive EBITDA add-backs take it away (pp. 354–355).</w:t>
      </w:r>
    </w:p>
    <w:p>
      <w:pPr>
        <w:pStyle w:val="ListParagraph"/>
        <w:numPr>
          <w:ilvl w:val="0"/>
          <w:numId w:val="2"/>
        </w:numPr>
      </w:pPr>
      <w:r>
        <w:t xml:space="preserve">Ratings lag prices (p. 274). Forced sellers after a downgrade create the entry for a patient buyer (p. 418).</w:t>
      </w:r>
    </w:p>
    <w:p>
      <w:pPr>
        <w:pStyle w:val="ListParagraph"/>
        <w:numPr>
          <w:ilvl w:val="0"/>
          <w:numId w:val="2"/>
        </w:numPr>
      </w:pPr>
      <w:r>
        <w:t xml:space="preserve">Documents can move claims ahead of yours after you buy: drop-downs and uptiers (Chapter 18, pp. 498–513).</w:t>
      </w:r>
    </w:p>
    <w:p>
      <w:pPr>
        <w:pStyle w:val="Heading3"/>
      </w:pPr>
      <w:r>
        <w:t xml:space="preserve">The case threads</w:t>
      </w:r>
    </w:p>
    <w:p>
      <w:pPr/>
      <w:r>
        <w:t xml:space="preserve">MGEC Corp carries the ratio examples. TM Corp carries the forecast. JCPenney in 2012 closes each chapter of Part Two. Valves Controls Company is the private loan memo and HCA's 2006 buyout bond is the public bond memo, with a postmortem that shows the bond returned 10% a year against 8.9% for the index with a shallower trough (p. 414).</w:t>
      </w:r>
    </w:p>
    <w:p>
      <w:pPr/>
      <w:r>
        <w:t xml:space="preserve">The book gives judgement and procedure, not statistical models. It has no option-adjusted spread, no bond-CDS basis, and no liquidity model. The sections below keep the book's process as the feature set and add the models, the forward estimates, and the event risk around it.</w:t>
      </w:r>
    </w:p>
    <w:p>
      <w:pPr>
        <w:pStyle w:val="Heading2"/>
      </w:pPr>
      <w:r>
        <w:t xml:space="preserve">1. Purpose and scope</w:t>
      </w:r>
    </w:p>
    <w:p>
      <w:pPr/>
      <w:r>
        <w:t xml:space="preserve">The method ranks high yield bonds by the gap between the market spread and a fair spread. The fair spread comes from issuer fundamentals, forward estimates, and macro forecasts. The gap is the mispricing. Gatto's </w:t>
      </w:r>
      <w:r>
        <w:rPr>
          <w:i/>
        </w:rPr>
        <w:t xml:space="preserve">Credit Investor's Handbook</w:t>
      </w:r>
      <w:r>
        <w:t xml:space="preserve"> gives the fundamental process. This document turns that process into inputs, transformations, and outputs that a system can compute each day.</w:t>
      </w:r>
    </w:p>
    <w:p>
      <w:pPr/>
      <w:r>
        <w:t xml:space="preserve">The book states that a bond price moves for three reasons: the risk-free rate, the market spread level, and the issuer's own risk (p. 113). The method hedges the first two and trades the third.</w:t>
      </w:r>
    </w:p>
    <w:p>
      <w:pPr>
        <w:pStyle w:val="Code"/>
      </w:pPr>
      <w:bookmarkStart w:id="1" w:name="bongo_lang_latex_1"/>
      <w:bookmarkEnd w:id="1"/>
      <w:r>
        <w:t xml:space="preserve">\Delta y_i = \Delta r_f + \Delta s_{mkt} + \Delta s_{idio,i}</w:t>
      </w:r>
    </w:p>
    <w:p>
      <w:pPr/>
      <w:r>
        <w:t xml:space="preserve">The fair spread model estimates what the issuer component should be, given the fundamentals. The signal is the residual between the market and the model.</w:t>
      </w:r>
    </w:p>
    <w:tbl>
      <w:tblPr>
        <w:tblStyle w:val="TableGrid"/>
        <w:tblW w:w="0" w:type="auto"/>
        <w:tblLayout w:type="fixed"/>
        <w:tblLook w:val="04A0" w:firstRow="1" w:lastRow="0" w:firstColumn="0" w:lastColumn="0" w:noHBand="0" w:noVBand="1"/>
      </w:tblPr>
      <w:tblGrid>
        <w:gridCol w:w="2947"/>
        <w:gridCol w:w="6412"/>
      </w:tblGrid>
      <w:tr>
        <w:trPr>
          <w:tblHeader/>
        </w:trPr>
        <w:tc>
          <w:tcPr>
            <w:tcW w:w="2947" w:type="dxa"/>
            <w:shd w:val="clear" w:color="auto" w:fill="F2F2F2"/>
          </w:tcPr>
          <w:p>
            <w:pPr/>
            <w:r>
              <w:t xml:space="preserve">Item</w:t>
            </w:r>
          </w:p>
        </w:tc>
        <w:tc>
          <w:tcPr>
            <w:tcW w:w="6412" w:type="dxa"/>
            <w:shd w:val="clear" w:color="auto" w:fill="F2F2F2"/>
          </w:tcPr>
          <w:p>
            <w:pPr/>
            <w:r>
              <w:t xml:space="preserve">Specification</w:t>
            </w:r>
          </w:p>
        </w:tc>
      </w:tr>
      <w:tr>
        <w:tc>
          <w:tcPr>
            <w:tcW w:w="2947" w:type="dxa"/>
          </w:tcPr>
          <w:p>
            <w:pPr/>
            <w:r>
              <w:t xml:space="preserve">Universe</w:t>
            </w:r>
          </w:p>
        </w:tc>
        <w:tc>
          <w:tcPr>
            <w:tcW w:w="6412" w:type="dxa"/>
          </w:tcPr>
          <w:p>
            <w:pPr/>
            <w:r>
              <w:t xml:space="preserve">US dollar high yield corporate bonds, fixed coupon, price above 80, spread below 1,000 bp</w:t>
            </w:r>
          </w:p>
        </w:tc>
      </w:tr>
      <w:tr>
        <w:tc>
          <w:tcPr>
            <w:tcW w:w="2947" w:type="dxa"/>
          </w:tcPr>
          <w:p>
            <w:pPr/>
            <w:r>
              <w:t xml:space="preserve">Below the universe</w:t>
            </w:r>
          </w:p>
        </w:tc>
        <w:tc>
          <w:tcPr>
            <w:tcW w:w="6412" w:type="dxa"/>
          </w:tcPr>
          <w:p>
            <w:pPr/>
            <w:r>
              <w:t xml:space="preserve">The book says to quote distressed bonds in price, not spread (p. 122). Section 6 gives a recovery price for those bonds.</w:t>
            </w:r>
          </w:p>
        </w:tc>
      </w:tr>
      <w:tr>
        <w:tc>
          <w:tcPr>
            <w:tcW w:w="2947" w:type="dxa"/>
          </w:tcPr>
          <w:p>
            <w:pPr/>
            <w:r>
              <w:t xml:space="preserve">Consumer 1</w:t>
            </w:r>
          </w:p>
        </w:tc>
        <w:tc>
          <w:tcPr>
            <w:tcW w:w="6412" w:type="dxa"/>
          </w:tcPr>
          <w:p>
            <w:pPr/>
            <w:r>
              <w:t xml:space="preserve">Quantamental signals that rank bonds and issuers (Section 8)</w:t>
            </w:r>
          </w:p>
        </w:tc>
      </w:tr>
      <w:tr>
        <w:tc>
          <w:tcPr>
            <w:tcW w:w="2947" w:type="dxa"/>
          </w:tcPr>
          <w:p>
            <w:pPr/>
            <w:r>
              <w:t xml:space="preserve">Consumer 2</w:t>
            </w:r>
          </w:p>
        </w:tc>
        <w:tc>
          <w:tcPr>
            <w:tcW w:w="6412" w:type="dxa"/>
          </w:tcPr>
          <w:p>
            <w:pPr/>
            <w:r>
              <w:t xml:space="preserve">Event-driven positional risk that sizes and limits positions around dated events (Section 9)</w:t>
            </w:r>
          </w:p>
        </w:tc>
      </w:tr>
      <w:tr>
        <w:tc>
          <w:tcPr>
            <w:tcW w:w="2947" w:type="dxa"/>
          </w:tcPr>
          <w:p>
            <w:pPr/>
            <w:r>
              <w:t xml:space="preserve">Mispricing horizon</w:t>
            </w:r>
          </w:p>
        </w:tc>
        <w:tc>
          <w:tcPr>
            <w:tcW w:w="6412" w:type="dxa"/>
          </w:tcPr>
          <w:p>
            <w:pPr/>
            <w:r>
              <w:t xml:space="preserve">1 to 6 months, set by the measured half-life of the residual</w:t>
            </w:r>
          </w:p>
        </w:tc>
      </w:tr>
      <w:tr>
        <w:tc>
          <w:tcPr>
            <w:tcW w:w="2947" w:type="dxa"/>
          </w:tcPr>
          <w:p>
            <w:pPr/>
            <w:r>
              <w:t xml:space="preserve">Event horizon</w:t>
            </w:r>
          </w:p>
        </w:tc>
        <w:tc>
          <w:tcPr>
            <w:tcW w:w="6412" w:type="dxa"/>
          </w:tcPr>
          <w:p>
            <w:pPr/>
            <w:r>
              <w:t xml:space="preserve">1 to 5 trading days around each dated event</w:t>
            </w:r>
          </w:p>
        </w:tc>
      </w:tr>
      <w:tr>
        <w:tc>
          <w:tcPr>
            <w:tcW w:w="2947" w:type="dxa"/>
          </w:tcPr>
          <w:p>
            <w:pPr/>
            <w:r>
              <w:t xml:space="preserve">Update cycle</w:t>
            </w:r>
          </w:p>
        </w:tc>
        <w:tc>
          <w:tcPr>
            <w:tcW w:w="6412" w:type="dxa"/>
          </w:tcPr>
          <w:p>
            <w:pPr/>
            <w:r>
              <w:t xml:space="preserve">Market data daily; financials and forecasts each quarter and on each event</w:t>
            </w:r>
          </w:p>
        </w:tc>
      </w:tr>
    </w:tbl>
    <w:p>
      <w:pPr/>
      <w:r>
        <w:t xml:space="preserve">Each later section gives the inputs, the formulas, and the outputs. Section 10 gives the field names for the output tables.</w:t>
      </w:r>
    </w:p>
    <w:p>
      <w:pPr>
        <w:pStyle w:val="Heading2"/>
      </w:pPr>
      <w:r>
        <w:t xml:space="preserve">2. Pipeline architecture</w:t>
      </w:r>
    </w:p>
    <w:p>
      <w:pPr/>
      <w:r>
        <w:t xml:space="preserve">The pipeline has one spine and two consumers. Five input feeds build the issuer state. The issuer state feeds the forward estimates and the valuation. Both feed one fair spread per bond. The fair spread feeds the signals and the event risk, and the event calendar feeds the event risk directly.</w:t>
      </w:r>
    </w:p>
    <w:p>
      <w:pPr/>
      <w:r>
        <w:drawing>
          <wp:inline distT="0" distB="0" distL="0" distR="0">
            <wp:extent cx="5486400" cy="4963885"/>
            <wp:docPr id="1" name="image1" descr="pipeline architecture · 5 inputs, 6 layers, 2 consumers"/>
            <a:graphic xmlns:a="http://schemas.openxmlformats.org/drawingml/2006/main">
              <a:graphicData uri="http://schemas.openxmlformats.org/drawingml/2006/picture">
                <pic:pic xmlns:pic="http://schemas.openxmlformats.org/drawingml/2006/picture">
                  <pic:nvPicPr>
                    <pic:cNvPr id="1" name="image1" descr="pipeline architecture · 5 inputs, 6 layers, 2 consumers"/>
                    <pic:cNvPicPr/>
                  </pic:nvPicPr>
                  <pic:blipFill>
                    <a:blip r:embed="rId3"/>
                    <a:stretch>
                      <a:fillRect/>
                    </a:stretch>
                  </pic:blipFill>
                  <pic:spPr>
                    <a:xfrm>
                      <a:off x="0" y="0"/>
                      <a:ext cx="5486400" cy="4963885"/>
                    </a:xfrm>
                    <a:prstGeom prst="rect">
                      <a:avLst/>
                    </a:prstGeom>
                  </pic:spPr>
                </pic:pic>
              </a:graphicData>
            </a:graphic>
          </wp:inline>
        </w:drawing>
      </w:r>
    </w:p>
    <w:p>
      <w:pPr/>
      <w:r>
        <w:t xml:space="preserve">pipeline architecture · 5 inputs, 6 layers, 2 consumers</w:t>
      </w:r>
    </w:p>
    <w:p>
      <w:pPr/>
      <w:r>
        <w:t xml:space="preserve">The market spread also enters Section 7 directly, as the quantity that the fair spread is compared with. The signals feed the event risk because a position exists only when a signal opens it.</w:t>
      </w:r>
    </w:p>
    <w:tbl>
      <w:tblPr>
        <w:tblStyle w:val="TableGrid"/>
        <w:tblW w:w="0" w:type="auto"/>
        <w:tblLayout w:type="fixed"/>
        <w:tblLook w:val="04A0" w:firstRow="1" w:lastRow="0" w:firstColumn="0" w:lastColumn="0" w:noHBand="0" w:noVBand="1"/>
      </w:tblPr>
      <w:tblGrid>
        <w:gridCol w:w="1296"/>
        <w:gridCol w:w="1027"/>
        <w:gridCol w:w="3476"/>
        <w:gridCol w:w="3561"/>
      </w:tblGrid>
      <w:tr>
        <w:trPr>
          <w:tblHeader/>
        </w:trPr>
        <w:tc>
          <w:tcPr>
            <w:tcW w:w="1296" w:type="dxa"/>
            <w:shd w:val="clear" w:color="auto" w:fill="F2F2F2"/>
          </w:tcPr>
          <w:p>
            <w:pPr/>
            <w:r>
              <w:t xml:space="preserve">Layer</w:t>
            </w:r>
          </w:p>
        </w:tc>
        <w:tc>
          <w:tcPr>
            <w:tcW w:w="1027" w:type="dxa"/>
            <w:shd w:val="clear" w:color="auto" w:fill="F2F2F2"/>
          </w:tcPr>
          <w:p>
            <w:pPr/>
            <w:r>
              <w:t xml:space="preserve">Section</w:t>
            </w:r>
          </w:p>
        </w:tc>
        <w:tc>
          <w:tcPr>
            <w:tcW w:w="3476" w:type="dxa"/>
            <w:shd w:val="clear" w:color="auto" w:fill="F2F2F2"/>
          </w:tcPr>
          <w:p>
            <w:pPr/>
            <w:r>
              <w:t xml:space="preserve">Cadence</w:t>
            </w:r>
          </w:p>
        </w:tc>
        <w:tc>
          <w:tcPr>
            <w:tcW w:w="3561" w:type="dxa"/>
            <w:shd w:val="clear" w:color="auto" w:fill="F2F2F2"/>
          </w:tcPr>
          <w:p>
            <w:pPr/>
            <w:r>
              <w:t xml:space="preserve">Main outputs</w:t>
            </w:r>
          </w:p>
        </w:tc>
      </w:tr>
      <w:tr>
        <w:tc>
          <w:tcPr>
            <w:tcW w:w="1296" w:type="dxa"/>
          </w:tcPr>
          <w:p>
            <w:pPr/>
            <w:r>
              <w:t xml:space="preserve">Inputs</w:t>
            </w:r>
          </w:p>
        </w:tc>
        <w:tc>
          <w:tcPr>
            <w:tcW w:w="1027" w:type="dxa"/>
          </w:tcPr>
          <w:p>
            <w:pPr/>
            <w:r>
              <w:t xml:space="preserve">3</w:t>
            </w:r>
          </w:p>
        </w:tc>
        <w:tc>
          <w:tcPr>
            <w:tcW w:w="3476" w:type="dxa"/>
          </w:tcPr>
          <w:p>
            <w:pPr/>
            <w:r>
              <w:t xml:space="preserve">Market data daily; financials and documents on each filing; forecasts and macro on each release; events as dated</w:t>
            </w:r>
          </w:p>
        </w:tc>
        <w:tc>
          <w:tcPr>
            <w:tcW w:w="3561" w:type="dxa"/>
          </w:tcPr>
          <w:p>
            <w:pPr/>
            <w:r>
              <w:t xml:space="preserve">Typed fields in the schemas of Section 10</w:t>
            </w:r>
          </w:p>
        </w:tc>
      </w:tr>
      <w:tr>
        <w:tc>
          <w:tcPr>
            <w:tcW w:w="1296" w:type="dxa"/>
          </w:tcPr>
          <w:p>
            <w:pPr/>
            <w:r>
              <w:t xml:space="preserve">Issuer state</w:t>
            </w:r>
          </w:p>
        </w:tc>
        <w:tc>
          <w:tcPr>
            <w:tcW w:w="1027" w:type="dxa"/>
          </w:tcPr>
          <w:p>
            <w:pPr/>
            <w:r>
              <w:t xml:space="preserve">4</w:t>
            </w:r>
          </w:p>
        </w:tc>
        <w:tc>
          <w:tcPr>
            <w:tcW w:w="3476" w:type="dxa"/>
          </w:tcPr>
          <w:p>
            <w:pPr/>
            <w:r>
              <w:t xml:space="preserve">On each filing and each restatement</w:t>
            </w:r>
          </w:p>
        </w:tc>
        <w:tc>
          <w:tcPr>
            <w:tcW w:w="3561" w:type="dxa"/>
          </w:tcPr>
          <w:p>
            <w:pPr/>
            <w:r>
              <w:t xml:space="preserve">Ratios, flags, rating gap</w:t>
            </w:r>
          </w:p>
        </w:tc>
      </w:tr>
      <w:tr>
        <w:tc>
          <w:tcPr>
            <w:tcW w:w="1296" w:type="dxa"/>
          </w:tcPr>
          <w:p>
            <w:pPr/>
            <w:r>
              <w:t xml:space="preserve">Forward estimates</w:t>
            </w:r>
          </w:p>
        </w:tc>
        <w:tc>
          <w:tcPr>
            <w:tcW w:w="1027" w:type="dxa"/>
          </w:tcPr>
          <w:p>
            <w:pPr/>
            <w:r>
              <w:t xml:space="preserve">5</w:t>
            </w:r>
          </w:p>
        </w:tc>
        <w:tc>
          <w:tcPr>
            <w:tcW w:w="3476" w:type="dxa"/>
          </w:tcPr>
          <w:p>
            <w:pPr/>
            <w:r>
              <w:t xml:space="preserve">Each quarter and on each macro update</w:t>
            </w:r>
          </w:p>
        </w:tc>
        <w:tc>
          <w:tcPr>
            <w:tcW w:w="3561" w:type="dxa"/>
          </w:tcPr>
          <w:p>
            <w:pPr/>
            <w:r>
              <w:t xml:space="preserve">Scenario paths, macro-weighted forward features</w:t>
            </w:r>
          </w:p>
        </w:tc>
      </w:tr>
      <w:tr>
        <w:tc>
          <w:tcPr>
            <w:tcW w:w="1296" w:type="dxa"/>
          </w:tcPr>
          <w:p>
            <w:pPr/>
            <w:r>
              <w:t xml:space="preserve">Valuation and recovery</w:t>
            </w:r>
          </w:p>
        </w:tc>
        <w:tc>
          <w:tcPr>
            <w:tcW w:w="1027" w:type="dxa"/>
          </w:tcPr>
          <w:p>
            <w:pPr/>
            <w:r>
              <w:t xml:space="preserve">6</w:t>
            </w:r>
          </w:p>
        </w:tc>
        <w:tc>
          <w:tcPr>
            <w:tcW w:w="3476" w:type="dxa"/>
          </w:tcPr>
          <w:p>
            <w:pPr/>
            <w:r>
              <w:t xml:space="preserve">Each quarter and on each capital structure change</w:t>
            </w:r>
          </w:p>
        </w:tc>
        <w:tc>
          <w:tcPr>
            <w:tcW w:w="3561" w:type="dxa"/>
          </w:tcPr>
          <w:p>
            <w:pPr/>
            <w:r>
              <w:t xml:space="preserve">TEV range, tranche LTV, recovery, LGD</w:t>
            </w:r>
          </w:p>
        </w:tc>
      </w:tr>
      <w:tr>
        <w:tc>
          <w:tcPr>
            <w:tcW w:w="1296" w:type="dxa"/>
          </w:tcPr>
          <w:p>
            <w:pPr/>
            <w:r>
              <w:t xml:space="preserve">Fair spread</w:t>
            </w:r>
          </w:p>
        </w:tc>
        <w:tc>
          <w:tcPr>
            <w:tcW w:w="1027" w:type="dxa"/>
          </w:tcPr>
          <w:p>
            <w:pPr/>
            <w:r>
              <w:t xml:space="preserve">7</w:t>
            </w:r>
          </w:p>
        </w:tc>
        <w:tc>
          <w:tcPr>
            <w:tcW w:w="3476" w:type="dxa"/>
          </w:tcPr>
          <w:p>
            <w:pPr/>
            <w:r>
              <w:t xml:space="preserve">Daily</w:t>
            </w:r>
          </w:p>
        </w:tc>
        <w:tc>
          <w:tcPr>
            <w:tcW w:w="3561" w:type="dxa"/>
          </w:tcPr>
          <w:p>
            <w:pPr/>
            <w:r>
              <w:t xml:space="preserve">Fair spread, residual, conformal band</w:t>
            </w:r>
          </w:p>
        </w:tc>
      </w:tr>
      <w:tr>
        <w:tc>
          <w:tcPr>
            <w:tcW w:w="1296" w:type="dxa"/>
          </w:tcPr>
          <w:p>
            <w:pPr/>
            <w:r>
              <w:t xml:space="preserve">Signals</w:t>
            </w:r>
          </w:p>
        </w:tc>
        <w:tc>
          <w:tcPr>
            <w:tcW w:w="1027" w:type="dxa"/>
          </w:tcPr>
          <w:p>
            <w:pPr/>
            <w:r>
              <w:t xml:space="preserve">8</w:t>
            </w:r>
          </w:p>
        </w:tc>
        <w:tc>
          <w:tcPr>
            <w:tcW w:w="3476" w:type="dxa"/>
          </w:tcPr>
          <w:p>
            <w:pPr/>
            <w:r>
              <w:t xml:space="preserve">Daily</w:t>
            </w:r>
          </w:p>
        </w:tc>
        <w:tc>
          <w:tcPr>
            <w:tcW w:w="3561" w:type="dxa"/>
          </w:tcPr>
          <w:p>
            <w:pPr/>
            <w:r>
              <w:t xml:space="preserve">Signal vector per bond and per issuer</w:t>
            </w:r>
          </w:p>
        </w:tc>
      </w:tr>
      <w:tr>
        <w:tc>
          <w:tcPr>
            <w:tcW w:w="1296" w:type="dxa"/>
          </w:tcPr>
          <w:p>
            <w:pPr/>
            <w:r>
              <w:t xml:space="preserve">Event risk</w:t>
            </w:r>
          </w:p>
        </w:tc>
        <w:tc>
          <w:tcPr>
            <w:tcW w:w="1027" w:type="dxa"/>
          </w:tcPr>
          <w:p>
            <w:pPr/>
            <w:r>
              <w:t xml:space="preserve">9</w:t>
            </w:r>
          </w:p>
        </w:tc>
        <w:tc>
          <w:tcPr>
            <w:tcW w:w="3476" w:type="dxa"/>
          </w:tcPr>
          <w:p>
            <w:pPr/>
            <w:r>
              <w:t xml:space="preserve">Daily, and intraday on an event</w:t>
            </w:r>
          </w:p>
        </w:tc>
        <w:tc>
          <w:tcPr>
            <w:tcW w:w="3561" w:type="dxa"/>
          </w:tcPr>
          <w:p>
            <w:pPr/>
            <w:r>
              <w:t xml:space="preserve">Scenario P&amp;L, jump-to-default, limits, hedge ratios</w:t>
            </w:r>
          </w:p>
        </w:tc>
      </w:tr>
    </w:tbl>
    <w:p>
      <w:pPr>
        <w:pStyle w:val="Heading2"/>
      </w:pPr>
      <w:r>
        <w:t xml:space="preserve">3. Input layer: data model</w:t>
      </w:r>
    </w:p>
    <w:p>
      <w:pPr/>
      <w:r>
        <w:t xml:space="preserve">Seven feeds supply the pipeline. Every field carries two timestamps: </w:t>
      </w:r>
      <w:r>
        <w:rPr>
          <w:rStyle w:val="CodeChar"/>
        </w:rPr>
        <w:t xml:space="preserve">as_of</w:t>
      </w:r>
      <w:r>
        <w:t xml:space="preserve"> (the period it describes) and </w:t>
      </w:r>
      <w:r>
        <w:rPr>
          <w:rStyle w:val="CodeChar"/>
        </w:rPr>
        <w:t xml:space="preserve">available_at</w:t>
      </w:r>
      <w:r>
        <w:t xml:space="preserve"> (the first moment the market could read it). The model reads only fields with </w:t>
      </w:r>
      <w:r>
        <w:rPr>
          <w:rStyle w:val="CodeChar"/>
        </w:rPr>
        <w:t xml:space="preserve">available_at</w:t>
      </w:r>
      <w:r>
        <w:t xml:space="preserve"> before the decision time. This rule removes look-ahead from filings, estimates, and restatements.</w:t>
      </w:r>
    </w:p>
    <w:p>
      <w:pPr>
        <w:pStyle w:val="Heading3"/>
      </w:pPr>
      <w:r>
        <w:t xml:space="preserve">3.1 Market and instrument data (per bond, daily)</w:t>
      </w:r>
    </w:p>
    <w:tbl>
      <w:tblPr>
        <w:tblStyle w:val="TableGrid"/>
        <w:tblW w:w="0" w:type="auto"/>
        <w:tblLayout w:type="fixed"/>
        <w:tblLook w:val="04A0" w:firstRow="1" w:lastRow="0" w:firstColumn="0" w:lastColumn="0" w:noHBand="0" w:noVBand="1"/>
      </w:tblPr>
      <w:tblGrid>
        <w:gridCol w:w="3000"/>
        <w:gridCol w:w="3033"/>
        <w:gridCol w:w="3327"/>
      </w:tblGrid>
      <w:tr>
        <w:trPr>
          <w:tblHeader/>
        </w:trPr>
        <w:tc>
          <w:tcPr>
            <w:tcW w:w="3000" w:type="dxa"/>
            <w:shd w:val="clear" w:color="auto" w:fill="F2F2F2"/>
          </w:tcPr>
          <w:p>
            <w:pPr/>
            <w:r>
              <w:t xml:space="preserve">Field</w:t>
            </w:r>
          </w:p>
        </w:tc>
        <w:tc>
          <w:tcPr>
            <w:tcW w:w="3033" w:type="dxa"/>
            <w:shd w:val="clear" w:color="auto" w:fill="F2F2F2"/>
          </w:tcPr>
          <w:p>
            <w:pPr/>
            <w:r>
              <w:t xml:space="preserve">Definition or source</w:t>
            </w:r>
          </w:p>
        </w:tc>
        <w:tc>
          <w:tcPr>
            <w:tcW w:w="3327" w:type="dxa"/>
            <w:shd w:val="clear" w:color="auto" w:fill="F2F2F2"/>
          </w:tcPr>
          <w:p>
            <w:pPr/>
            <w:r>
              <w:t xml:space="preserve">Note</w:t>
            </w:r>
          </w:p>
        </w:tc>
      </w:tr>
      <w:tr>
        <w:tc>
          <w:tcPr>
            <w:tcW w:w="3000" w:type="dxa"/>
          </w:tcPr>
          <w:p>
            <w:pPr/>
            <w:r>
              <w:rPr>
                <w:rStyle w:val="CodeChar"/>
              </w:rPr>
              <w:t xml:space="preserve">price_bid</w:t>
            </w:r>
            <w:r>
              <w:t xml:space="preserve">, </w:t>
            </w:r>
            <w:r>
              <w:rPr>
                <w:rStyle w:val="CodeChar"/>
              </w:rPr>
              <w:t xml:space="preserve">price_ask</w:t>
            </w:r>
            <w:r>
              <w:t xml:space="preserve">, </w:t>
            </w:r>
            <w:r>
              <w:rPr>
                <w:rStyle w:val="CodeChar"/>
              </w:rPr>
              <w:t xml:space="preserve">price_mid</w:t>
            </w:r>
          </w:p>
        </w:tc>
        <w:tc>
          <w:tcPr>
            <w:tcW w:w="3033" w:type="dxa"/>
          </w:tcPr>
          <w:p>
            <w:pPr/>
            <w:r>
              <w:t xml:space="preserve">Dealer quotes, clean price in the US, dirty in Europe (pp. 118–119)</w:t>
            </w:r>
          </w:p>
        </w:tc>
        <w:tc>
          <w:tcPr>
            <w:tcW w:w="3327" w:type="dxa"/>
          </w:tcPr>
          <w:p>
            <w:pPr/>
            <w:r>
              <w:t xml:space="preserve">Bonds quoted flat when a filing is near (p. 119); flag them</w:t>
            </w:r>
          </w:p>
        </w:tc>
      </w:tr>
      <w:tr>
        <w:tc>
          <w:tcPr>
            <w:tcW w:w="3000" w:type="dxa"/>
          </w:tcPr>
          <w:p>
            <w:pPr/>
            <w:r>
              <w:rPr>
                <w:rStyle w:val="CodeChar"/>
              </w:rPr>
              <w:t xml:space="preserve">trace_last</w:t>
            </w:r>
            <w:r>
              <w:t xml:space="preserve">, </w:t>
            </w:r>
            <w:r>
              <w:rPr>
                <w:rStyle w:val="CodeChar"/>
              </w:rPr>
              <w:t xml:space="preserve">trace_volume</w:t>
            </w:r>
            <w:r>
              <w:t xml:space="preserve">, </w:t>
            </w:r>
            <w:r>
              <w:rPr>
                <w:rStyle w:val="CodeChar"/>
              </w:rPr>
              <w:t xml:space="preserve">trace_count</w:t>
            </w:r>
          </w:p>
        </w:tc>
        <w:tc>
          <w:tcPr>
            <w:tcW w:w="3033" w:type="dxa"/>
          </w:tcPr>
          <w:p>
            <w:pPr/>
            <w:r>
              <w:t xml:space="preserve">TRACE prints, daily</w:t>
            </w:r>
          </w:p>
        </w:tc>
        <w:tc>
          <w:tcPr>
            <w:tcW w:w="3327" w:type="dxa"/>
          </w:tcPr>
          <w:p>
            <w:pPr/>
            <w:r>
              <w:t xml:space="preserve">Liquidity inputs for exit cost</w:t>
            </w:r>
          </w:p>
        </w:tc>
      </w:tr>
      <w:tr>
        <w:tc>
          <w:tcPr>
            <w:tcW w:w="3000" w:type="dxa"/>
          </w:tcPr>
          <w:p>
            <w:pPr/>
            <w:r>
              <w:rPr>
                <w:rStyle w:val="CodeChar"/>
              </w:rPr>
              <w:t xml:space="preserve">bid_ask_bp</w:t>
            </w:r>
          </w:p>
        </w:tc>
        <w:tc>
          <w:tcPr>
            <w:tcW w:w="3033" w:type="dxa"/>
          </w:tcPr>
          <w:p>
            <w:pPr/>
            <w:r>
              <w:t xml:space="preserve">Ask minus bid in price points and in spread</w:t>
            </w:r>
          </w:p>
        </w:tc>
        <w:tc>
          <w:tcPr>
            <w:tcW w:w="3327" w:type="dxa"/>
          </w:tcPr>
          <w:p>
            <w:pPr/>
            <w:r>
              <w:t xml:space="preserve">Widens in stress (p. 117)</w:t>
            </w:r>
          </w:p>
        </w:tc>
      </w:tr>
      <w:tr>
        <w:tc>
          <w:tcPr>
            <w:tcW w:w="3000" w:type="dxa"/>
          </w:tcPr>
          <w:p>
            <w:pPr/>
            <w:r>
              <w:rPr>
                <w:rStyle w:val="CodeChar"/>
              </w:rPr>
              <w:t xml:space="preserve">ytw</w:t>
            </w:r>
            <w:r>
              <w:t xml:space="preserve">, </w:t>
            </w:r>
            <w:r>
              <w:rPr>
                <w:rStyle w:val="CodeChar"/>
              </w:rPr>
              <w:t xml:space="preserve">ytm</w:t>
            </w:r>
            <w:r>
              <w:t xml:space="preserve">, </w:t>
            </w:r>
            <w:r>
              <w:rPr>
                <w:rStyle w:val="CodeChar"/>
              </w:rPr>
              <w:t xml:space="preserve">oas</w:t>
            </w:r>
            <w:r>
              <w:t xml:space="preserve">, </w:t>
            </w:r>
            <w:r>
              <w:rPr>
                <w:rStyle w:val="CodeChar"/>
              </w:rPr>
              <w:t xml:space="preserve">z_spread</w:t>
            </w:r>
            <w:r>
              <w:t xml:space="preserve">, </w:t>
            </w:r>
            <w:r>
              <w:rPr>
                <w:rStyle w:val="CodeChar"/>
              </w:rPr>
              <w:t xml:space="preserve">g_spread</w:t>
            </w:r>
          </w:p>
        </w:tc>
        <w:tc>
          <w:tcPr>
            <w:tcW w:w="3033" w:type="dxa"/>
          </w:tcPr>
          <w:p>
            <w:pPr/>
            <w:r>
              <w:t xml:space="preserve">Yield to worst, yield to maturity, option-adjusted and Treasury spreads</w:t>
            </w:r>
          </w:p>
        </w:tc>
        <w:tc>
          <w:tcPr>
            <w:tcW w:w="3327" w:type="dxa"/>
          </w:tcPr>
          <w:p>
            <w:pPr/>
            <w:r>
              <w:t xml:space="preserve">The book quotes spread over the Treasury of matched tenor (p. 117)</w:t>
            </w:r>
          </w:p>
        </w:tc>
      </w:tr>
      <w:tr>
        <w:tc>
          <w:tcPr>
            <w:tcW w:w="3000" w:type="dxa"/>
          </w:tcPr>
          <w:p>
            <w:pPr/>
            <w:r>
              <w:rPr>
                <w:rStyle w:val="CodeChar"/>
              </w:rPr>
              <w:t xml:space="preserve">spread_duration</w:t>
            </w:r>
            <w:r>
              <w:t xml:space="preserve">, </w:t>
            </w:r>
            <w:r>
              <w:rPr>
                <w:rStyle w:val="CodeChar"/>
              </w:rPr>
              <w:t xml:space="preserve">mod_duration</w:t>
            </w:r>
            <w:r>
              <w:t xml:space="preserve">, </w:t>
            </w:r>
            <w:r>
              <w:rPr>
                <w:rStyle w:val="CodeChar"/>
              </w:rPr>
              <w:t xml:space="preserve">convexity</w:t>
            </w:r>
            <w:r>
              <w:t xml:space="preserve">, </w:t>
            </w:r>
            <w:r>
              <w:rPr>
                <w:rStyle w:val="CodeChar"/>
              </w:rPr>
              <w:t xml:space="preserve">dv01</w:t>
            </w:r>
          </w:p>
        </w:tc>
        <w:tc>
          <w:tcPr>
            <w:tcW w:w="3033" w:type="dxa"/>
          </w:tcPr>
          <w:p>
            <w:pPr/>
            <w:r>
              <w:t xml:space="preserve">Risk analytics from the pricing model</w:t>
            </w:r>
          </w:p>
        </w:tc>
        <w:tc>
          <w:tcPr>
            <w:tcW w:w="3327" w:type="dxa"/>
          </w:tcPr>
          <w:p>
            <w:pPr/>
            <w:r>
              <w:t xml:space="preserve">Section 9 uses spread duration</w:t>
            </w:r>
          </w:p>
        </w:tc>
      </w:tr>
      <w:tr>
        <w:tc>
          <w:tcPr>
            <w:tcW w:w="3000" w:type="dxa"/>
          </w:tcPr>
          <w:p>
            <w:pPr/>
            <w:r>
              <w:rPr>
                <w:rStyle w:val="CodeChar"/>
              </w:rPr>
              <w:t xml:space="preserve">coupon</w:t>
            </w:r>
            <w:r>
              <w:t xml:space="preserve">, </w:t>
            </w:r>
            <w:r>
              <w:rPr>
                <w:rStyle w:val="CodeChar"/>
              </w:rPr>
              <w:t xml:space="preserve">coupon_type</w:t>
            </w:r>
          </w:p>
        </w:tc>
        <w:tc>
          <w:tcPr>
            <w:tcW w:w="3033" w:type="dxa"/>
          </w:tcPr>
          <w:p>
            <w:pPr/>
            <w:r>
              <w:t xml:space="preserve">Fixed cash, PIK, or toggle (p. 125)</w:t>
            </w:r>
          </w:p>
        </w:tc>
        <w:tc>
          <w:tcPr>
            <w:tcW w:w="3327" w:type="dxa"/>
          </w:tcPr>
          <w:p>
            <w:pPr/>
            <w:r>
              <w:t xml:space="preserve">PIK toggle lowers cash coverage</w:t>
            </w:r>
          </w:p>
        </w:tc>
      </w:tr>
      <w:tr>
        <w:tc>
          <w:tcPr>
            <w:tcW w:w="3000" w:type="dxa"/>
          </w:tcPr>
          <w:p>
            <w:pPr/>
            <w:r>
              <w:rPr>
                <w:rStyle w:val="CodeChar"/>
              </w:rPr>
              <w:t xml:space="preserve">maturity</w:t>
            </w:r>
            <w:r>
              <w:t xml:space="preserve">, </w:t>
            </w:r>
            <w:r>
              <w:rPr>
                <w:rStyle w:val="CodeChar"/>
              </w:rPr>
              <w:t xml:space="preserve">next_call_date</w:t>
            </w:r>
            <w:r>
              <w:t xml:space="preserve">, </w:t>
            </w:r>
            <w:r>
              <w:rPr>
                <w:rStyle w:val="CodeChar"/>
              </w:rPr>
              <w:t xml:space="preserve">next_call_price</w:t>
            </w:r>
            <w:r>
              <w:t xml:space="preserve">, </w:t>
            </w:r>
            <w:r>
              <w:rPr>
                <w:rStyle w:val="CodeChar"/>
              </w:rPr>
              <w:t xml:space="preserve">call_schedule</w:t>
            </w:r>
          </w:p>
        </w:tc>
        <w:tc>
          <w:tcPr>
            <w:tcW w:w="3033" w:type="dxa"/>
          </w:tcPr>
          <w:p>
            <w:pPr/>
            <w:r>
              <w:t xml:space="preserve">From the indenture</w:t>
            </w:r>
          </w:p>
        </w:tc>
        <w:tc>
          <w:tcPr>
            <w:tcW w:w="3327" w:type="dxa"/>
          </w:tcPr>
          <w:p>
            <w:pPr/>
            <w:r>
              <w:t xml:space="preserve">Bonds: non-call for half the term, then par plus half the coupon (p. 357)</w:t>
            </w:r>
          </w:p>
        </w:tc>
      </w:tr>
      <w:tr>
        <w:tc>
          <w:tcPr>
            <w:tcW w:w="3000" w:type="dxa"/>
          </w:tcPr>
          <w:p>
            <w:pPr/>
            <w:r>
              <w:rPr>
                <w:rStyle w:val="CodeChar"/>
              </w:rPr>
              <w:t xml:space="preserve">amount_outstanding</w:t>
            </w:r>
            <w:r>
              <w:t xml:space="preserve">, </w:t>
            </w:r>
            <w:r>
              <w:rPr>
                <w:rStyle w:val="CodeChar"/>
              </w:rPr>
              <w:t xml:space="preserve">index_weight</w:t>
            </w:r>
          </w:p>
        </w:tc>
        <w:tc>
          <w:tcPr>
            <w:tcW w:w="3033" w:type="dxa"/>
          </w:tcPr>
          <w:p>
            <w:pPr/>
            <w:r>
              <w:t xml:space="preserve">Issue size and index membership</w:t>
            </w:r>
          </w:p>
        </w:tc>
        <w:tc>
          <w:tcPr>
            <w:tcW w:w="3327" w:type="dxa"/>
          </w:tcPr>
          <w:p>
            <w:pPr/>
            <w:r>
              <w:t xml:space="preserve">Flows at index changes</w:t>
            </w:r>
          </w:p>
        </w:tc>
      </w:tr>
      <w:tr>
        <w:tc>
          <w:tcPr>
            <w:tcW w:w="3000" w:type="dxa"/>
          </w:tcPr>
          <w:p>
            <w:pPr/>
            <w:r>
              <w:rPr>
                <w:rStyle w:val="CodeChar"/>
              </w:rPr>
              <w:t xml:space="preserve">rating_moodys</w:t>
            </w:r>
            <w:r>
              <w:t xml:space="preserve">, </w:t>
            </w:r>
            <w:r>
              <w:rPr>
                <w:rStyle w:val="CodeChar"/>
              </w:rPr>
              <w:t xml:space="preserve">rating_sp</w:t>
            </w:r>
            <w:r>
              <w:t xml:space="preserve">, </w:t>
            </w:r>
            <w:r>
              <w:rPr>
                <w:rStyle w:val="CodeChar"/>
              </w:rPr>
              <w:t xml:space="preserve">rating_fitch</w:t>
            </w:r>
            <w:r>
              <w:t xml:space="preserve">, </w:t>
            </w:r>
            <w:r>
              <w:rPr>
                <w:rStyle w:val="CodeChar"/>
              </w:rPr>
              <w:t xml:space="preserve">outlook</w:t>
            </w:r>
            <w:r>
              <w:t xml:space="preserve">, </w:t>
            </w:r>
            <w:r>
              <w:rPr>
                <w:rStyle w:val="CodeChar"/>
              </w:rPr>
              <w:t xml:space="preserve">watch</w:t>
            </w:r>
          </w:p>
        </w:tc>
        <w:tc>
          <w:tcPr>
            <w:tcW w:w="3033" w:type="dxa"/>
          </w:tcPr>
          <w:p>
            <w:pPr/>
            <w:r>
              <w:t xml:space="preserve">Agency ratings with dates</w:t>
            </w:r>
          </w:p>
        </w:tc>
        <w:tc>
          <w:tcPr>
            <w:tcW w:w="3327" w:type="dxa"/>
          </w:tcPr>
          <w:p>
            <w:pPr/>
            <w:r>
              <w:t xml:space="preserve">Ratings lag prices (p. 274)</w:t>
            </w:r>
          </w:p>
        </w:tc>
      </w:tr>
      <w:tr>
        <w:tc>
          <w:tcPr>
            <w:tcW w:w="3000" w:type="dxa"/>
          </w:tcPr>
          <w:p>
            <w:pPr/>
            <w:r>
              <w:rPr>
                <w:rStyle w:val="CodeChar"/>
              </w:rPr>
              <w:t xml:space="preserve">cds_5y</w:t>
            </w:r>
          </w:p>
        </w:tc>
        <w:tc>
          <w:tcPr>
            <w:tcW w:w="3033" w:type="dxa"/>
          </w:tcPr>
          <w:p>
            <w:pPr/>
            <w:r>
              <w:t xml:space="preserve">Single-name CDS where quoted</w:t>
            </w:r>
          </w:p>
        </w:tc>
        <w:tc>
          <w:tcPr>
            <w:tcW w:w="3327" w:type="dxa"/>
          </w:tcPr>
          <w:p>
            <w:pPr/>
            <w:r>
              <w:t xml:space="preserve">For the bond-CDS basis, outside the book</w:t>
            </w:r>
          </w:p>
        </w:tc>
      </w:tr>
      <w:tr>
        <w:tc>
          <w:tcPr>
            <w:tcW w:w="3000" w:type="dxa"/>
          </w:tcPr>
          <w:p>
            <w:pPr/>
            <w:r>
              <w:rPr>
                <w:rStyle w:val="CodeChar"/>
              </w:rPr>
              <w:t xml:space="preserve">equity_price</w:t>
            </w:r>
            <w:r>
              <w:t xml:space="preserve">, </w:t>
            </w:r>
            <w:r>
              <w:rPr>
                <w:rStyle w:val="CodeChar"/>
              </w:rPr>
              <w:t xml:space="preserve">market_cap</w:t>
            </w:r>
            <w:r>
              <w:t xml:space="preserve">, </w:t>
            </w:r>
            <w:r>
              <w:rPr>
                <w:rStyle w:val="CodeChar"/>
              </w:rPr>
              <w:t xml:space="preserve">equity_vol</w:t>
            </w:r>
            <w:r>
              <w:t xml:space="preserve">, </w:t>
            </w:r>
            <w:r>
              <w:rPr>
                <w:rStyle w:val="CodeChar"/>
              </w:rPr>
              <w:t xml:space="preserve">short_interest</w:t>
            </w:r>
          </w:p>
        </w:tc>
        <w:tc>
          <w:tcPr>
            <w:tcW w:w="3033" w:type="dxa"/>
          </w:tcPr>
          <w:p>
            <w:pPr/>
            <w:r>
              <w:t xml:space="preserve">Equity market data</w:t>
            </w:r>
          </w:p>
        </w:tc>
        <w:tc>
          <w:tcPr>
            <w:tcW w:w="3327" w:type="dxa"/>
          </w:tcPr>
          <w:p>
            <w:pPr/>
            <w:r>
              <w:t xml:space="preserve">TEV input (p. 321); short interest as a value flag (p. 333)</w:t>
            </w:r>
          </w:p>
        </w:tc>
      </w:tr>
    </w:tbl>
    <w:p>
      <w:pPr>
        <w:pStyle w:val="Heading3"/>
      </w:pPr>
      <w:r>
        <w:t xml:space="preserve">3.2 Issuer financials (per issuer, each filing)</w:t>
      </w:r>
    </w:p>
    <w:tbl>
      <w:tblPr>
        <w:tblStyle w:val="TableGrid"/>
        <w:tblW w:w="0" w:type="auto"/>
        <w:tblLayout w:type="fixed"/>
        <w:tblLook w:val="04A0" w:firstRow="1" w:lastRow="0" w:firstColumn="0" w:lastColumn="0" w:noHBand="0" w:noVBand="1"/>
      </w:tblPr>
      <w:tblGrid>
        <w:gridCol w:w="3571"/>
        <w:gridCol w:w="2567"/>
        <w:gridCol w:w="3221"/>
      </w:tblGrid>
      <w:tr>
        <w:trPr>
          <w:tblHeader/>
        </w:trPr>
        <w:tc>
          <w:tcPr>
            <w:tcW w:w="3571" w:type="dxa"/>
            <w:shd w:val="clear" w:color="auto" w:fill="F2F2F2"/>
          </w:tcPr>
          <w:p>
            <w:pPr/>
            <w:r>
              <w:t xml:space="preserve">Field</w:t>
            </w:r>
          </w:p>
        </w:tc>
        <w:tc>
          <w:tcPr>
            <w:tcW w:w="2567" w:type="dxa"/>
            <w:shd w:val="clear" w:color="auto" w:fill="F2F2F2"/>
          </w:tcPr>
          <w:p>
            <w:pPr/>
            <w:r>
              <w:t xml:space="preserve">Definition or source</w:t>
            </w:r>
          </w:p>
        </w:tc>
        <w:tc>
          <w:tcPr>
            <w:tcW w:w="3221" w:type="dxa"/>
            <w:shd w:val="clear" w:color="auto" w:fill="F2F2F2"/>
          </w:tcPr>
          <w:p>
            <w:pPr/>
            <w:r>
              <w:t xml:space="preserve">Note</w:t>
            </w:r>
          </w:p>
        </w:tc>
      </w:tr>
      <w:tr>
        <w:tc>
          <w:tcPr>
            <w:tcW w:w="3571" w:type="dxa"/>
          </w:tcPr>
          <w:p>
            <w:pPr/>
            <w:r>
              <w:rPr>
                <w:rStyle w:val="CodeChar"/>
              </w:rPr>
              <w:t xml:space="preserve">revenue</w:t>
            </w:r>
            <w:r>
              <w:t xml:space="preserve">, </w:t>
            </w:r>
            <w:r>
              <w:rPr>
                <w:rStyle w:val="CodeChar"/>
              </w:rPr>
              <w:t xml:space="preserve">gross_profit</w:t>
            </w:r>
            <w:r>
              <w:t xml:space="preserve">, </w:t>
            </w:r>
            <w:r>
              <w:rPr>
                <w:rStyle w:val="CodeChar"/>
              </w:rPr>
              <w:t xml:space="preserve">sga</w:t>
            </w:r>
            <w:r>
              <w:t xml:space="preserve">, </w:t>
            </w:r>
            <w:r>
              <w:rPr>
                <w:rStyle w:val="CodeChar"/>
              </w:rPr>
              <w:t xml:space="preserve">ebitda_reported</w:t>
            </w:r>
          </w:p>
        </w:tc>
        <w:tc>
          <w:tcPr>
            <w:tcW w:w="2567" w:type="dxa"/>
          </w:tcPr>
          <w:p>
            <w:pPr/>
            <w:r>
              <w:t xml:space="preserve">Income statement, 10-K and 10-Q</w:t>
            </w:r>
          </w:p>
        </w:tc>
        <w:tc>
          <w:tcPr>
            <w:tcW w:w="3221" w:type="dxa"/>
          </w:tcPr>
          <w:p>
            <w:pPr/>
            <w:r>
              <w:t xml:space="preserve">Keep a full cycle of history for a cyclical issuer (p. 191)</w:t>
            </w:r>
          </w:p>
        </w:tc>
      </w:tr>
      <w:tr>
        <w:tc>
          <w:tcPr>
            <w:tcW w:w="3571" w:type="dxa"/>
          </w:tcPr>
          <w:p>
            <w:pPr/>
            <w:r>
              <w:rPr>
                <w:rStyle w:val="CodeChar"/>
              </w:rPr>
              <w:t xml:space="preserve">nonrecurring_items[]</w:t>
            </w:r>
          </w:p>
        </w:tc>
        <w:tc>
          <w:tcPr>
            <w:tcW w:w="2567" w:type="dxa"/>
          </w:tcPr>
          <w:p>
            <w:pPr/>
            <w:r>
              <w:t xml:space="preserve">Cash and non-cash restructuring, M&amp;A costs, asset sale gains, litigation (Figure 7.3, p. 192)</w:t>
            </w:r>
          </w:p>
        </w:tc>
        <w:tc>
          <w:tcPr>
            <w:tcW w:w="3221" w:type="dxa"/>
          </w:tcPr>
          <w:p>
            <w:pPr/>
            <w:r>
              <w:t xml:space="preserve">Each item with a recur flag and a cash flag</w:t>
            </w:r>
          </w:p>
        </w:tc>
      </w:tr>
      <w:tr>
        <w:tc>
          <w:tcPr>
            <w:tcW w:w="3571" w:type="dxa"/>
          </w:tcPr>
          <w:p>
            <w:pPr/>
            <w:r>
              <w:rPr>
                <w:rStyle w:val="CodeChar"/>
              </w:rPr>
              <w:t xml:space="preserve">ebitda_adj_analyst</w:t>
            </w:r>
            <w:r>
              <w:t xml:space="preserve">, </w:t>
            </w:r>
            <w:r>
              <w:rPr>
                <w:rStyle w:val="CodeChar"/>
              </w:rPr>
              <w:t xml:space="preserve">ebitda_adj_company</w:t>
            </w:r>
            <w:r>
              <w:t xml:space="preserve">, </w:t>
            </w:r>
            <w:r>
              <w:rPr>
                <w:rStyle w:val="CodeChar"/>
              </w:rPr>
              <w:t xml:space="preserve">ebitda_covenant</w:t>
            </w:r>
          </w:p>
        </w:tc>
        <w:tc>
          <w:tcPr>
            <w:tcW w:w="2567" w:type="dxa"/>
          </w:tcPr>
          <w:p>
            <w:pPr/>
            <w:r>
              <w:t xml:space="preserve">Three EBITDA definitions</w:t>
            </w:r>
          </w:p>
        </w:tc>
        <w:tc>
          <w:tcPr>
            <w:tcW w:w="3221" w:type="dxa"/>
          </w:tcPr>
          <w:p>
            <w:pPr/>
            <w:r>
              <w:t xml:space="preserve">The covenant definition permits add-backs the analyst would reject (pp. 353–354)</w:t>
            </w:r>
          </w:p>
        </w:tc>
      </w:tr>
      <w:tr>
        <w:tc>
          <w:tcPr>
            <w:tcW w:w="3571" w:type="dxa"/>
          </w:tcPr>
          <w:p>
            <w:pPr/>
            <w:r>
              <w:rPr>
                <w:rStyle w:val="CodeChar"/>
              </w:rPr>
              <w:t xml:space="preserve">da</w:t>
            </w:r>
            <w:r>
              <w:t xml:space="preserve">, </w:t>
            </w:r>
            <w:r>
              <w:rPr>
                <w:rStyle w:val="CodeChar"/>
              </w:rPr>
              <w:t xml:space="preserve">cash_interest</w:t>
            </w:r>
            <w:r>
              <w:t xml:space="preserve">, </w:t>
            </w:r>
            <w:r>
              <w:rPr>
                <w:rStyle w:val="CodeChar"/>
              </w:rPr>
              <w:t xml:space="preserve">cash_taxes</w:t>
            </w:r>
            <w:r>
              <w:t xml:space="preserve">, </w:t>
            </w:r>
            <w:r>
              <w:rPr>
                <w:rStyle w:val="CodeChar"/>
              </w:rPr>
              <w:t xml:space="preserve">capex_total</w:t>
            </w:r>
            <w:r>
              <w:t xml:space="preserve">, </w:t>
            </w:r>
            <w:r>
              <w:rPr>
                <w:rStyle w:val="CodeChar"/>
              </w:rPr>
              <w:t xml:space="preserve">capex_maintenance</w:t>
            </w:r>
          </w:p>
        </w:tc>
        <w:tc>
          <w:tcPr>
            <w:tcW w:w="2567" w:type="dxa"/>
          </w:tcPr>
          <w:p>
            <w:pPr/>
            <w:r>
              <w:t xml:space="preserve">Cash flow statement and notes</w:t>
            </w:r>
          </w:p>
        </w:tc>
        <w:tc>
          <w:tcPr>
            <w:tcW w:w="3221" w:type="dxa"/>
          </w:tcPr>
          <w:p>
            <w:pPr/>
            <w:r>
              <w:t xml:space="preserve">Maintenance capex sets the cushion (p. 266)</w:t>
            </w:r>
          </w:p>
        </w:tc>
      </w:tr>
      <w:tr>
        <w:tc>
          <w:tcPr>
            <w:tcW w:w="3571" w:type="dxa"/>
          </w:tcPr>
          <w:p>
            <w:pPr/>
            <w:r>
              <w:rPr>
                <w:rStyle w:val="CodeChar"/>
              </w:rPr>
              <w:t xml:space="preserve">inventory</w:t>
            </w:r>
            <w:r>
              <w:t xml:space="preserve">, </w:t>
            </w:r>
            <w:r>
              <w:rPr>
                <w:rStyle w:val="CodeChar"/>
              </w:rPr>
              <w:t xml:space="preserve">receivables</w:t>
            </w:r>
            <w:r>
              <w:t xml:space="preserve">, </w:t>
            </w:r>
            <w:r>
              <w:rPr>
                <w:rStyle w:val="CodeChar"/>
              </w:rPr>
              <w:t xml:space="preserve">payables</w:t>
            </w:r>
            <w:r>
              <w:t xml:space="preserve">, </w:t>
            </w:r>
            <w:r>
              <w:rPr>
                <w:rStyle w:val="CodeChar"/>
              </w:rPr>
              <w:t xml:space="preserve">cogs</w:t>
            </w:r>
          </w:p>
        </w:tc>
        <w:tc>
          <w:tcPr>
            <w:tcW w:w="2567" w:type="dxa"/>
          </w:tcPr>
          <w:p>
            <w:pPr/>
            <w:r>
              <w:t xml:space="preserve">Balance sheet</w:t>
            </w:r>
          </w:p>
        </w:tc>
        <w:tc>
          <w:tcPr>
            <w:tcW w:w="3221" w:type="dxa"/>
          </w:tcPr>
          <w:p>
            <w:pPr/>
            <w:r>
              <w:t xml:space="preserve">Cash cycle inputs (pp. 240–242)</w:t>
            </w:r>
          </w:p>
        </w:tc>
      </w:tr>
      <w:tr>
        <w:tc>
          <w:tcPr>
            <w:tcW w:w="3571" w:type="dxa"/>
          </w:tcPr>
          <w:p>
            <w:pPr/>
            <w:r>
              <w:rPr>
                <w:rStyle w:val="CodeChar"/>
              </w:rPr>
              <w:t xml:space="preserve">cash</w:t>
            </w:r>
            <w:r>
              <w:t xml:space="preserve">, </w:t>
            </w:r>
            <w:r>
              <w:rPr>
                <w:rStyle w:val="CodeChar"/>
              </w:rPr>
              <w:t xml:space="preserve">revolver_commitment</w:t>
            </w:r>
            <w:r>
              <w:t xml:space="preserve">, </w:t>
            </w:r>
            <w:r>
              <w:rPr>
                <w:rStyle w:val="CodeChar"/>
              </w:rPr>
              <w:t xml:space="preserve">revolver_drawn</w:t>
            </w:r>
            <w:r>
              <w:t xml:space="preserve">, </w:t>
            </w:r>
            <w:r>
              <w:rPr>
                <w:rStyle w:val="CodeChar"/>
              </w:rPr>
              <w:t xml:space="preserve">borrowing_base</w:t>
            </w:r>
            <w:r>
              <w:t xml:space="preserve">, </w:t>
            </w:r>
            <w:r>
              <w:rPr>
                <w:rStyle w:val="CodeChar"/>
              </w:rPr>
              <w:t xml:space="preserve">letters_of_credit</w:t>
            </w:r>
          </w:p>
        </w:tc>
        <w:tc>
          <w:tcPr>
            <w:tcW w:w="2567" w:type="dxa"/>
          </w:tcPr>
          <w:p>
            <w:pPr/>
            <w:r>
              <w:t xml:space="preserve">Liquidity inputs (Figure 8.3, p. 229)</w:t>
            </w:r>
          </w:p>
        </w:tc>
        <w:tc>
          <w:tcPr>
            <w:tcW w:w="3221" w:type="dxa"/>
          </w:tcPr>
          <w:p>
            <w:pPr/>
            <w:r>
              <w:t xml:space="preserve">Borrowing base limits the ABL (p. 234)</w:t>
            </w:r>
          </w:p>
        </w:tc>
      </w:tr>
      <w:tr>
        <w:tc>
          <w:tcPr>
            <w:tcW w:w="3571" w:type="dxa"/>
          </w:tcPr>
          <w:p>
            <w:pPr/>
            <w:r>
              <w:rPr>
                <w:rStyle w:val="CodeChar"/>
              </w:rPr>
              <w:t xml:space="preserve">maturity_schedule[1..5]</w:t>
            </w:r>
          </w:p>
        </w:tc>
        <w:tc>
          <w:tcPr>
            <w:tcW w:w="2567" w:type="dxa"/>
          </w:tcPr>
          <w:p>
            <w:pPr/>
            <w:r>
              <w:t xml:space="preserve">Debt due in each of the next five years (Figure 8.4, p. 229)</w:t>
            </w:r>
          </w:p>
        </w:tc>
        <w:tc>
          <w:tcPr>
            <w:tcW w:w="3221" w:type="dxa"/>
          </w:tcPr>
          <w:p>
            <w:pPr/>
            <w:r>
              <w:t xml:space="preserve">Drives refinance events</w:t>
            </w:r>
          </w:p>
        </w:tc>
      </w:tr>
      <w:tr>
        <w:tc>
          <w:tcPr>
            <w:tcW w:w="3571" w:type="dxa"/>
          </w:tcPr>
          <w:p>
            <w:pPr/>
            <w:r>
              <w:rPr>
                <w:rStyle w:val="CodeChar"/>
              </w:rPr>
              <w:t xml:space="preserve">operating_lease_liability</w:t>
            </w:r>
            <w:r>
              <w:t xml:space="preserve">, </w:t>
            </w:r>
            <w:r>
              <w:rPr>
                <w:rStyle w:val="CodeChar"/>
              </w:rPr>
              <w:t xml:space="preserve">rent_expense</w:t>
            </w:r>
            <w:r>
              <w:t xml:space="preserve">, </w:t>
            </w:r>
            <w:r>
              <w:rPr>
                <w:rStyle w:val="CodeChar"/>
              </w:rPr>
              <w:t xml:space="preserve">finance_lease_debt</w:t>
            </w:r>
          </w:p>
        </w:tc>
        <w:tc>
          <w:tcPr>
            <w:tcW w:w="2567" w:type="dxa"/>
          </w:tcPr>
          <w:p>
            <w:pPr/>
            <w:r>
              <w:t xml:space="preserve">Lease note</w:t>
            </w:r>
          </w:p>
        </w:tc>
        <w:tc>
          <w:tcPr>
            <w:tcW w:w="3221" w:type="dxa"/>
          </w:tcPr>
          <w:p>
            <w:pPr/>
            <w:r>
              <w:t xml:space="preserve">Lease-adjusted leverage (pp. 267–268)</w:t>
            </w:r>
          </w:p>
        </w:tc>
      </w:tr>
      <w:tr>
        <w:tc>
          <w:tcPr>
            <w:tcW w:w="3571" w:type="dxa"/>
          </w:tcPr>
          <w:p>
            <w:pPr/>
            <w:r>
              <w:rPr>
                <w:rStyle w:val="CodeChar"/>
              </w:rPr>
              <w:t xml:space="preserve">pension_underfunded</w:t>
            </w:r>
            <w:r>
              <w:t xml:space="preserve">, </w:t>
            </w:r>
            <w:r>
              <w:rPr>
                <w:rStyle w:val="CodeChar"/>
              </w:rPr>
              <w:t xml:space="preserve">guarantees</w:t>
            </w:r>
            <w:r>
              <w:t xml:space="preserve">, </w:t>
            </w:r>
            <w:r>
              <w:rPr>
                <w:rStyle w:val="CodeChar"/>
              </w:rPr>
              <w:t xml:space="preserve">contingent_liabilities</w:t>
            </w:r>
          </w:p>
        </w:tc>
        <w:tc>
          <w:tcPr>
            <w:tcW w:w="2567" w:type="dxa"/>
          </w:tcPr>
          <w:p>
            <w:pPr/>
            <w:r>
              <w:t xml:space="preserve">Notes to the accounts</w:t>
            </w:r>
          </w:p>
        </w:tc>
        <w:tc>
          <w:tcPr>
            <w:tcW w:w="3221" w:type="dxa"/>
          </w:tcPr>
          <w:p>
            <w:pPr/>
            <w:r>
              <w:t xml:space="preserve">Treat franchisee guarantees as debt when the guaranteed party is weak (p. 273)</w:t>
            </w:r>
          </w:p>
        </w:tc>
      </w:tr>
      <w:tr>
        <w:tc>
          <w:tcPr>
            <w:tcW w:w="3571" w:type="dxa"/>
          </w:tcPr>
          <w:p>
            <w:pPr/>
            <w:r>
              <w:rPr>
                <w:rStyle w:val="CodeChar"/>
              </w:rPr>
              <w:t xml:space="preserve">orders</w:t>
            </w:r>
            <w:r>
              <w:t xml:space="preserve">, </w:t>
            </w:r>
            <w:r>
              <w:rPr>
                <w:rStyle w:val="CodeChar"/>
              </w:rPr>
              <w:t xml:space="preserve">backlog</w:t>
            </w:r>
            <w:r>
              <w:t xml:space="preserve">, </w:t>
            </w:r>
            <w:r>
              <w:rPr>
                <w:rStyle w:val="CodeChar"/>
              </w:rPr>
              <w:t xml:space="preserve">book_to_bill</w:t>
            </w:r>
          </w:p>
        </w:tc>
        <w:tc>
          <w:tcPr>
            <w:tcW w:w="2567" w:type="dxa"/>
          </w:tcPr>
          <w:p>
            <w:pPr/>
            <w:r>
              <w:t xml:space="preserve">Where disclosed</w:t>
            </w:r>
          </w:p>
        </w:tc>
        <w:tc>
          <w:tcPr>
            <w:tcW w:w="3221" w:type="dxa"/>
          </w:tcPr>
          <w:p>
            <w:pPr/>
            <w:r>
              <w:t xml:space="preserve">Leading revenue indicator (p. 207)</w:t>
            </w:r>
          </w:p>
        </w:tc>
      </w:tr>
      <w:tr>
        <w:tc>
          <w:tcPr>
            <w:tcW w:w="3571" w:type="dxa"/>
          </w:tcPr>
          <w:p>
            <w:pPr/>
            <w:r>
              <w:rPr>
                <w:rStyle w:val="CodeChar"/>
              </w:rPr>
              <w:t xml:space="preserve">segment_revenue[]</w:t>
            </w:r>
            <w:r>
              <w:t xml:space="preserve">, </w:t>
            </w:r>
            <w:r>
              <w:rPr>
                <w:rStyle w:val="CodeChar"/>
              </w:rPr>
              <w:t xml:space="preserve">segment_ebitda[]</w:t>
            </w:r>
          </w:p>
        </w:tc>
        <w:tc>
          <w:tcPr>
            <w:tcW w:w="2567" w:type="dxa"/>
          </w:tcPr>
          <w:p>
            <w:pPr/>
            <w:r>
              <w:t xml:space="preserve">Segment note</w:t>
            </w:r>
          </w:p>
        </w:tc>
        <w:tc>
          <w:tcPr>
            <w:tcW w:w="3221" w:type="dxa"/>
          </w:tcPr>
          <w:p>
            <w:pPr/>
            <w:r>
              <w:t xml:space="preserve">Peer comparison by segment</w:t>
            </w:r>
          </w:p>
        </w:tc>
      </w:tr>
      <w:tr>
        <w:tc>
          <w:tcPr>
            <w:tcW w:w="3571" w:type="dxa"/>
          </w:tcPr>
          <w:p>
            <w:pPr/>
            <w:r>
              <w:rPr>
                <w:rStyle w:val="CodeChar"/>
              </w:rPr>
              <w:t xml:space="preserve">guidance_revenue</w:t>
            </w:r>
            <w:r>
              <w:t xml:space="preserve">, </w:t>
            </w:r>
            <w:r>
              <w:rPr>
                <w:rStyle w:val="CodeChar"/>
              </w:rPr>
              <w:t xml:space="preserve">guidance_ebitda</w:t>
            </w:r>
            <w:r>
              <w:t xml:space="preserve">, </w:t>
            </w:r>
            <w:r>
              <w:rPr>
                <w:rStyle w:val="CodeChar"/>
              </w:rPr>
              <w:t xml:space="preserve">guidance_capex</w:t>
            </w:r>
          </w:p>
        </w:tc>
        <w:tc>
          <w:tcPr>
            <w:tcW w:w="2567" w:type="dxa"/>
          </w:tcPr>
          <w:p>
            <w:pPr/>
            <w:r>
              <w:t xml:space="preserve">Management guidance with date</w:t>
            </w:r>
          </w:p>
        </w:tc>
        <w:tc>
          <w:tcPr>
            <w:tcW w:w="3221" w:type="dxa"/>
          </w:tcPr>
          <w:p>
            <w:pPr/>
            <w:r>
              <w:t xml:space="preserve">The management case (p. 285)</w:t>
            </w:r>
          </w:p>
        </w:tc>
      </w:tr>
      <w:tr>
        <w:tc>
          <w:tcPr>
            <w:tcW w:w="3571" w:type="dxa"/>
          </w:tcPr>
          <w:p>
            <w:pPr/>
            <w:r>
              <w:rPr>
                <w:rStyle w:val="CodeChar"/>
              </w:rPr>
              <w:t xml:space="preserve">filing_date</w:t>
            </w:r>
          </w:p>
        </w:tc>
        <w:tc>
          <w:tcPr>
            <w:tcW w:w="2567" w:type="dxa"/>
          </w:tcPr>
          <w:p>
            <w:pPr/>
            <w:r>
              <w:t xml:space="preserve">SEC acceptance timestamp</w:t>
            </w:r>
          </w:p>
        </w:tc>
        <w:tc>
          <w:tcPr>
            <w:tcW w:w="3221" w:type="dxa"/>
          </w:tcPr>
          <w:p>
            <w:pPr/>
            <w:r>
              <w:t xml:space="preserve">Sets </w:t>
            </w:r>
            <w:r>
              <w:rPr>
                <w:rStyle w:val="CodeChar"/>
              </w:rPr>
              <w:t xml:space="preserve">available_at</w:t>
            </w:r>
          </w:p>
        </w:tc>
      </w:tr>
    </w:tbl>
    <w:p>
      <w:pPr>
        <w:pStyle w:val="Heading3"/>
      </w:pPr>
      <w:r>
        <w:t xml:space="preserve">3.3 Capital structure table (per tranche, each filing and each new issue)</w:t>
      </w:r>
    </w:p>
    <w:p>
      <w:pPr/>
      <w:r>
        <w:t xml:space="preserve">The book builds this table first (Figure 9.6, p. 261). It is also the list of candidate instruments.</w:t>
      </w:r>
    </w:p>
    <w:tbl>
      <w:tblPr>
        <w:tblStyle w:val="TableGrid"/>
        <w:tblW w:w="0" w:type="auto"/>
        <w:tblLayout w:type="fixed"/>
        <w:tblLook w:val="04A0" w:firstRow="1" w:lastRow="0" w:firstColumn="0" w:lastColumn="0" w:noHBand="0" w:noVBand="1"/>
      </w:tblPr>
      <w:tblGrid>
        <w:gridCol w:w="2387"/>
        <w:gridCol w:w="3758"/>
        <w:gridCol w:w="3214"/>
      </w:tblGrid>
      <w:tr>
        <w:trPr>
          <w:tblHeader/>
        </w:trPr>
        <w:tc>
          <w:tcPr>
            <w:tcW w:w="2387" w:type="dxa"/>
            <w:shd w:val="clear" w:color="auto" w:fill="F2F2F2"/>
          </w:tcPr>
          <w:p>
            <w:pPr/>
            <w:r>
              <w:t xml:space="preserve">Field</w:t>
            </w:r>
          </w:p>
        </w:tc>
        <w:tc>
          <w:tcPr>
            <w:tcW w:w="3758" w:type="dxa"/>
            <w:shd w:val="clear" w:color="auto" w:fill="F2F2F2"/>
          </w:tcPr>
          <w:p>
            <w:pPr/>
            <w:r>
              <w:t xml:space="preserve">Definition or source</w:t>
            </w:r>
          </w:p>
        </w:tc>
        <w:tc>
          <w:tcPr>
            <w:tcW w:w="3214" w:type="dxa"/>
            <w:shd w:val="clear" w:color="auto" w:fill="F2F2F2"/>
          </w:tcPr>
          <w:p>
            <w:pPr/>
            <w:r>
              <w:t xml:space="preserve">Note</w:t>
            </w:r>
          </w:p>
        </w:tc>
      </w:tr>
      <w:tr>
        <w:tc>
          <w:tcPr>
            <w:tcW w:w="2387" w:type="dxa"/>
          </w:tcPr>
          <w:p>
            <w:pPr/>
            <w:r>
              <w:rPr>
                <w:rStyle w:val="CodeChar"/>
              </w:rPr>
              <w:t xml:space="preserve">tranche_id</w:t>
            </w:r>
            <w:r>
              <w:t xml:space="preserve">, </w:t>
            </w:r>
            <w:r>
              <w:rPr>
                <w:rStyle w:val="CodeChar"/>
              </w:rPr>
              <w:t xml:space="preserve">issuer_entity</w:t>
            </w:r>
            <w:r>
              <w:t xml:space="preserve">, </w:t>
            </w:r>
            <w:r>
              <w:rPr>
                <w:rStyle w:val="CodeChar"/>
              </w:rPr>
              <w:t xml:space="preserve">guarantors[]</w:t>
            </w:r>
          </w:p>
        </w:tc>
        <w:tc>
          <w:tcPr>
            <w:tcW w:w="3758" w:type="dxa"/>
          </w:tcPr>
          <w:p>
            <w:pPr/>
            <w:r>
              <w:t xml:space="preserve">Legal issuer and guarantee set</w:t>
            </w:r>
          </w:p>
        </w:tc>
        <w:tc>
          <w:tcPr>
            <w:tcW w:w="3214" w:type="dxa"/>
          </w:tcPr>
          <w:p>
            <w:pPr/>
            <w:r>
              <w:t xml:space="preserve">Structural subordination (Chapter 17)</w:t>
            </w:r>
          </w:p>
        </w:tc>
      </w:tr>
      <w:tr>
        <w:tc>
          <w:tcPr>
            <w:tcW w:w="2387" w:type="dxa"/>
          </w:tcPr>
          <w:p>
            <w:pPr/>
            <w:r>
              <w:rPr>
                <w:rStyle w:val="CodeChar"/>
              </w:rPr>
              <w:t xml:space="preserve">tranche_type</w:t>
            </w:r>
          </w:p>
        </w:tc>
        <w:tc>
          <w:tcPr>
            <w:tcW w:w="3758" w:type="dxa"/>
          </w:tcPr>
          <w:p>
            <w:pPr/>
            <w:r>
              <w:t xml:space="preserve">ABL, first lien term loan, second lien, senior unsecured, subordinated, capital lease</w:t>
            </w:r>
          </w:p>
        </w:tc>
        <w:tc>
          <w:tcPr>
            <w:tcW w:w="3214" w:type="dxa"/>
          </w:tcPr>
          <w:p>
            <w:pPr/>
            <w:r>
              <w:t xml:space="preserve">Order of priority (Figure 9.7, p. 264)</w:t>
            </w:r>
          </w:p>
        </w:tc>
      </w:tr>
      <w:tr>
        <w:tc>
          <w:tcPr>
            <w:tcW w:w="2387" w:type="dxa"/>
          </w:tcPr>
          <w:p>
            <w:pPr/>
            <w:r>
              <w:rPr>
                <w:rStyle w:val="CodeChar"/>
              </w:rPr>
              <w:t xml:space="preserve">rank</w:t>
            </w:r>
          </w:p>
        </w:tc>
        <w:tc>
          <w:tcPr>
            <w:tcW w:w="3758" w:type="dxa"/>
          </w:tcPr>
          <w:p>
            <w:pPr/>
            <w:r>
              <w:t xml:space="preserve">Integer priority in the waterfall</w:t>
            </w:r>
          </w:p>
        </w:tc>
        <w:tc>
          <w:tcPr>
            <w:tcW w:w="3214" w:type="dxa"/>
          </w:tcPr>
          <w:p>
            <w:pPr/>
            <w:r>
              <w:t xml:space="preserve">1 is paid first</w:t>
            </w:r>
          </w:p>
        </w:tc>
      </w:tr>
      <w:tr>
        <w:tc>
          <w:tcPr>
            <w:tcW w:w="2387" w:type="dxa"/>
          </w:tcPr>
          <w:p>
            <w:pPr/>
            <w:r>
              <w:rPr>
                <w:rStyle w:val="CodeChar"/>
              </w:rPr>
              <w:t xml:space="preserve">collateral</w:t>
            </w:r>
          </w:p>
        </w:tc>
        <w:tc>
          <w:tcPr>
            <w:tcW w:w="3758" w:type="dxa"/>
          </w:tcPr>
          <w:p>
            <w:pPr/>
            <w:r>
              <w:t xml:space="preserve">Description and share of asset value</w:t>
            </w:r>
          </w:p>
        </w:tc>
        <w:tc>
          <w:tcPr>
            <w:tcW w:w="3214" w:type="dxa"/>
          </w:tcPr>
          <w:p>
            <w:pPr/>
            <w:r>
              <w:t xml:space="preserve">Section 6</w:t>
            </w:r>
          </w:p>
        </w:tc>
      </w:tr>
      <w:tr>
        <w:tc>
          <w:tcPr>
            <w:tcW w:w="2387" w:type="dxa"/>
          </w:tcPr>
          <w:p>
            <w:pPr/>
            <w:r>
              <w:rPr>
                <w:rStyle w:val="CodeChar"/>
              </w:rPr>
              <w:t xml:space="preserve">face</w:t>
            </w:r>
            <w:r>
              <w:t xml:space="preserve">, </w:t>
            </w:r>
            <w:r>
              <w:rPr>
                <w:rStyle w:val="CodeChar"/>
              </w:rPr>
              <w:t xml:space="preserve">price</w:t>
            </w:r>
            <w:r>
              <w:t xml:space="preserve">, </w:t>
            </w:r>
            <w:r>
              <w:rPr>
                <w:rStyle w:val="CodeChar"/>
              </w:rPr>
              <w:t xml:space="preserve">market_value</w:t>
            </w:r>
          </w:p>
        </w:tc>
        <w:tc>
          <w:tcPr>
            <w:tcW w:w="3758" w:type="dxa"/>
          </w:tcPr>
          <w:p>
            <w:pPr/>
            <w:r>
              <w:t xml:space="preserve">Face amount and current value</w:t>
            </w:r>
          </w:p>
        </w:tc>
        <w:tc>
          <w:tcPr>
            <w:tcW w:w="3214" w:type="dxa"/>
          </w:tcPr>
          <w:p>
            <w:pPr/>
            <w:r>
              <w:t xml:space="preserve">Market value only for the tranche under analysis (p. 264)</w:t>
            </w:r>
          </w:p>
        </w:tc>
      </w:tr>
      <w:tr>
        <w:tc>
          <w:tcPr>
            <w:tcW w:w="2387" w:type="dxa"/>
          </w:tcPr>
          <w:p>
            <w:pPr/>
            <w:r>
              <w:rPr>
                <w:rStyle w:val="CodeChar"/>
              </w:rPr>
              <w:t xml:space="preserve">coupon</w:t>
            </w:r>
            <w:r>
              <w:t xml:space="preserve">, </w:t>
            </w:r>
            <w:r>
              <w:rPr>
                <w:rStyle w:val="CodeChar"/>
              </w:rPr>
              <w:t xml:space="preserve">floating_flag</w:t>
            </w:r>
            <w:r>
              <w:t xml:space="preserve">, </w:t>
            </w:r>
            <w:r>
              <w:rPr>
                <w:rStyle w:val="CodeChar"/>
              </w:rPr>
              <w:t xml:space="preserve">floor</w:t>
            </w:r>
            <w:r>
              <w:t xml:space="preserve">, </w:t>
            </w:r>
            <w:r>
              <w:rPr>
                <w:rStyle w:val="CodeChar"/>
              </w:rPr>
              <w:t xml:space="preserve">maturity</w:t>
            </w:r>
          </w:p>
        </w:tc>
        <w:tc>
          <w:tcPr>
            <w:tcW w:w="3758" w:type="dxa"/>
          </w:tcPr>
          <w:p>
            <w:pPr/>
            <w:r>
              <w:t xml:space="preserve">Economic terms</w:t>
            </w:r>
          </w:p>
        </w:tc>
        <w:tc>
          <w:tcPr>
            <w:tcW w:w="3214" w:type="dxa"/>
          </w:tcPr>
          <w:p>
            <w:pPr/>
            <w:r>
              <w:t xml:space="preserve">Loans float; bonds are fixed (p. 357)</w:t>
            </w:r>
          </w:p>
        </w:tc>
      </w:tr>
      <w:tr>
        <w:tc>
          <w:tcPr>
            <w:tcW w:w="2387" w:type="dxa"/>
          </w:tcPr>
          <w:p>
            <w:pPr/>
            <w:r>
              <w:rPr>
                <w:rStyle w:val="CodeChar"/>
              </w:rPr>
              <w:t xml:space="preserve">rating_tranche</w:t>
            </w:r>
          </w:p>
        </w:tc>
        <w:tc>
          <w:tcPr>
            <w:tcW w:w="3758" w:type="dxa"/>
          </w:tcPr>
          <w:p>
            <w:pPr/>
            <w:r>
              <w:t xml:space="preserve">Instrument rating</w:t>
            </w:r>
          </w:p>
        </w:tc>
        <w:tc>
          <w:tcPr>
            <w:tcW w:w="3214" w:type="dxa"/>
          </w:tcPr>
          <w:p>
            <w:pPr/>
            <w:r>
              <w:t xml:space="preserve">Differs from the corporate rating</w:t>
            </w:r>
          </w:p>
        </w:tc>
      </w:tr>
    </w:tbl>
    <w:p>
      <w:pPr>
        <w:pStyle w:val="Heading3"/>
      </w:pPr>
      <w:r>
        <w:t xml:space="preserve">3.4 Document features (per instrument, from the indenture or credit agreement)</w:t>
      </w:r>
    </w:p>
    <w:tbl>
      <w:tblPr>
        <w:tblStyle w:val="TableGrid"/>
        <w:tblW w:w="0" w:type="auto"/>
        <w:tblLayout w:type="fixed"/>
        <w:tblLook w:val="04A0" w:firstRow="1" w:lastRow="0" w:firstColumn="0" w:lastColumn="0" w:noHBand="0" w:noVBand="1"/>
      </w:tblPr>
      <w:tblGrid>
        <w:gridCol w:w="3120"/>
        <w:gridCol w:w="2913"/>
        <w:gridCol w:w="3327"/>
      </w:tblGrid>
      <w:tr>
        <w:trPr>
          <w:tblHeader/>
        </w:trPr>
        <w:tc>
          <w:tcPr>
            <w:tcW w:w="3120" w:type="dxa"/>
            <w:shd w:val="clear" w:color="auto" w:fill="F2F2F2"/>
          </w:tcPr>
          <w:p>
            <w:pPr/>
            <w:r>
              <w:t xml:space="preserve">Field</w:t>
            </w:r>
          </w:p>
        </w:tc>
        <w:tc>
          <w:tcPr>
            <w:tcW w:w="2913" w:type="dxa"/>
            <w:shd w:val="clear" w:color="auto" w:fill="F2F2F2"/>
          </w:tcPr>
          <w:p>
            <w:pPr/>
            <w:r>
              <w:t xml:space="preserve">Definition or source</w:t>
            </w:r>
          </w:p>
        </w:tc>
        <w:tc>
          <w:tcPr>
            <w:tcW w:w="3327" w:type="dxa"/>
            <w:shd w:val="clear" w:color="auto" w:fill="F2F2F2"/>
          </w:tcPr>
          <w:p>
            <w:pPr/>
            <w:r>
              <w:t xml:space="preserve">Note</w:t>
            </w:r>
          </w:p>
        </w:tc>
      </w:tr>
      <w:tr>
        <w:tc>
          <w:tcPr>
            <w:tcW w:w="3120" w:type="dxa"/>
          </w:tcPr>
          <w:p>
            <w:pPr/>
            <w:r>
              <w:rPr>
                <w:rStyle w:val="CodeChar"/>
              </w:rPr>
              <w:t xml:space="preserve">covenant_type</w:t>
            </w:r>
          </w:p>
        </w:tc>
        <w:tc>
          <w:tcPr>
            <w:tcW w:w="2913" w:type="dxa"/>
          </w:tcPr>
          <w:p>
            <w:pPr/>
            <w:r>
              <w:t xml:space="preserve">Maintenance (loans) or incurrence (bonds) (p. 353)</w:t>
            </w:r>
          </w:p>
        </w:tc>
        <w:tc>
          <w:tcPr>
            <w:tcW w:w="3327" w:type="dxa"/>
          </w:tcPr>
          <w:p>
            <w:pPr/>
            <w:r>
              <w:t xml:space="preserve">Cov-lite loans have none (p. 357)</w:t>
            </w:r>
          </w:p>
        </w:tc>
      </w:tr>
      <w:tr>
        <w:tc>
          <w:tcPr>
            <w:tcW w:w="3120" w:type="dxa"/>
          </w:tcPr>
          <w:p>
            <w:pPr/>
            <w:r>
              <w:rPr>
                <w:rStyle w:val="CodeChar"/>
              </w:rPr>
              <w:t xml:space="preserve">fin_covenants[]</w:t>
            </w:r>
          </w:p>
        </w:tc>
        <w:tc>
          <w:tcPr>
            <w:tcW w:w="2913" w:type="dxa"/>
          </w:tcPr>
          <w:p>
            <w:pPr/>
            <w:r>
              <w:t xml:space="preserve">Name, level, test date; max leverage, min fixed charge coverage (p. 358)</w:t>
            </w:r>
          </w:p>
        </w:tc>
        <w:tc>
          <w:tcPr>
            <w:tcW w:w="3327" w:type="dxa"/>
          </w:tcPr>
          <w:p>
            <w:pPr/>
            <w:r>
              <w:t xml:space="preserve">Headroom in Section 4</w:t>
            </w:r>
          </w:p>
        </w:tc>
      </w:tr>
      <w:tr>
        <w:tc>
          <w:tcPr>
            <w:tcW w:w="3120" w:type="dxa"/>
          </w:tcPr>
          <w:p>
            <w:pPr/>
            <w:r>
              <w:rPr>
                <w:rStyle w:val="CodeChar"/>
              </w:rPr>
              <w:t xml:space="preserve">ebitda_addback_rules</w:t>
            </w:r>
          </w:p>
        </w:tc>
        <w:tc>
          <w:tcPr>
            <w:tcW w:w="2913" w:type="dxa"/>
          </w:tcPr>
          <w:p>
            <w:pPr/>
            <w:r>
              <w:t xml:space="preserve">Permitted add-backs and caps</w:t>
            </w:r>
          </w:p>
        </w:tc>
        <w:tc>
          <w:tcPr>
            <w:tcW w:w="3327" w:type="dxa"/>
          </w:tcPr>
          <w:p>
            <w:pPr/>
            <w:r>
              <w:t xml:space="preserve">HCA capped cost savings at $150 million a year (p. 412)</w:t>
            </w:r>
          </w:p>
        </w:tc>
      </w:tr>
      <w:tr>
        <w:tc>
          <w:tcPr>
            <w:tcW w:w="3120" w:type="dxa"/>
          </w:tcPr>
          <w:p>
            <w:pPr/>
            <w:r>
              <w:rPr>
                <w:rStyle w:val="CodeChar"/>
              </w:rPr>
              <w:t xml:space="preserve">debt_basket</w:t>
            </w:r>
            <w:r>
              <w:t xml:space="preserve">, </w:t>
            </w:r>
            <w:r>
              <w:rPr>
                <w:rStyle w:val="CodeChar"/>
              </w:rPr>
              <w:t xml:space="preserve">lien_basket</w:t>
            </w:r>
            <w:r>
              <w:t xml:space="preserve">, </w:t>
            </w:r>
            <w:r>
              <w:rPr>
                <w:rStyle w:val="CodeChar"/>
              </w:rPr>
              <w:t xml:space="preserve">rp_capacity</w:t>
            </w:r>
            <w:r>
              <w:t xml:space="preserve">, </w:t>
            </w:r>
            <w:r>
              <w:rPr>
                <w:rStyle w:val="CodeChar"/>
              </w:rPr>
              <w:t xml:space="preserve">investment_capacity</w:t>
            </w:r>
          </w:p>
        </w:tc>
        <w:tc>
          <w:tcPr>
            <w:tcW w:w="2913" w:type="dxa"/>
          </w:tcPr>
          <w:p>
            <w:pPr/>
            <w:r>
              <w:t xml:space="preserve">Negative covenant baskets and carve-outs (p. 353)</w:t>
            </w:r>
          </w:p>
        </w:tc>
        <w:tc>
          <w:tcPr>
            <w:tcW w:w="3327" w:type="dxa"/>
          </w:tcPr>
          <w:p>
            <w:pPr/>
            <w:r>
              <w:t xml:space="preserve">HCA negative pledge with a $100 million basket (p. 412)</w:t>
            </w:r>
          </w:p>
        </w:tc>
      </w:tr>
      <w:tr>
        <w:tc>
          <w:tcPr>
            <w:tcW w:w="3120" w:type="dxa"/>
          </w:tcPr>
          <w:p>
            <w:pPr/>
            <w:r>
              <w:rPr>
                <w:rStyle w:val="CodeChar"/>
              </w:rPr>
              <w:t xml:space="preserve">junior_debt_repurchase_test</w:t>
            </w:r>
          </w:p>
        </w:tc>
        <w:tc>
          <w:tcPr>
            <w:tcW w:w="2913" w:type="dxa"/>
          </w:tcPr>
          <w:p>
            <w:pPr/>
            <w:r>
              <w:t xml:space="preserve">Leverage tests on buybacks</w:t>
            </w:r>
          </w:p>
        </w:tc>
        <w:tc>
          <w:tcPr>
            <w:tcW w:w="3327" w:type="dxa"/>
          </w:tcPr>
          <w:p>
            <w:pPr/>
            <w:r>
              <w:t xml:space="preserve">HCA: secured above 5.25x and total above 7x (p. 412)</w:t>
            </w:r>
          </w:p>
        </w:tc>
      </w:tr>
      <w:tr>
        <w:tc>
          <w:tcPr>
            <w:tcW w:w="3120" w:type="dxa"/>
          </w:tcPr>
          <w:p>
            <w:pPr/>
            <w:r>
              <w:rPr>
                <w:rStyle w:val="CodeChar"/>
              </w:rPr>
              <w:t xml:space="preserve">coc_put_price</w:t>
            </w:r>
            <w:r>
              <w:t xml:space="preserve">, </w:t>
            </w:r>
            <w:r>
              <w:rPr>
                <w:rStyle w:val="CodeChar"/>
              </w:rPr>
              <w:t xml:space="preserve">coc_fall_away</w:t>
            </w:r>
          </w:p>
        </w:tc>
        <w:tc>
          <w:tcPr>
            <w:tcW w:w="2913" w:type="dxa"/>
          </w:tcPr>
          <w:p>
            <w:pPr/>
            <w:r>
              <w:t xml:space="preserve">Change of control put and its fall-away</w:t>
            </w:r>
          </w:p>
        </w:tc>
        <w:tc>
          <w:tcPr>
            <w:tcW w:w="3327" w:type="dxa"/>
          </w:tcPr>
          <w:p>
            <w:pPr/>
            <w:r>
              <w:t xml:space="preserve">HCA: 101, falls away on dual investment grade (p. 412)</w:t>
            </w:r>
          </w:p>
        </w:tc>
      </w:tr>
      <w:tr>
        <w:tc>
          <w:tcPr>
            <w:tcW w:w="3120" w:type="dxa"/>
          </w:tcPr>
          <w:p>
            <w:pPr/>
            <w:r>
              <w:rPr>
                <w:rStyle w:val="CodeChar"/>
              </w:rPr>
              <w:t xml:space="preserve">call_schedule</w:t>
            </w:r>
            <w:r>
              <w:t xml:space="preserve">, </w:t>
            </w:r>
            <w:r>
              <w:rPr>
                <w:rStyle w:val="CodeChar"/>
              </w:rPr>
              <w:t xml:space="preserve">make_whole</w:t>
            </w:r>
            <w:r>
              <w:t xml:space="preserve">, </w:t>
            </w:r>
            <w:r>
              <w:rPr>
                <w:rStyle w:val="CodeChar"/>
              </w:rPr>
              <w:t xml:space="preserve">equity_claw</w:t>
            </w:r>
          </w:p>
        </w:tc>
        <w:tc>
          <w:tcPr>
            <w:tcW w:w="2913" w:type="dxa"/>
          </w:tcPr>
          <w:p>
            <w:pPr/>
            <w:r>
              <w:t xml:space="preserve">Call protection</w:t>
            </w:r>
          </w:p>
        </w:tc>
        <w:tc>
          <w:tcPr>
            <w:tcW w:w="3327" w:type="dxa"/>
          </w:tcPr>
          <w:p>
            <w:pPr/>
            <w:r>
              <w:t xml:space="preserve">Loans 101 then par; bonds non-call then par plus half the coupon (p. 357)</w:t>
            </w:r>
          </w:p>
        </w:tc>
      </w:tr>
      <w:tr>
        <w:tc>
          <w:tcPr>
            <w:tcW w:w="3120" w:type="dxa"/>
          </w:tcPr>
          <w:p>
            <w:pPr/>
            <w:r>
              <w:rPr>
                <w:rStyle w:val="CodeChar"/>
              </w:rPr>
              <w:t xml:space="preserve">amortization</w:t>
            </w:r>
            <w:r>
              <w:t xml:space="preserve">, </w:t>
            </w:r>
            <w:r>
              <w:rPr>
                <w:rStyle w:val="CodeChar"/>
              </w:rPr>
              <w:t xml:space="preserve">ecf_sweep</w:t>
            </w:r>
          </w:p>
        </w:tc>
        <w:tc>
          <w:tcPr>
            <w:tcW w:w="2913" w:type="dxa"/>
          </w:tcPr>
          <w:p>
            <w:pPr/>
            <w:r>
              <w:t xml:space="preserve">Loan cash flow terms</w:t>
            </w:r>
          </w:p>
        </w:tc>
        <w:tc>
          <w:tcPr>
            <w:tcW w:w="3327" w:type="dxa"/>
          </w:tcPr>
          <w:p>
            <w:pPr/>
            <w:r>
              <w:t xml:space="preserve">Not in bonds (p. 371)</w:t>
            </w:r>
          </w:p>
        </w:tc>
      </w:tr>
      <w:tr>
        <w:tc>
          <w:tcPr>
            <w:tcW w:w="3120" w:type="dxa"/>
          </w:tcPr>
          <w:p>
            <w:pPr/>
            <w:r>
              <w:rPr>
                <w:rStyle w:val="CodeChar"/>
              </w:rPr>
              <w:t xml:space="preserve">required_lenders</w:t>
            </w:r>
            <w:r>
              <w:t xml:space="preserve">, </w:t>
            </w:r>
            <w:r>
              <w:rPr>
                <w:rStyle w:val="CodeChar"/>
              </w:rPr>
              <w:t xml:space="preserve">sacred_rights[]</w:t>
            </w:r>
            <w:r>
              <w:t xml:space="preserve">, </w:t>
            </w:r>
            <w:r>
              <w:rPr>
                <w:rStyle w:val="CodeChar"/>
              </w:rPr>
              <w:t xml:space="preserve">pro_rata_sharing</w:t>
            </w:r>
          </w:p>
        </w:tc>
        <w:tc>
          <w:tcPr>
            <w:tcW w:w="2913" w:type="dxa"/>
          </w:tcPr>
          <w:p>
            <w:pPr/>
            <w:r>
              <w:t xml:space="preserve">Amendment thresholds (p. 358)</w:t>
            </w:r>
          </w:p>
        </w:tc>
        <w:tc>
          <w:tcPr>
            <w:tcW w:w="3327" w:type="dxa"/>
          </w:tcPr>
          <w:p>
            <w:pPr/>
            <w:r>
              <w:t xml:space="preserve">Inputs to the liability management score in Section 8</w:t>
            </w:r>
          </w:p>
        </w:tc>
      </w:tr>
      <w:tr>
        <w:tc>
          <w:tcPr>
            <w:tcW w:w="3120" w:type="dxa"/>
          </w:tcPr>
          <w:p>
            <w:pPr/>
            <w:r>
              <w:rPr>
                <w:rStyle w:val="CodeChar"/>
              </w:rPr>
              <w:t xml:space="preserve">unrestricted_sub_capacity</w:t>
            </w:r>
            <w:r>
              <w:t xml:space="preserve">, </w:t>
            </w:r>
            <w:r>
              <w:rPr>
                <w:rStyle w:val="CodeChar"/>
              </w:rPr>
              <w:t xml:space="preserve">collateral_release_threshold</w:t>
            </w:r>
          </w:p>
        </w:tc>
        <w:tc>
          <w:tcPr>
            <w:tcW w:w="2913" w:type="dxa"/>
          </w:tcPr>
          <w:p>
            <w:pPr/>
            <w:r>
              <w:t xml:space="preserve">Drop-down and release terms</w:t>
            </w:r>
          </w:p>
        </w:tc>
        <w:tc>
          <w:tcPr>
            <w:tcW w:w="3327" w:type="dxa"/>
          </w:tcPr>
          <w:p>
            <w:pPr/>
            <w:r>
              <w:t xml:space="preserve">Chapter 18 cases</w:t>
            </w:r>
          </w:p>
        </w:tc>
      </w:tr>
    </w:tbl>
    <w:p>
      <w:pPr>
        <w:pStyle w:val="Heading3"/>
      </w:pPr>
      <w:r>
        <w:t xml:space="preserve">3.5 Forward estimates (per issuer, each quarter and on each event)</w:t>
      </w:r>
    </w:p>
    <w:tbl>
      <w:tblPr>
        <w:tblStyle w:val="TableGrid"/>
        <w:tblW w:w="0" w:type="auto"/>
        <w:tblLayout w:type="fixed"/>
        <w:tblLook w:val="04A0" w:firstRow="1" w:lastRow="0" w:firstColumn="0" w:lastColumn="0" w:noHBand="0" w:noVBand="1"/>
      </w:tblPr>
      <w:tblGrid>
        <w:gridCol w:w="2943"/>
        <w:gridCol w:w="3606"/>
        <w:gridCol w:w="2810"/>
      </w:tblGrid>
      <w:tr>
        <w:trPr>
          <w:tblHeader/>
        </w:trPr>
        <w:tc>
          <w:tcPr>
            <w:tcW w:w="2943" w:type="dxa"/>
            <w:shd w:val="clear" w:color="auto" w:fill="F2F2F2"/>
          </w:tcPr>
          <w:p>
            <w:pPr/>
            <w:r>
              <w:t xml:space="preserve">Field</w:t>
            </w:r>
          </w:p>
        </w:tc>
        <w:tc>
          <w:tcPr>
            <w:tcW w:w="3606" w:type="dxa"/>
            <w:shd w:val="clear" w:color="auto" w:fill="F2F2F2"/>
          </w:tcPr>
          <w:p>
            <w:pPr/>
            <w:r>
              <w:t xml:space="preserve">Definition or source</w:t>
            </w:r>
          </w:p>
        </w:tc>
        <w:tc>
          <w:tcPr>
            <w:tcW w:w="2810" w:type="dxa"/>
            <w:shd w:val="clear" w:color="auto" w:fill="F2F2F2"/>
          </w:tcPr>
          <w:p>
            <w:pPr/>
            <w:r>
              <w:t xml:space="preserve">Note</w:t>
            </w:r>
          </w:p>
        </w:tc>
      </w:tr>
      <w:tr>
        <w:tc>
          <w:tcPr>
            <w:tcW w:w="2943" w:type="dxa"/>
          </w:tcPr>
          <w:p>
            <w:pPr/>
            <w:r>
              <w:rPr>
                <w:rStyle w:val="CodeChar"/>
              </w:rPr>
              <w:t xml:space="preserve">case</w:t>
            </w:r>
          </w:p>
        </w:tc>
        <w:tc>
          <w:tcPr>
            <w:tcW w:w="3606" w:type="dxa"/>
          </w:tcPr>
          <w:p>
            <w:pPr/>
            <w:r>
              <w:t xml:space="preserve">management, consensus, base, downside, upside (p. 285)</w:t>
            </w:r>
          </w:p>
        </w:tc>
        <w:tc>
          <w:tcPr>
            <w:tcW w:w="2810" w:type="dxa"/>
          </w:tcPr>
          <w:p>
            <w:pPr/>
            <w:r>
              <w:t xml:space="preserve">Base case is a coin toss up or down (p. 285)</w:t>
            </w:r>
          </w:p>
        </w:tc>
      </w:tr>
      <w:tr>
        <w:tc>
          <w:tcPr>
            <w:tcW w:w="2943" w:type="dxa"/>
          </w:tcPr>
          <w:p>
            <w:pPr/>
            <w:r>
              <w:rPr>
                <w:rStyle w:val="CodeChar"/>
              </w:rPr>
              <w:t xml:space="preserve">horizon_q</w:t>
            </w:r>
          </w:p>
        </w:tc>
        <w:tc>
          <w:tcPr>
            <w:tcW w:w="3606" w:type="dxa"/>
          </w:tcPr>
          <w:p>
            <w:pPr/>
            <w:r>
              <w:t xml:space="preserve">1 to 12 quarters ahead</w:t>
            </w:r>
          </w:p>
        </w:tc>
        <w:tc>
          <w:tcPr>
            <w:tcW w:w="2810" w:type="dxa"/>
          </w:tcPr>
          <w:p>
            <w:pPr/>
          </w:p>
        </w:tc>
      </w:tr>
      <w:tr>
        <w:tc>
          <w:tcPr>
            <w:tcW w:w="2943" w:type="dxa"/>
          </w:tcPr>
          <w:p>
            <w:pPr/>
            <w:r>
              <w:rPr>
                <w:rStyle w:val="CodeChar"/>
              </w:rPr>
              <w:t xml:space="preserve">rev_g</w:t>
            </w:r>
            <w:r>
              <w:t xml:space="preserve">, </w:t>
            </w:r>
            <w:r>
              <w:rPr>
                <w:rStyle w:val="CodeChar"/>
              </w:rPr>
              <w:t xml:space="preserve">margin</w:t>
            </w:r>
            <w:r>
              <w:t xml:space="preserve">, </w:t>
            </w:r>
            <w:r>
              <w:rPr>
                <w:rStyle w:val="CodeChar"/>
              </w:rPr>
              <w:t xml:space="preserve">capex</w:t>
            </w:r>
            <w:r>
              <w:t xml:space="preserve">, </w:t>
            </w:r>
            <w:r>
              <w:rPr>
                <w:rStyle w:val="CodeChar"/>
              </w:rPr>
              <w:t xml:space="preserve">wc_days</w:t>
            </w:r>
            <w:r>
              <w:t xml:space="preserve">, </w:t>
            </w:r>
            <w:r>
              <w:rPr>
                <w:rStyle w:val="CodeChar"/>
              </w:rPr>
              <w:t xml:space="preserve">cash_interest</w:t>
            </w:r>
            <w:r>
              <w:t xml:space="preserve">, </w:t>
            </w:r>
            <w:r>
              <w:rPr>
                <w:rStyle w:val="CodeChar"/>
              </w:rPr>
              <w:t xml:space="preserve">cash_taxes</w:t>
            </w:r>
          </w:p>
        </w:tc>
        <w:tc>
          <w:tcPr>
            <w:tcW w:w="3606" w:type="dxa"/>
          </w:tcPr>
          <w:p>
            <w:pPr/>
            <w:r>
              <w:t xml:space="preserve">Driver assumptions per case (Figure 10.2, p. 286)</w:t>
            </w:r>
          </w:p>
        </w:tc>
        <w:tc>
          <w:tcPr>
            <w:tcW w:w="2810" w:type="dxa"/>
          </w:tcPr>
          <w:p>
            <w:pPr/>
            <w:r>
              <w:t xml:space="preserve">Each cell traces to one assumption</w:t>
            </w:r>
          </w:p>
        </w:tc>
      </w:tr>
      <w:tr>
        <w:tc>
          <w:tcPr>
            <w:tcW w:w="2943" w:type="dxa"/>
          </w:tcPr>
          <w:p>
            <w:pPr/>
            <w:r>
              <w:rPr>
                <w:rStyle w:val="CodeChar"/>
              </w:rPr>
              <w:t xml:space="preserve">ebitda_h</w:t>
            </w:r>
            <w:r>
              <w:t xml:space="preserve">, </w:t>
            </w:r>
            <w:r>
              <w:rPr>
                <w:rStyle w:val="CodeChar"/>
              </w:rPr>
              <w:t xml:space="preserve">fcf_h</w:t>
            </w:r>
            <w:r>
              <w:t xml:space="preserve">, </w:t>
            </w:r>
            <w:r>
              <w:rPr>
                <w:rStyle w:val="CodeChar"/>
              </w:rPr>
              <w:t xml:space="preserve">debt_h</w:t>
            </w:r>
            <w:r>
              <w:t xml:space="preserve">, </w:t>
            </w:r>
            <w:r>
              <w:rPr>
                <w:rStyle w:val="CodeChar"/>
              </w:rPr>
              <w:t xml:space="preserve">cash_h</w:t>
            </w:r>
            <w:r>
              <w:t xml:space="preserve">, </w:t>
            </w:r>
            <w:r>
              <w:rPr>
                <w:rStyle w:val="CodeChar"/>
              </w:rPr>
              <w:t xml:space="preserve">lev_h</w:t>
            </w:r>
            <w:r>
              <w:t xml:space="preserve">, </w:t>
            </w:r>
            <w:r>
              <w:rPr>
                <w:rStyle w:val="CodeChar"/>
              </w:rPr>
              <w:t xml:space="preserve">cov_h</w:t>
            </w:r>
            <w:r>
              <w:t xml:space="preserve">, </w:t>
            </w:r>
            <w:r>
              <w:rPr>
                <w:rStyle w:val="CodeChar"/>
              </w:rPr>
              <w:t xml:space="preserve">liq_h</w:t>
            </w:r>
          </w:p>
        </w:tc>
        <w:tc>
          <w:tcPr>
            <w:tcW w:w="3606" w:type="dxa"/>
          </w:tcPr>
          <w:p>
            <w:pPr/>
            <w:r>
              <w:t xml:space="preserve">Model outputs per case and horizon</w:t>
            </w:r>
          </w:p>
        </w:tc>
        <w:tc>
          <w:tcPr>
            <w:tcW w:w="2810" w:type="dxa"/>
          </w:tcPr>
          <w:p>
            <w:pPr/>
            <w:r>
              <w:t xml:space="preserve">Section 5 formulas</w:t>
            </w:r>
          </w:p>
        </w:tc>
      </w:tr>
      <w:tr>
        <w:tc>
          <w:tcPr>
            <w:tcW w:w="2943" w:type="dxa"/>
          </w:tcPr>
          <w:p>
            <w:pPr/>
            <w:r>
              <w:rPr>
                <w:rStyle w:val="CodeChar"/>
              </w:rPr>
              <w:t xml:space="preserve">case_prob</w:t>
            </w:r>
          </w:p>
        </w:tc>
        <w:tc>
          <w:tcPr>
            <w:tcW w:w="3606" w:type="dxa"/>
          </w:tcPr>
          <w:p>
            <w:pPr/>
            <w:r>
              <w:t xml:space="preserve">Probability per case (p. 286, sub-step 8)</w:t>
            </w:r>
          </w:p>
        </w:tc>
        <w:tc>
          <w:tcPr>
            <w:tcW w:w="2810" w:type="dxa"/>
          </w:tcPr>
          <w:p>
            <w:pPr/>
            <w:r>
              <w:t xml:space="preserve">Section 5 makes it macro-conditional</w:t>
            </w:r>
          </w:p>
        </w:tc>
      </w:tr>
      <w:tr>
        <w:tc>
          <w:tcPr>
            <w:tcW w:w="2943" w:type="dxa"/>
          </w:tcPr>
          <w:p>
            <w:pPr/>
            <w:r>
              <w:rPr>
                <w:rStyle w:val="CodeChar"/>
              </w:rPr>
              <w:t xml:space="preserve">vintage</w:t>
            </w:r>
          </w:p>
        </w:tc>
        <w:tc>
          <w:tcPr>
            <w:tcW w:w="3606" w:type="dxa"/>
          </w:tcPr>
          <w:p>
            <w:pPr/>
            <w:r>
              <w:t xml:space="preserve">Estimate date and version</w:t>
            </w:r>
          </w:p>
        </w:tc>
        <w:tc>
          <w:tcPr>
            <w:tcW w:w="2810" w:type="dxa"/>
          </w:tcPr>
          <w:p>
            <w:pPr/>
            <w:r>
              <w:t xml:space="preserve">Revision signals need vintages</w:t>
            </w:r>
          </w:p>
        </w:tc>
      </w:tr>
      <w:tr>
        <w:tc>
          <w:tcPr>
            <w:tcW w:w="2943" w:type="dxa"/>
          </w:tcPr>
          <w:p>
            <w:pPr/>
            <w:r>
              <w:rPr>
                <w:rStyle w:val="CodeChar"/>
              </w:rPr>
              <w:t xml:space="preserve">consensus_ebitda_h</w:t>
            </w:r>
            <w:r>
              <w:t xml:space="preserve">, </w:t>
            </w:r>
            <w:r>
              <w:rPr>
                <w:rStyle w:val="CodeChar"/>
              </w:rPr>
              <w:t xml:space="preserve">consensus_count</w:t>
            </w:r>
            <w:r>
              <w:t xml:space="preserve">, </w:t>
            </w:r>
            <w:r>
              <w:rPr>
                <w:rStyle w:val="CodeChar"/>
              </w:rPr>
              <w:t xml:space="preserve">consensus_dispersion</w:t>
            </w:r>
          </w:p>
        </w:tc>
        <w:tc>
          <w:tcPr>
            <w:tcW w:w="3606" w:type="dxa"/>
          </w:tcPr>
          <w:p>
            <w:pPr/>
            <w:r>
              <w:t xml:space="preserve">Sell-side aggregates</w:t>
            </w:r>
          </w:p>
        </w:tc>
        <w:tc>
          <w:tcPr>
            <w:tcW w:w="2810" w:type="dxa"/>
          </w:tcPr>
          <w:p>
            <w:pPr/>
            <w:r>
              <w:t xml:space="preserve">Gap to the analyst case is a signal</w:t>
            </w:r>
          </w:p>
        </w:tc>
      </w:tr>
    </w:tbl>
    <w:p>
      <w:pPr>
        <w:pStyle w:val="Heading3"/>
      </w:pPr>
      <w:r>
        <w:t xml:space="preserve">3.6 Macro and credit cycle (market, daily or monthly)</w:t>
      </w:r>
    </w:p>
    <w:tbl>
      <w:tblPr>
        <w:tblStyle w:val="TableGrid"/>
        <w:tblW w:w="0" w:type="auto"/>
        <w:tblLayout w:type="fixed"/>
        <w:tblLook w:val="04A0" w:firstRow="1" w:lastRow="0" w:firstColumn="0" w:lastColumn="0" w:noHBand="0" w:noVBand="1"/>
      </w:tblPr>
      <w:tblGrid>
        <w:gridCol w:w="2988"/>
        <w:gridCol w:w="3146"/>
        <w:gridCol w:w="3226"/>
      </w:tblGrid>
      <w:tr>
        <w:trPr>
          <w:tblHeader/>
        </w:trPr>
        <w:tc>
          <w:tcPr>
            <w:tcW w:w="2988" w:type="dxa"/>
            <w:shd w:val="clear" w:color="auto" w:fill="F2F2F2"/>
          </w:tcPr>
          <w:p>
            <w:pPr/>
            <w:r>
              <w:t xml:space="preserve">Field</w:t>
            </w:r>
          </w:p>
        </w:tc>
        <w:tc>
          <w:tcPr>
            <w:tcW w:w="3146" w:type="dxa"/>
            <w:shd w:val="clear" w:color="auto" w:fill="F2F2F2"/>
          </w:tcPr>
          <w:p>
            <w:pPr/>
            <w:r>
              <w:t xml:space="preserve">Definition or source</w:t>
            </w:r>
          </w:p>
        </w:tc>
        <w:tc>
          <w:tcPr>
            <w:tcW w:w="3226" w:type="dxa"/>
            <w:shd w:val="clear" w:color="auto" w:fill="F2F2F2"/>
          </w:tcPr>
          <w:p>
            <w:pPr/>
            <w:r>
              <w:t xml:space="preserve">Note</w:t>
            </w:r>
          </w:p>
        </w:tc>
      </w:tr>
      <w:tr>
        <w:tc>
          <w:tcPr>
            <w:tcW w:w="2988" w:type="dxa"/>
          </w:tcPr>
          <w:p>
            <w:pPr/>
            <w:r>
              <w:rPr>
                <w:rStyle w:val="CodeChar"/>
              </w:rPr>
              <w:t xml:space="preserve">ust_curve</w:t>
            </w:r>
            <w:r>
              <w:t xml:space="preserve">, </w:t>
            </w:r>
            <w:r>
              <w:rPr>
                <w:rStyle w:val="CodeChar"/>
              </w:rPr>
              <w:t xml:space="preserve">sofr_curve</w:t>
            </w:r>
          </w:p>
        </w:tc>
        <w:tc>
          <w:tcPr>
            <w:tcW w:w="3146" w:type="dxa"/>
          </w:tcPr>
          <w:p>
            <w:pPr/>
            <w:r>
              <w:t xml:space="preserve">Risk-free curves</w:t>
            </w:r>
          </w:p>
        </w:tc>
        <w:tc>
          <w:tcPr>
            <w:tcW w:w="3226" w:type="dxa"/>
          </w:tcPr>
          <w:p>
            <w:pPr/>
            <w:r>
              <w:t xml:space="preserve">First price driver (p. 113)</w:t>
            </w:r>
          </w:p>
        </w:tc>
      </w:tr>
      <w:tr>
        <w:tc>
          <w:tcPr>
            <w:tcW w:w="2988" w:type="dxa"/>
          </w:tcPr>
          <w:p>
            <w:pPr/>
            <w:r>
              <w:rPr>
                <w:rStyle w:val="CodeChar"/>
              </w:rPr>
              <w:t xml:space="preserve">hy_oas</w:t>
            </w:r>
            <w:r>
              <w:t xml:space="preserve">, </w:t>
            </w:r>
            <w:r>
              <w:rPr>
                <w:rStyle w:val="CodeChar"/>
              </w:rPr>
              <w:t xml:space="preserve">oas_bb</w:t>
            </w:r>
            <w:r>
              <w:t xml:space="preserve">, </w:t>
            </w:r>
            <w:r>
              <w:rPr>
                <w:rStyle w:val="CodeChar"/>
              </w:rPr>
              <w:t xml:space="preserve">oas_b</w:t>
            </w:r>
            <w:r>
              <w:t xml:space="preserve">, </w:t>
            </w:r>
            <w:r>
              <w:rPr>
                <w:rStyle w:val="CodeChar"/>
              </w:rPr>
              <w:t xml:space="preserve">oas_ccc</w:t>
            </w:r>
            <w:r>
              <w:t xml:space="preserve">, </w:t>
            </w:r>
            <w:r>
              <w:rPr>
                <w:rStyle w:val="CodeChar"/>
              </w:rPr>
              <w:t xml:space="preserve">oas_sector[]</w:t>
            </w:r>
          </w:p>
        </w:tc>
        <w:tc>
          <w:tcPr>
            <w:tcW w:w="3146" w:type="dxa"/>
          </w:tcPr>
          <w:p>
            <w:pPr/>
            <w:r>
              <w:t xml:space="preserve">Index spreads by rating and sector</w:t>
            </w:r>
          </w:p>
        </w:tc>
        <w:tc>
          <w:tcPr>
            <w:tcW w:w="3226" w:type="dxa"/>
          </w:tcPr>
          <w:p>
            <w:pPr/>
            <w:r>
              <w:t xml:space="preserve">Second price driver; the HCA memo uses BB, B, and health care indices (p. 412)</w:t>
            </w:r>
          </w:p>
        </w:tc>
      </w:tr>
      <w:tr>
        <w:tc>
          <w:tcPr>
            <w:tcW w:w="2988" w:type="dxa"/>
          </w:tcPr>
          <w:p>
            <w:pPr/>
            <w:r>
              <w:rPr>
                <w:rStyle w:val="CodeChar"/>
              </w:rPr>
              <w:t xml:space="preserve">distress_ratio</w:t>
            </w:r>
          </w:p>
        </w:tc>
        <w:tc>
          <w:tcPr>
            <w:tcW w:w="3146" w:type="dxa"/>
          </w:tcPr>
          <w:p>
            <w:pPr/>
            <w:r>
              <w:t xml:space="preserve">Share of index above 1,000 bp</w:t>
            </w:r>
          </w:p>
        </w:tc>
        <w:tc>
          <w:tcPr>
            <w:tcW w:w="3226" w:type="dxa"/>
          </w:tcPr>
          <w:p>
            <w:pPr/>
            <w:r>
              <w:t xml:space="preserve">Book threshold for distressed (p. 416)</w:t>
            </w:r>
          </w:p>
        </w:tc>
      </w:tr>
      <w:tr>
        <w:tc>
          <w:tcPr>
            <w:tcW w:w="2988" w:type="dxa"/>
          </w:tcPr>
          <w:p>
            <w:pPr/>
            <w:r>
              <w:rPr>
                <w:rStyle w:val="CodeChar"/>
              </w:rPr>
              <w:t xml:space="preserve">default_rate_ttm</w:t>
            </w:r>
            <w:r>
              <w:t xml:space="preserve">, </w:t>
            </w:r>
            <w:r>
              <w:rPr>
                <w:rStyle w:val="CodeChar"/>
              </w:rPr>
              <w:t xml:space="preserve">default_rate_fcst</w:t>
            </w:r>
          </w:p>
        </w:tc>
        <w:tc>
          <w:tcPr>
            <w:tcW w:w="3146" w:type="dxa"/>
          </w:tcPr>
          <w:p>
            <w:pPr/>
            <w:r>
              <w:t xml:space="preserve">Agency trailing and forecast default rates</w:t>
            </w:r>
          </w:p>
        </w:tc>
        <w:tc>
          <w:tcPr>
            <w:tcW w:w="3226" w:type="dxa"/>
          </w:tcPr>
          <w:p>
            <w:pPr/>
            <w:r>
              <w:t xml:space="preserve">Scenario weights in Section 5</w:t>
            </w:r>
          </w:p>
        </w:tc>
      </w:tr>
      <w:tr>
        <w:tc>
          <w:tcPr>
            <w:tcW w:w="2988" w:type="dxa"/>
          </w:tcPr>
          <w:p>
            <w:pPr/>
            <w:r>
              <w:rPr>
                <w:rStyle w:val="CodeChar"/>
              </w:rPr>
              <w:t xml:space="preserve">sloos_tightening</w:t>
            </w:r>
            <w:r>
              <w:t xml:space="preserve">, </w:t>
            </w:r>
            <w:r>
              <w:rPr>
                <w:rStyle w:val="CodeChar"/>
              </w:rPr>
              <w:t xml:space="preserve">pmi</w:t>
            </w:r>
            <w:r>
              <w:t xml:space="preserve">, </w:t>
            </w:r>
            <w:r>
              <w:rPr>
                <w:rStyle w:val="CodeChar"/>
              </w:rPr>
              <w:t xml:space="preserve">gdp_fcst</w:t>
            </w:r>
            <w:r>
              <w:t xml:space="preserve">, </w:t>
            </w:r>
            <w:r>
              <w:rPr>
                <w:rStyle w:val="CodeChar"/>
              </w:rPr>
              <w:t xml:space="preserve">cpi</w:t>
            </w:r>
            <w:r>
              <w:t xml:space="preserve">, </w:t>
            </w:r>
            <w:r>
              <w:rPr>
                <w:rStyle w:val="CodeChar"/>
              </w:rPr>
              <w:t xml:space="preserve">fed_funds_path</w:t>
            </w:r>
            <w:r>
              <w:t xml:space="preserve">, </w:t>
            </w:r>
            <w:r>
              <w:rPr>
                <w:rStyle w:val="CodeChar"/>
              </w:rPr>
              <w:t xml:space="preserve">unemployment</w:t>
            </w:r>
          </w:p>
        </w:tc>
        <w:tc>
          <w:tcPr>
            <w:tcW w:w="3146" w:type="dxa"/>
          </w:tcPr>
          <w:p>
            <w:pPr/>
            <w:r>
              <w:t xml:space="preserve">Macro series and consensus forecasts</w:t>
            </w:r>
          </w:p>
        </w:tc>
        <w:tc>
          <w:tcPr>
            <w:tcW w:w="3226" w:type="dxa"/>
          </w:tcPr>
          <w:p>
            <w:pPr/>
            <w:r>
              <w:t xml:space="preserve">Chapter 2 names inflation and Fed tightening as the 2023 cycle driver (p. 99)</w:t>
            </w:r>
          </w:p>
        </w:tc>
      </w:tr>
      <w:tr>
        <w:tc>
          <w:tcPr>
            <w:tcW w:w="2988" w:type="dxa"/>
          </w:tcPr>
          <w:p>
            <w:pPr/>
            <w:r>
              <w:rPr>
                <w:rStyle w:val="CodeChar"/>
              </w:rPr>
              <w:t xml:space="preserve">issuance_covlite_share</w:t>
            </w:r>
            <w:r>
              <w:t xml:space="preserve">, </w:t>
            </w:r>
            <w:r>
              <w:rPr>
                <w:rStyle w:val="CodeChar"/>
              </w:rPr>
              <w:t xml:space="preserve">issuance_ccc_share</w:t>
            </w:r>
            <w:r>
              <w:t xml:space="preserve">, </w:t>
            </w:r>
            <w:r>
              <w:rPr>
                <w:rStyle w:val="CodeChar"/>
              </w:rPr>
              <w:t xml:space="preserve">lbo_share</w:t>
            </w:r>
            <w:r>
              <w:t xml:space="preserve">, </w:t>
            </w:r>
            <w:r>
              <w:rPr>
                <w:rStyle w:val="CodeChar"/>
              </w:rPr>
              <w:t xml:space="preserve">fund_flows</w:t>
            </w:r>
          </w:p>
        </w:tc>
        <w:tc>
          <w:tcPr>
            <w:tcW w:w="3146" w:type="dxa"/>
          </w:tcPr>
          <w:p>
            <w:pPr/>
            <w:r>
              <w:t xml:space="preserve">Market quality and flow</w:t>
            </w:r>
          </w:p>
        </w:tc>
        <w:tc>
          <w:tcPr>
            <w:tcW w:w="3226" w:type="dxa"/>
          </w:tcPr>
          <w:p>
            <w:pPr/>
            <w:r>
              <w:t xml:space="preserve">Late-cycle markers (p. 355)</w:t>
            </w:r>
          </w:p>
        </w:tc>
      </w:tr>
      <w:tr>
        <w:tc>
          <w:tcPr>
            <w:tcW w:w="2988" w:type="dxa"/>
          </w:tcPr>
          <w:p>
            <w:pPr/>
            <w:r>
              <w:rPr>
                <w:rStyle w:val="CodeChar"/>
              </w:rPr>
              <w:t xml:space="preserve">sector_drivers[]</w:t>
            </w:r>
          </w:p>
        </w:tc>
        <w:tc>
          <w:tcPr>
            <w:tcW w:w="3146" w:type="dxa"/>
          </w:tcPr>
          <w:p>
            <w:pPr/>
            <w:r>
              <w:t xml:space="preserve">Oil price, housing starts, retail sales, hospital admissions, and similar</w:t>
            </w:r>
          </w:p>
        </w:tc>
        <w:tc>
          <w:tcPr>
            <w:tcW w:w="3226" w:type="dxa"/>
          </w:tcPr>
          <w:p>
            <w:pPr/>
            <w:r>
              <w:t xml:space="preserve">One list per sector</w:t>
            </w:r>
          </w:p>
        </w:tc>
      </w:tr>
      <w:tr>
        <w:tc>
          <w:tcPr>
            <w:tcW w:w="2988" w:type="dxa"/>
          </w:tcPr>
          <w:p>
            <w:pPr/>
            <w:r>
              <w:rPr>
                <w:rStyle w:val="CodeChar"/>
              </w:rPr>
              <w:t xml:space="preserve">cycle_phase</w:t>
            </w:r>
          </w:p>
        </w:tc>
        <w:tc>
          <w:tcPr>
            <w:tcW w:w="3146" w:type="dxa"/>
          </w:tcPr>
          <w:p>
            <w:pPr/>
            <w:r>
              <w:t xml:space="preserve">Expansion, late cycle, downturn, repair, recovery</w:t>
            </w:r>
          </w:p>
        </w:tc>
        <w:tc>
          <w:tcPr>
            <w:tcW w:w="3226" w:type="dxa"/>
          </w:tcPr>
          <w:p>
            <w:pPr/>
            <w:r>
              <w:t xml:space="preserve">Labelled from the series above</w:t>
            </w:r>
          </w:p>
        </w:tc>
      </w:tr>
    </w:tbl>
    <w:p>
      <w:pPr>
        <w:pStyle w:val="Heading3"/>
      </w:pPr>
      <w:r>
        <w:t xml:space="preserve">3.7 Event calendar (per issuer and per instrument)</w:t>
      </w:r>
    </w:p>
    <w:tbl>
      <w:tblPr>
        <w:tblStyle w:val="TableGrid"/>
        <w:tblW w:w="0" w:type="auto"/>
        <w:tblLayout w:type="fixed"/>
        <w:tblLook w:val="04A0" w:firstRow="1" w:lastRow="0" w:firstColumn="0" w:lastColumn="0" w:noHBand="0" w:noVBand="1"/>
      </w:tblPr>
      <w:tblGrid>
        <w:gridCol w:w="1916"/>
        <w:gridCol w:w="4920"/>
        <w:gridCol w:w="2524"/>
      </w:tblGrid>
      <w:tr>
        <w:trPr>
          <w:tblHeader/>
        </w:trPr>
        <w:tc>
          <w:tcPr>
            <w:tcW w:w="1916" w:type="dxa"/>
            <w:shd w:val="clear" w:color="auto" w:fill="F2F2F2"/>
          </w:tcPr>
          <w:p>
            <w:pPr/>
            <w:r>
              <w:t xml:space="preserve">Field</w:t>
            </w:r>
          </w:p>
        </w:tc>
        <w:tc>
          <w:tcPr>
            <w:tcW w:w="4920" w:type="dxa"/>
            <w:shd w:val="clear" w:color="auto" w:fill="F2F2F2"/>
          </w:tcPr>
          <w:p>
            <w:pPr/>
            <w:r>
              <w:t xml:space="preserve">Definition or source</w:t>
            </w:r>
          </w:p>
        </w:tc>
        <w:tc>
          <w:tcPr>
            <w:tcW w:w="2524" w:type="dxa"/>
            <w:shd w:val="clear" w:color="auto" w:fill="F2F2F2"/>
          </w:tcPr>
          <w:p>
            <w:pPr/>
            <w:r>
              <w:t xml:space="preserve">Note</w:t>
            </w:r>
          </w:p>
        </w:tc>
      </w:tr>
      <w:tr>
        <w:tc>
          <w:tcPr>
            <w:tcW w:w="1916" w:type="dxa"/>
          </w:tcPr>
          <w:p>
            <w:pPr/>
            <w:r>
              <w:rPr>
                <w:rStyle w:val="CodeChar"/>
              </w:rPr>
              <w:t xml:space="preserve">event_type</w:t>
            </w:r>
          </w:p>
        </w:tc>
        <w:tc>
          <w:tcPr>
            <w:tcW w:w="4920" w:type="dxa"/>
          </w:tcPr>
          <w:p>
            <w:pPr/>
            <w:r>
              <w:t xml:space="preserve">Earnings, guidance, covenant test, maturity, call date, rating review, index rebalance, M&amp;A or LBO, dividend recap, liability management, asset sale, litigation, macro release, sector event</w:t>
            </w:r>
          </w:p>
        </w:tc>
        <w:tc>
          <w:tcPr>
            <w:tcW w:w="2524" w:type="dxa"/>
          </w:tcPr>
          <w:p>
            <w:pPr/>
            <w:r>
              <w:t xml:space="preserve">Section 9 taxonomy</w:t>
            </w:r>
          </w:p>
        </w:tc>
      </w:tr>
      <w:tr>
        <w:tc>
          <w:tcPr>
            <w:tcW w:w="1916" w:type="dxa"/>
          </w:tcPr>
          <w:p>
            <w:pPr/>
            <w:r>
              <w:rPr>
                <w:rStyle w:val="CodeChar"/>
              </w:rPr>
              <w:t xml:space="preserve">event_date</w:t>
            </w:r>
            <w:r>
              <w:t xml:space="preserve">, </w:t>
            </w:r>
            <w:r>
              <w:rPr>
                <w:rStyle w:val="CodeChar"/>
              </w:rPr>
              <w:t xml:space="preserve">date_confirmed</w:t>
            </w:r>
          </w:p>
        </w:tc>
        <w:tc>
          <w:tcPr>
            <w:tcW w:w="4920" w:type="dxa"/>
          </w:tcPr>
          <w:p>
            <w:pPr/>
            <w:r>
              <w:t xml:space="preserve">Date and whether confirmed</w:t>
            </w:r>
          </w:p>
        </w:tc>
        <w:tc>
          <w:tcPr>
            <w:tcW w:w="2524" w:type="dxa"/>
          </w:tcPr>
          <w:p>
            <w:pPr/>
            <w:r>
              <w:t xml:space="preserve">Estimated dates get a window</w:t>
            </w:r>
          </w:p>
        </w:tc>
      </w:tr>
      <w:tr>
        <w:tc>
          <w:tcPr>
            <w:tcW w:w="1916" w:type="dxa"/>
          </w:tcPr>
          <w:p>
            <w:pPr/>
            <w:r>
              <w:rPr>
                <w:rStyle w:val="CodeChar"/>
              </w:rPr>
              <w:t xml:space="preserve">event_params</w:t>
            </w:r>
          </w:p>
        </w:tc>
        <w:tc>
          <w:tcPr>
            <w:tcW w:w="4920" w:type="dxa"/>
          </w:tcPr>
          <w:p>
            <w:pPr/>
            <w:r>
              <w:t xml:space="preserve">Covenant level, maturity amount, call price, deal terms</w:t>
            </w:r>
          </w:p>
        </w:tc>
        <w:tc>
          <w:tcPr>
            <w:tcW w:w="2524" w:type="dxa"/>
          </w:tcPr>
          <w:p>
            <w:pPr/>
            <w:r>
              <w:t xml:space="preserve">Needed for scenario P&amp;L</w:t>
            </w:r>
          </w:p>
        </w:tc>
      </w:tr>
      <w:tr>
        <w:tc>
          <w:tcPr>
            <w:tcW w:w="1916" w:type="dxa"/>
          </w:tcPr>
          <w:p>
            <w:pPr/>
            <w:r>
              <w:rPr>
                <w:rStyle w:val="CodeChar"/>
              </w:rPr>
              <w:t xml:space="preserve">status</w:t>
            </w:r>
          </w:p>
        </w:tc>
        <w:tc>
          <w:tcPr>
            <w:tcW w:w="4920" w:type="dxa"/>
          </w:tcPr>
          <w:p>
            <w:pPr/>
            <w:r>
              <w:t xml:space="preserve">Scheduled, occurred, outcome recorded</w:t>
            </w:r>
          </w:p>
        </w:tc>
        <w:tc>
          <w:tcPr>
            <w:tcW w:w="2524" w:type="dxa"/>
          </w:tcPr>
          <w:p>
            <w:pPr/>
            <w:r>
              <w:t xml:space="preserve">Outcome feeds the validation set</w:t>
            </w:r>
          </w:p>
        </w:tc>
      </w:tr>
    </w:tbl>
    <w:p>
      <w:pPr>
        <w:pStyle w:val="Heading2"/>
      </w:pPr>
      <w:r>
        <w:t xml:space="preserve">4. Issuer state features</w:t>
      </w:r>
    </w:p>
    <w:p>
      <w:pPr/>
      <w:r>
        <w:t xml:space="preserve">The issuer state is one vector per issuer per filing. It holds the ratios, trends, and flags from steps 2 and 3 of the book's process (Chapters 6 to 9). Every feature below is computable from the fields in Section 3. The vector feeds the forward model (Section 5), the recovery model (Section 6), and the fair spread model (Section 7).</w:t>
      </w:r>
    </w:p>
    <w:p>
      <w:pPr>
        <w:pStyle w:val="Heading3"/>
      </w:pPr>
      <w:r>
        <w:t xml:space="preserve">4.1 Profitability (Chapter 7)</w:t>
      </w:r>
    </w:p>
    <w:p>
      <w:pPr/>
      <w:r>
        <w:t xml:space="preserve">Start from the analyst-adjusted EBITDA, not the company figure. The book removes nonrecurring items by rule (Figure 7.3, p. 192) and treats recurrent "nonrecurring" charges as operating costs for issuers in secular decline.</w:t>
      </w:r>
    </w:p>
    <w:p>
      <w:pPr>
        <w:pStyle w:val="Code"/>
      </w:pPr>
      <w:bookmarkStart w:id="2" w:name="bongo_lang_latex_2"/>
      <w:bookmarkEnd w:id="2"/>
      <w:r>
        <w:t xml:space="preserve">EBITDA^{adj}_t = EBITDA^{rep}_t + \sum_i a_i \, NR_{i,t}, \qquad a_i \in \{0,1\}</w:t>
      </w:r>
    </w:p>
    <w:tbl>
      <w:tblPr>
        <w:tblStyle w:val="TableGrid"/>
        <w:tblW w:w="0" w:type="auto"/>
        <w:tblLayout w:type="fixed"/>
        <w:tblLook w:val="04A0" w:firstRow="1" w:lastRow="0" w:firstColumn="0" w:lastColumn="0" w:noHBand="0" w:noVBand="1"/>
      </w:tblPr>
      <w:tblGrid>
        <w:gridCol w:w="2036"/>
        <w:gridCol w:w="4106"/>
        <w:gridCol w:w="3217"/>
      </w:tblGrid>
      <w:tr>
        <w:trPr>
          <w:tblHeader/>
        </w:trPr>
        <w:tc>
          <w:tcPr>
            <w:tcW w:w="2036" w:type="dxa"/>
            <w:shd w:val="clear" w:color="auto" w:fill="F2F2F2"/>
          </w:tcPr>
          <w:p>
            <w:pPr/>
            <w:r>
              <w:t xml:space="preserve">Feature</w:t>
            </w:r>
          </w:p>
        </w:tc>
        <w:tc>
          <w:tcPr>
            <w:tcW w:w="4106" w:type="dxa"/>
            <w:shd w:val="clear" w:color="auto" w:fill="F2F2F2"/>
          </w:tcPr>
          <w:p>
            <w:pPr/>
            <w:r>
              <w:t xml:space="preserve">Formula</w:t>
            </w:r>
          </w:p>
        </w:tc>
        <w:tc>
          <w:tcPr>
            <w:tcW w:w="3217" w:type="dxa"/>
            <w:shd w:val="clear" w:color="auto" w:fill="F2F2F2"/>
          </w:tcPr>
          <w:p>
            <w:pPr/>
            <w:r>
              <w:t xml:space="preserve">Intuition and reference</w:t>
            </w:r>
          </w:p>
        </w:tc>
      </w:tr>
      <w:tr>
        <w:tc>
          <w:tcPr>
            <w:tcW w:w="2036" w:type="dxa"/>
          </w:tcPr>
          <w:p>
            <w:pPr/>
            <w:r>
              <w:rPr>
                <w:rStyle w:val="CodeChar"/>
              </w:rPr>
              <w:t xml:space="preserve">addback_gap</w:t>
            </w:r>
          </w:p>
        </w:tc>
        <w:tc>
          <w:tcPr>
            <w:tcW w:w="4106" w:type="dxa"/>
          </w:tcPr>
          <w:p>
            <w:pPr/>
            <w:r>
              <w:rPr>
                <w:rStyle w:val="CodeChar"/>
              </w:rPr>
              <w:t xml:space="preserve">ebitda_adj_company / ebitda_adj_analyst - 1</w:t>
            </w:r>
          </w:p>
        </w:tc>
        <w:tc>
          <w:tcPr>
            <w:tcW w:w="3217" w:type="dxa"/>
          </w:tcPr>
          <w:p>
            <w:pPr/>
            <w:r>
              <w:t xml:space="preserve">Distance between the company's story and yours; large gaps precede misses</w:t>
            </w:r>
          </w:p>
        </w:tc>
      </w:tr>
      <w:tr>
        <w:tc>
          <w:tcPr>
            <w:tcW w:w="2036" w:type="dxa"/>
          </w:tcPr>
          <w:p>
            <w:pPr/>
            <w:r>
              <w:rPr>
                <w:rStyle w:val="CodeChar"/>
              </w:rPr>
              <w:t xml:space="preserve">covenant_gap</w:t>
            </w:r>
          </w:p>
        </w:tc>
        <w:tc>
          <w:tcPr>
            <w:tcW w:w="4106" w:type="dxa"/>
          </w:tcPr>
          <w:p>
            <w:pPr/>
            <w:r>
              <w:rPr>
                <w:rStyle w:val="CodeChar"/>
              </w:rPr>
              <w:t xml:space="preserve">ebitda_covenant / ebitda_adj_analyst - 1</w:t>
            </w:r>
          </w:p>
        </w:tc>
        <w:tc>
          <w:tcPr>
            <w:tcW w:w="3217" w:type="dxa"/>
          </w:tcPr>
          <w:p>
            <w:pPr/>
            <w:r>
              <w:t xml:space="preserve">Permissive add-backs hide a breach (pp. 353–354, Realogy)</w:t>
            </w:r>
          </w:p>
        </w:tc>
      </w:tr>
      <w:tr>
        <w:tc>
          <w:tcPr>
            <w:tcW w:w="2036" w:type="dxa"/>
          </w:tcPr>
          <w:p>
            <w:pPr/>
            <w:r>
              <w:rPr>
                <w:rStyle w:val="CodeChar"/>
              </w:rPr>
              <w:t xml:space="preserve">margin</w:t>
            </w:r>
            <w:r>
              <w:t xml:space="preserve">, </w:t>
            </w:r>
            <w:r>
              <w:rPr>
                <w:rStyle w:val="CodeChar"/>
              </w:rPr>
              <w:t xml:space="preserve">margin_peer_gap</w:t>
            </w:r>
          </w:p>
        </w:tc>
        <w:tc>
          <w:tcPr>
            <w:tcW w:w="4106" w:type="dxa"/>
          </w:tcPr>
          <w:p>
            <w:pPr/>
            <w:r>
              <w:t xml:space="preserve">EBITDA margin, minus the peer median</w:t>
            </w:r>
          </w:p>
        </w:tc>
        <w:tc>
          <w:tcPr>
            <w:tcW w:w="3217" w:type="dxa"/>
          </w:tcPr>
          <w:p>
            <w:pPr/>
            <w:r>
              <w:t xml:space="preserve">HCA 17.3% against Tenet 5.9% (p. 413)</w:t>
            </w:r>
          </w:p>
        </w:tc>
      </w:tr>
      <w:tr>
        <w:tc>
          <w:tcPr>
            <w:tcW w:w="2036" w:type="dxa"/>
          </w:tcPr>
          <w:p>
            <w:pPr/>
            <w:r>
              <w:rPr>
                <w:rStyle w:val="CodeChar"/>
              </w:rPr>
              <w:t xml:space="preserve">margin_trend</w:t>
            </w:r>
          </w:p>
        </w:tc>
        <w:tc>
          <w:tcPr>
            <w:tcW w:w="4106" w:type="dxa"/>
          </w:tcPr>
          <w:p>
            <w:pPr/>
            <w:r>
              <w:t xml:space="preserve">Slope of margin on time over 8 quarters, divided by its standard error</w:t>
            </w:r>
          </w:p>
        </w:tc>
        <w:tc>
          <w:tcPr>
            <w:tcW w:w="3217" w:type="dxa"/>
          </w:tcPr>
          <w:p>
            <w:pPr/>
            <w:r>
              <w:t xml:space="preserve">Sign and strength of the operating trend</w:t>
            </w:r>
          </w:p>
        </w:tc>
      </w:tr>
      <w:tr>
        <w:tc>
          <w:tcPr>
            <w:tcW w:w="2036" w:type="dxa"/>
          </w:tcPr>
          <w:p>
            <w:pPr/>
            <w:r>
              <w:rPr>
                <w:rStyle w:val="CodeChar"/>
              </w:rPr>
              <w:t xml:space="preserve">organic_growth</w:t>
            </w:r>
          </w:p>
        </w:tc>
        <w:tc>
          <w:tcPr>
            <w:tcW w:w="4106" w:type="dxa"/>
          </w:tcPr>
          <w:p>
            <w:pPr/>
            <w:r>
              <w:t xml:space="preserve">Reported growth minus FX, M&amp;A, and price-mix effects (pp. 209–211)</w:t>
            </w:r>
          </w:p>
        </w:tc>
        <w:tc>
          <w:tcPr>
            <w:tcW w:w="3217" w:type="dxa"/>
          </w:tcPr>
          <w:p>
            <w:pPr/>
            <w:r>
              <w:t xml:space="preserve">Volume is the part that persists</w:t>
            </w:r>
          </w:p>
        </w:tc>
      </w:tr>
      <w:tr>
        <w:tc>
          <w:tcPr>
            <w:tcW w:w="2036" w:type="dxa"/>
          </w:tcPr>
          <w:p>
            <w:pPr/>
            <w:r>
              <w:rPr>
                <w:rStyle w:val="CodeChar"/>
              </w:rPr>
              <w:t xml:space="preserve">book_to_bill</w:t>
            </w:r>
            <w:r>
              <w:t xml:space="preserve">, </w:t>
            </w:r>
            <w:r>
              <w:rPr>
                <w:rStyle w:val="CodeChar"/>
              </w:rPr>
              <w:t xml:space="preserve">backlog_change</w:t>
            </w:r>
          </w:p>
        </w:tc>
        <w:tc>
          <w:tcPr>
            <w:tcW w:w="4106" w:type="dxa"/>
          </w:tcPr>
          <w:p>
            <w:pPr/>
            <w:r>
              <w:t xml:space="preserve">Orders over shipments; change in backlog (p. 207)</w:t>
            </w:r>
          </w:p>
        </w:tc>
        <w:tc>
          <w:tcPr>
            <w:tcW w:w="3217" w:type="dxa"/>
          </w:tcPr>
          <w:p>
            <w:pPr/>
            <w:r>
              <w:t xml:space="preserve">Leads revenue by one to two quarters</w:t>
            </w:r>
          </w:p>
        </w:tc>
      </w:tr>
      <w:tr>
        <w:tc>
          <w:tcPr>
            <w:tcW w:w="2036" w:type="dxa"/>
          </w:tcPr>
          <w:p>
            <w:pPr/>
            <w:r>
              <w:rPr>
                <w:rStyle w:val="CodeChar"/>
              </w:rPr>
              <w:t xml:space="preserve">surprise</w:t>
            </w:r>
          </w:p>
        </w:tc>
        <w:tc>
          <w:tcPr>
            <w:tcW w:w="4106" w:type="dxa"/>
          </w:tcPr>
          <w:p>
            <w:pPr/>
            <w:r>
              <w:rPr>
                <w:rStyle w:val="CodeChar"/>
              </w:rPr>
              <w:t xml:space="preserve">(ebitda_actual - consensus) / consensus</w:t>
            </w:r>
          </w:p>
        </w:tc>
        <w:tc>
          <w:tcPr>
            <w:tcW w:w="3217" w:type="dxa"/>
          </w:tcPr>
          <w:p>
            <w:pPr/>
            <w:r>
              <w:t xml:space="preserve">Beat or miss (p. 216); input to the revision signal</w:t>
            </w:r>
          </w:p>
        </w:tc>
      </w:tr>
      <w:tr>
        <w:tc>
          <w:tcPr>
            <w:tcW w:w="2036" w:type="dxa"/>
          </w:tcPr>
          <w:p>
            <w:pPr/>
            <w:r>
              <w:rPr>
                <w:rStyle w:val="CodeChar"/>
              </w:rPr>
              <w:t xml:space="preserve">eq_flags[]</w:t>
            </w:r>
          </w:p>
        </w:tc>
        <w:tc>
          <w:tcPr>
            <w:tcW w:w="4106" w:type="dxa"/>
          </w:tcPr>
          <w:p>
            <w:pPr/>
            <w:r>
              <w:t xml:space="preserve">Dealer dumping, orders behind shipments, FX inflation, M&amp;A inflation (Figure 7.23, p. 211); big bath, channel stuffing, capitalised opex (Figure 7.12, p. 202)</w:t>
            </w:r>
          </w:p>
        </w:tc>
        <w:tc>
          <w:tcPr>
            <w:tcW w:w="3217" w:type="dxa"/>
          </w:tcPr>
          <w:p>
            <w:pPr/>
            <w:r>
              <w:t xml:space="preserve">Each flag 0 or 1; the sum is an earnings quality penalty</w:t>
            </w:r>
          </w:p>
        </w:tc>
      </w:tr>
    </w:tbl>
    <w:p>
      <w:pPr>
        <w:pStyle w:val="Heading3"/>
      </w:pPr>
      <w:r>
        <w:t xml:space="preserve">4.2 Cash flow and liquidity (Chapter 8)</w:t>
      </w:r>
    </w:p>
    <w:p>
      <w:pPr/>
      <w:r>
        <w:t xml:space="preserve">The book's ten sub-steps (Figure 8.2, p. 228) reduce to one cash flow identity, one liquidity stock, and one time-to-wall measure.</w:t>
      </w:r>
    </w:p>
    <w:p>
      <w:pPr>
        <w:pStyle w:val="Code"/>
      </w:pPr>
      <w:bookmarkStart w:id="3" w:name="bongo_lang_latex_3"/>
      <w:bookmarkEnd w:id="3"/>
      <w:r>
        <w:t xml:space="preserve">FCF_t = EBITDA^{adj}_t - Capex_t - CashInterest_t - CashTax_t - \Delta WC_t</w:t>
      </w:r>
    </w:p>
    <w:p/>
    <w:p>
      <w:pPr>
        <w:pStyle w:val="Code"/>
      </w:pPr>
      <w:bookmarkStart w:id="4" w:name="bongo_lang_latex_4"/>
      <w:bookmarkEnd w:id="4"/>
      <w:r>
        <w:t xml:space="preserve">L_t = Cash_t + \min(Commitment_t, BorrowingBase_t) - Drawn_t - LC_t</w:t>
      </w:r>
    </w:p>
    <w:tbl>
      <w:tblPr>
        <w:tblStyle w:val="TableGrid"/>
        <w:tblW w:w="0" w:type="auto"/>
        <w:tblLayout w:type="fixed"/>
        <w:tblLook w:val="04A0" w:firstRow="1" w:lastRow="0" w:firstColumn="0" w:lastColumn="0" w:noHBand="0" w:noVBand="1"/>
      </w:tblPr>
      <w:tblGrid>
        <w:gridCol w:w="2396"/>
        <w:gridCol w:w="4094"/>
        <w:gridCol w:w="2870"/>
      </w:tblGrid>
      <w:tr>
        <w:trPr>
          <w:tblHeader/>
        </w:trPr>
        <w:tc>
          <w:tcPr>
            <w:tcW w:w="2396" w:type="dxa"/>
            <w:shd w:val="clear" w:color="auto" w:fill="F2F2F2"/>
          </w:tcPr>
          <w:p>
            <w:pPr/>
            <w:r>
              <w:t xml:space="preserve">Feature</w:t>
            </w:r>
          </w:p>
        </w:tc>
        <w:tc>
          <w:tcPr>
            <w:tcW w:w="4094" w:type="dxa"/>
            <w:shd w:val="clear" w:color="auto" w:fill="F2F2F2"/>
          </w:tcPr>
          <w:p>
            <w:pPr/>
            <w:r>
              <w:t xml:space="preserve">Formula</w:t>
            </w:r>
          </w:p>
        </w:tc>
        <w:tc>
          <w:tcPr>
            <w:tcW w:w="2870" w:type="dxa"/>
            <w:shd w:val="clear" w:color="auto" w:fill="F2F2F2"/>
          </w:tcPr>
          <w:p>
            <w:pPr/>
            <w:r>
              <w:t xml:space="preserve">Intuition and reference</w:t>
            </w:r>
          </w:p>
        </w:tc>
      </w:tr>
      <w:tr>
        <w:tc>
          <w:tcPr>
            <w:tcW w:w="2396" w:type="dxa"/>
          </w:tcPr>
          <w:p>
            <w:pPr/>
            <w:r>
              <w:rPr>
                <w:rStyle w:val="CodeChar"/>
              </w:rPr>
              <w:t xml:space="preserve">fcf_conversion</w:t>
            </w:r>
          </w:p>
        </w:tc>
        <w:tc>
          <w:tcPr>
            <w:tcW w:w="4094" w:type="dxa"/>
          </w:tcPr>
          <w:p>
            <w:pPr/>
            <w:r>
              <w:rPr>
                <w:rStyle w:val="CodeChar"/>
              </w:rPr>
              <w:t xml:space="preserve">fcf / ebitda_adj</w:t>
            </w:r>
          </w:p>
        </w:tc>
        <w:tc>
          <w:tcPr>
            <w:tcW w:w="2870" w:type="dxa"/>
          </w:tcPr>
          <w:p>
            <w:pPr/>
            <w:r>
              <w:t xml:space="preserve">Share of earnings that reaches debt service</w:t>
            </w:r>
          </w:p>
        </w:tc>
      </w:tr>
      <w:tr>
        <w:tc>
          <w:tcPr>
            <w:tcW w:w="2396" w:type="dxa"/>
          </w:tcPr>
          <w:p>
            <w:pPr/>
            <w:r>
              <w:rPr>
                <w:rStyle w:val="CodeChar"/>
              </w:rPr>
              <w:t xml:space="preserve">fcf_to_debt</w:t>
            </w:r>
          </w:p>
        </w:tc>
        <w:tc>
          <w:tcPr>
            <w:tcW w:w="4094" w:type="dxa"/>
          </w:tcPr>
          <w:p>
            <w:pPr/>
            <w:r>
              <w:rPr>
                <w:rStyle w:val="CodeChar"/>
              </w:rPr>
              <w:t xml:space="preserve">fcf / total_debt</w:t>
            </w:r>
          </w:p>
        </w:tc>
        <w:tc>
          <w:tcPr>
            <w:tcW w:w="2870" w:type="dxa"/>
          </w:tcPr>
          <w:p>
            <w:pPr/>
            <w:r>
              <w:t xml:space="preserve">Years to repay from cash flow</w:t>
            </w:r>
          </w:p>
        </w:tc>
      </w:tr>
      <w:tr>
        <w:tc>
          <w:tcPr>
            <w:tcW w:w="2396" w:type="dxa"/>
          </w:tcPr>
          <w:p>
            <w:pPr/>
            <w:r>
              <w:rPr>
                <w:rStyle w:val="CodeChar"/>
              </w:rPr>
              <w:t xml:space="preserve">cash_cycle</w:t>
            </w:r>
          </w:p>
        </w:tc>
        <w:tc>
          <w:tcPr>
            <w:tcW w:w="4094" w:type="dxa"/>
          </w:tcPr>
          <w:p>
            <w:pPr/>
            <w:r>
              <w:t xml:space="preserve">Inventory days plus receivable days minus payable days (Figure 8.6, p. 230; formulas pp. 240–242)</w:t>
            </w:r>
          </w:p>
        </w:tc>
        <w:tc>
          <w:tcPr>
            <w:tcW w:w="2870" w:type="dxa"/>
          </w:tcPr>
          <w:p>
            <w:pPr/>
            <w:r>
              <w:t xml:space="preserve">A longer cycle consumes cash as sales grow</w:t>
            </w:r>
          </w:p>
        </w:tc>
      </w:tr>
      <w:tr>
        <w:tc>
          <w:tcPr>
            <w:tcW w:w="2396" w:type="dxa"/>
          </w:tcPr>
          <w:p>
            <w:pPr/>
            <w:r>
              <w:rPr>
                <w:rStyle w:val="CodeChar"/>
              </w:rPr>
              <w:t xml:space="preserve">payable_days_trend</w:t>
            </w:r>
          </w:p>
        </w:tc>
        <w:tc>
          <w:tcPr>
            <w:tcW w:w="4094" w:type="dxa"/>
          </w:tcPr>
          <w:p>
            <w:pPr/>
            <w:r>
              <w:t xml:space="preserve">Change in payable days over 4 quarters</w:t>
            </w:r>
          </w:p>
        </w:tc>
        <w:tc>
          <w:tcPr>
            <w:tcW w:w="2870" w:type="dxa"/>
          </w:tcPr>
          <w:p>
            <w:pPr/>
            <w:r>
              <w:t xml:space="preserve">A fall signals trade credit tightening (p. 231)</w:t>
            </w:r>
          </w:p>
        </w:tc>
      </w:tr>
      <w:tr>
        <w:tc>
          <w:tcPr>
            <w:tcW w:w="2396" w:type="dxa"/>
          </w:tcPr>
          <w:p>
            <w:pPr/>
            <w:r>
              <w:rPr>
                <w:rStyle w:val="CodeChar"/>
              </w:rPr>
              <w:t xml:space="preserve">liquidity_L</w:t>
            </w:r>
          </w:p>
        </w:tc>
        <w:tc>
          <w:tcPr>
            <w:tcW w:w="4094" w:type="dxa"/>
          </w:tcPr>
          <w:p>
            <w:pPr/>
            <w:r>
              <w:t xml:space="preserve">Static liquidity, formula above (Figure 8.3, p. 229)</w:t>
            </w:r>
          </w:p>
        </w:tc>
        <w:tc>
          <w:tcPr>
            <w:tcW w:w="2870" w:type="dxa"/>
          </w:tcPr>
          <w:p>
            <w:pPr/>
            <w:r>
              <w:t xml:space="preserve">What the issuer can draw today</w:t>
            </w:r>
          </w:p>
        </w:tc>
      </w:tr>
      <w:tr>
        <w:tc>
          <w:tcPr>
            <w:tcW w:w="2396" w:type="dxa"/>
          </w:tcPr>
          <w:p>
            <w:pPr/>
            <w:r>
              <w:rPr>
                <w:rStyle w:val="CodeChar"/>
              </w:rPr>
              <w:t xml:space="preserve">runway_q</w:t>
            </w:r>
          </w:p>
        </w:tc>
        <w:tc>
          <w:tcPr>
            <w:tcW w:w="4094" w:type="dxa"/>
          </w:tcPr>
          <w:p>
            <w:pPr/>
            <w:r>
              <w:rPr>
                <w:rStyle w:val="CodeChar"/>
              </w:rPr>
              <w:t xml:space="preserve">L / max(0, -fcf_quarterly)</w:t>
            </w:r>
            <w:r>
              <w:t xml:space="preserve">; infinite when FCF is positive</w:t>
            </w:r>
          </w:p>
        </w:tc>
        <w:tc>
          <w:tcPr>
            <w:tcW w:w="2870" w:type="dxa"/>
          </w:tcPr>
          <w:p>
            <w:pPr/>
            <w:r>
              <w:t xml:space="preserve">Quarters until the cash runs out</w:t>
            </w:r>
          </w:p>
        </w:tc>
      </w:tr>
      <w:tr>
        <w:tc>
          <w:tcPr>
            <w:tcW w:w="2396" w:type="dxa"/>
          </w:tcPr>
          <w:p>
            <w:pPr/>
            <w:r>
              <w:rPr>
                <w:rStyle w:val="CodeChar"/>
              </w:rPr>
              <w:t xml:space="preserve">wall_cover_h</w:t>
            </w:r>
          </w:p>
        </w:tc>
        <w:tc>
          <w:tcPr>
            <w:tcW w:w="4094" w:type="dxa"/>
          </w:tcPr>
          <w:p>
            <w:pPr/>
            <w:r>
              <w:rPr>
                <w:rStyle w:val="CodeChar"/>
              </w:rPr>
              <w:t xml:space="preserve">(L + sum of forecast FCF to h) / sum of maturities to h</w:t>
            </w:r>
            <w:r>
              <w:t xml:space="preserve">, for h of 4 and 8 quarters</w:t>
            </w:r>
          </w:p>
        </w:tc>
        <w:tc>
          <w:tcPr>
            <w:tcW w:w="2870" w:type="dxa"/>
          </w:tcPr>
          <w:p>
            <w:pPr/>
            <w:r>
              <w:t xml:space="preserve">Below 1 means the issuer must refinance</w:t>
            </w:r>
          </w:p>
        </w:tc>
      </w:tr>
      <w:tr>
        <w:tc>
          <w:tcPr>
            <w:tcW w:w="2396" w:type="dxa"/>
          </w:tcPr>
          <w:p>
            <w:pPr/>
            <w:r>
              <w:rPr>
                <w:rStyle w:val="CodeChar"/>
              </w:rPr>
              <w:t xml:space="preserve">capex_flex</w:t>
            </w:r>
          </w:p>
        </w:tc>
        <w:tc>
          <w:tcPr>
            <w:tcW w:w="4094" w:type="dxa"/>
          </w:tcPr>
          <w:p>
            <w:pPr/>
            <w:r>
              <w:rPr>
                <w:rStyle w:val="CodeChar"/>
              </w:rPr>
              <w:t xml:space="preserve">(capex_total - capex_maintenance) / capex_total</w:t>
            </w:r>
          </w:p>
        </w:tc>
        <w:tc>
          <w:tcPr>
            <w:tcW w:w="2870" w:type="dxa"/>
          </w:tcPr>
          <w:p>
            <w:pPr/>
            <w:r>
              <w:t xml:space="preserve">Discretionary capex that can be cut (p. 266)</w:t>
            </w:r>
          </w:p>
        </w:tc>
      </w:tr>
      <w:tr>
        <w:tc>
          <w:tcPr>
            <w:tcW w:w="2396" w:type="dxa"/>
          </w:tcPr>
          <w:p>
            <w:pPr/>
            <w:r>
              <w:rPr>
                <w:rStyle w:val="CodeChar"/>
              </w:rPr>
              <w:t xml:space="preserve">refi_access</w:t>
            </w:r>
          </w:p>
        </w:tc>
        <w:tc>
          <w:tcPr>
            <w:tcW w:w="4094" w:type="dxa"/>
          </w:tcPr>
          <w:p>
            <w:pPr/>
            <w:r>
              <w:t xml:space="preserve">Score from recent raises, unencumbered assets, ratings, trading levels (p. 231)</w:t>
            </w:r>
          </w:p>
        </w:tc>
        <w:tc>
          <w:tcPr>
            <w:tcW w:w="2870" w:type="dxa"/>
          </w:tcPr>
          <w:p>
            <w:pPr/>
            <w:r>
              <w:t xml:space="preserve">Can the issuer reach the market</w:t>
            </w:r>
          </w:p>
        </w:tc>
      </w:tr>
      <w:tr>
        <w:tc>
          <w:tcPr>
            <w:tcW w:w="2396" w:type="dxa"/>
          </w:tcPr>
          <w:p>
            <w:pPr/>
            <w:r>
              <w:rPr>
                <w:rStyle w:val="CodeChar"/>
              </w:rPr>
              <w:t xml:space="preserve">other_levers</w:t>
            </w:r>
          </w:p>
        </w:tc>
        <w:tc>
          <w:tcPr>
            <w:tcW w:w="4094" w:type="dxa"/>
          </w:tcPr>
          <w:p>
            <w:pPr/>
            <w:r>
              <w:t xml:space="preserve">Non-core asset sales, receivable securitisation, FILO tranche, division sale (p. 231)</w:t>
            </w:r>
          </w:p>
        </w:tc>
        <w:tc>
          <w:tcPr>
            <w:tcW w:w="2870" w:type="dxa"/>
          </w:tcPr>
          <w:p>
            <w:pPr/>
            <w:r>
              <w:t xml:space="preserve">Each as a dollar estimate with a probability</w:t>
            </w:r>
          </w:p>
        </w:tc>
      </w:tr>
    </w:tbl>
    <w:p>
      <w:pPr>
        <w:pStyle w:val="Heading3"/>
      </w:pPr>
      <w:r>
        <w:t xml:space="preserve">4.3 Capital structure (Chapter 9)</w:t>
      </w:r>
    </w:p>
    <w:p>
      <w:pPr/>
      <w:r>
        <w:t xml:space="preserve">Compute the ratios through each tranche. Senior claims enter at face. The tranche under analysis enters at market (p. 264). The market version is the creation multiple: the valuation at which a buyer of the tranche creates the company.</w:t>
      </w:r>
    </w:p>
    <w:p>
      <w:pPr>
        <w:pStyle w:val="Code"/>
      </w:pPr>
      <w:bookmarkStart w:id="5" w:name="bongo_lang_latex_5"/>
      <w:bookmarkEnd w:id="5"/>
      <w:r>
        <w:t xml:space="preserve">Lev^{face}_k = \frac{\sum_{j:\, rank_j \le rank_k} F_j}{EBITDA^{adj}}, \qquad Lev^{mkt}_k = \frac{\sum_{j:\, rank_j &lt; rank_k} F_j + P_k F_k}{EBITDA^{adj}}</w:t>
      </w:r>
    </w:p>
    <w:p/>
    <w:p>
      <w:pPr>
        <w:pStyle w:val="Code"/>
      </w:pPr>
      <w:bookmarkStart w:id="6" w:name="bongo_lang_latex_6"/>
      <w:bookmarkEnd w:id="6"/>
      <w:r>
        <w:t xml:space="preserve">LTV_k = \frac{\sum_{j:\, rank_j \le rank_k} F_j}{TEV}, \qquad Cov = \frac{EBITDA^{adj} - Capex}{Interest}</w:t>
      </w:r>
    </w:p>
    <w:tbl>
      <w:tblPr>
        <w:tblStyle w:val="TableGrid"/>
        <w:tblW w:w="0" w:type="auto"/>
        <w:tblLayout w:type="fixed"/>
        <w:tblLook w:val="04A0" w:firstRow="1" w:lastRow="0" w:firstColumn="0" w:lastColumn="0" w:noHBand="0" w:noVBand="1"/>
      </w:tblPr>
      <w:tblGrid>
        <w:gridCol w:w="2675"/>
        <w:gridCol w:w="3228"/>
        <w:gridCol w:w="3457"/>
      </w:tblGrid>
      <w:tr>
        <w:trPr>
          <w:tblHeader/>
        </w:trPr>
        <w:tc>
          <w:tcPr>
            <w:tcW w:w="2675" w:type="dxa"/>
            <w:shd w:val="clear" w:color="auto" w:fill="F2F2F2"/>
          </w:tcPr>
          <w:p>
            <w:pPr/>
            <w:r>
              <w:t xml:space="preserve">Feature</w:t>
            </w:r>
          </w:p>
        </w:tc>
        <w:tc>
          <w:tcPr>
            <w:tcW w:w="3228" w:type="dxa"/>
            <w:shd w:val="clear" w:color="auto" w:fill="F2F2F2"/>
          </w:tcPr>
          <w:p>
            <w:pPr/>
            <w:r>
              <w:t xml:space="preserve">Formula</w:t>
            </w:r>
          </w:p>
        </w:tc>
        <w:tc>
          <w:tcPr>
            <w:tcW w:w="3457" w:type="dxa"/>
            <w:shd w:val="clear" w:color="auto" w:fill="F2F2F2"/>
          </w:tcPr>
          <w:p>
            <w:pPr/>
            <w:r>
              <w:t xml:space="preserve">Intuition and reference</w:t>
            </w:r>
          </w:p>
        </w:tc>
      </w:tr>
      <w:tr>
        <w:tc>
          <w:tcPr>
            <w:tcW w:w="2675" w:type="dxa"/>
          </w:tcPr>
          <w:p>
            <w:pPr/>
            <w:r>
              <w:rPr>
                <w:rStyle w:val="CodeChar"/>
              </w:rPr>
              <w:t xml:space="preserve">lev_face_k</w:t>
            </w:r>
            <w:r>
              <w:t xml:space="preserve">, </w:t>
            </w:r>
            <w:r>
              <w:rPr>
                <w:rStyle w:val="CodeChar"/>
              </w:rPr>
              <w:t xml:space="preserve">lev_mkt_k</w:t>
            </w:r>
          </w:p>
        </w:tc>
        <w:tc>
          <w:tcPr>
            <w:tcW w:w="3228" w:type="dxa"/>
          </w:tcPr>
          <w:p>
            <w:pPr/>
            <w:r>
              <w:t xml:space="preserve">Formulas above (Figure 9.6, p. 261; Figure 9.9, p. 265)</w:t>
            </w:r>
          </w:p>
        </w:tc>
        <w:tc>
          <w:tcPr>
            <w:tcW w:w="3457" w:type="dxa"/>
          </w:tcPr>
          <w:p>
            <w:pPr/>
            <w:r>
              <w:t xml:space="preserve">Turns of EBITDA the company must be worth for tranche k to be whole</w:t>
            </w:r>
          </w:p>
        </w:tc>
      </w:tr>
      <w:tr>
        <w:tc>
          <w:tcPr>
            <w:tcW w:w="2675" w:type="dxa"/>
          </w:tcPr>
          <w:p>
            <w:pPr/>
            <w:r>
              <w:rPr>
                <w:rStyle w:val="CodeChar"/>
              </w:rPr>
              <w:t xml:space="preserve">ltv_k</w:t>
            </w:r>
          </w:p>
        </w:tc>
        <w:tc>
          <w:tcPr>
            <w:tcW w:w="3228" w:type="dxa"/>
          </w:tcPr>
          <w:p>
            <w:pPr/>
            <w:r>
              <w:t xml:space="preserve">Formula above (p. 265)</w:t>
            </w:r>
          </w:p>
        </w:tc>
        <w:tc>
          <w:tcPr>
            <w:tcW w:w="3457" w:type="dxa"/>
          </w:tcPr>
          <w:p>
            <w:pPr/>
            <w:r>
              <w:t xml:space="preserve">Section 6 supplies the TEV range</w:t>
            </w:r>
          </w:p>
        </w:tc>
      </w:tr>
      <w:tr>
        <w:tc>
          <w:tcPr>
            <w:tcW w:w="2675" w:type="dxa"/>
          </w:tcPr>
          <w:p>
            <w:pPr/>
            <w:r>
              <w:rPr>
                <w:rStyle w:val="CodeChar"/>
              </w:rPr>
              <w:t xml:space="preserve">coverage</w:t>
            </w:r>
          </w:p>
        </w:tc>
        <w:tc>
          <w:tcPr>
            <w:tcW w:w="3228" w:type="dxa"/>
          </w:tcPr>
          <w:p>
            <w:pPr/>
            <w:r>
              <w:t xml:space="preserve">Formula above (p. 262)</w:t>
            </w:r>
          </w:p>
        </w:tc>
        <w:tc>
          <w:tcPr>
            <w:tcW w:w="3457" w:type="dxa"/>
          </w:tcPr>
          <w:p>
            <w:pPr/>
            <w:r>
              <w:t xml:space="preserve">Maintenance capex version is the floor</w:t>
            </w:r>
          </w:p>
        </w:tc>
      </w:tr>
      <w:tr>
        <w:tc>
          <w:tcPr>
            <w:tcW w:w="2675" w:type="dxa"/>
          </w:tcPr>
          <w:p>
            <w:pPr/>
            <w:r>
              <w:rPr>
                <w:rStyle w:val="CodeChar"/>
              </w:rPr>
              <w:t xml:space="preserve">lev_lease_adj</w:t>
            </w:r>
          </w:p>
        </w:tc>
        <w:tc>
          <w:tcPr>
            <w:tcW w:w="3228" w:type="dxa"/>
          </w:tcPr>
          <w:p>
            <w:pPr/>
            <w:r>
              <w:rPr>
                <w:rStyle w:val="CodeChar"/>
              </w:rPr>
              <w:t xml:space="preserve">(debt + 8 × rent) / (ebitda_adj + rent)</w:t>
            </w:r>
            <w:r>
              <w:t xml:space="preserve"> (pp. 267–268)</w:t>
            </w:r>
          </w:p>
        </w:tc>
        <w:tc>
          <w:tcPr>
            <w:tcW w:w="3457" w:type="dxa"/>
          </w:tcPr>
          <w:p>
            <w:pPr/>
            <w:r>
              <w:t xml:space="preserve">Retail and restaurants move most</w:t>
            </w:r>
          </w:p>
        </w:tc>
      </w:tr>
      <w:tr>
        <w:tc>
          <w:tcPr>
            <w:tcW w:w="2675" w:type="dxa"/>
          </w:tcPr>
          <w:p>
            <w:pPr/>
            <w:r>
              <w:rPr>
                <w:rStyle w:val="CodeChar"/>
              </w:rPr>
              <w:t xml:space="preserve">debt_adj</w:t>
            </w:r>
          </w:p>
        </w:tc>
        <w:tc>
          <w:tcPr>
            <w:tcW w:w="3228" w:type="dxa"/>
          </w:tcPr>
          <w:p>
            <w:pPr/>
            <w:r>
              <w:t xml:space="preserve">Debt plus pension deficit plus guarantees to weak parties (p. 273)</w:t>
            </w:r>
          </w:p>
        </w:tc>
        <w:tc>
          <w:tcPr>
            <w:tcW w:w="3457" w:type="dxa"/>
          </w:tcPr>
          <w:p>
            <w:pPr/>
            <w:r>
              <w:t xml:space="preserve">Krispy Kreme franchisee guarantees</w:t>
            </w:r>
          </w:p>
        </w:tc>
      </w:tr>
      <w:tr>
        <w:tc>
          <w:tcPr>
            <w:tcW w:w="2675" w:type="dxa"/>
          </w:tcPr>
          <w:p>
            <w:pPr/>
            <w:r>
              <w:rPr>
                <w:rStyle w:val="CodeChar"/>
              </w:rPr>
              <w:t xml:space="preserve">lev_adj_k</w:t>
            </w:r>
          </w:p>
        </w:tc>
        <w:tc>
          <w:tcPr>
            <w:tcW w:w="3228" w:type="dxa"/>
          </w:tcPr>
          <w:p>
            <w:pPr/>
            <w:r>
              <w:rPr>
                <w:rStyle w:val="CodeChar"/>
              </w:rPr>
              <w:t xml:space="preserve">lev_face_k</w:t>
            </w:r>
            <w:r>
              <w:t xml:space="preserve"> with </w:t>
            </w:r>
            <w:r>
              <w:rPr>
                <w:rStyle w:val="CodeChar"/>
              </w:rPr>
              <w:t xml:space="preserve">debt_adj</w:t>
            </w:r>
          </w:p>
        </w:tc>
        <w:tc>
          <w:tcPr>
            <w:tcW w:w="3457" w:type="dxa"/>
          </w:tcPr>
          <w:p>
            <w:pPr/>
            <w:r>
              <w:t xml:space="preserve">The version used in the fair spread model</w:t>
            </w:r>
          </w:p>
        </w:tc>
      </w:tr>
      <w:tr>
        <w:tc>
          <w:tcPr>
            <w:tcW w:w="2675" w:type="dxa"/>
          </w:tcPr>
          <w:p>
            <w:pPr/>
            <w:r>
              <w:rPr>
                <w:rStyle w:val="CodeChar"/>
              </w:rPr>
              <w:t xml:space="preserve">net_lev</w:t>
            </w:r>
          </w:p>
        </w:tc>
        <w:tc>
          <w:tcPr>
            <w:tcW w:w="3228" w:type="dxa"/>
          </w:tcPr>
          <w:p>
            <w:pPr/>
            <w:r>
              <w:rPr>
                <w:rStyle w:val="CodeChar"/>
              </w:rPr>
              <w:t xml:space="preserve">(debt - cash) / ebitda_adj</w:t>
            </w:r>
          </w:p>
        </w:tc>
        <w:tc>
          <w:tcPr>
            <w:tcW w:w="3457" w:type="dxa"/>
          </w:tcPr>
          <w:p>
            <w:pPr/>
            <w:r>
              <w:t xml:space="preserve">Cash is a claim only if unrestricted</w:t>
            </w:r>
          </w:p>
        </w:tc>
      </w:tr>
    </w:tbl>
    <w:p>
      <w:pPr>
        <w:pStyle w:val="Heading3"/>
      </w:pPr>
      <w:r>
        <w:t xml:space="preserve">4.4 Qualitative risk flags (Chapter 6)</w:t>
      </w:r>
    </w:p>
    <w:p>
      <w:pPr/>
      <w:r>
        <w:t xml:space="preserve">Score each of the eight risks in Figure 6.2 (p. 158) on 0, 1, or 2. Add management, sponsor, and strategy items. Store the vector, not only the sum, because the fair spread model learns a weight per flag.</w:t>
      </w:r>
    </w:p>
    <w:tbl>
      <w:tblPr>
        <w:tblStyle w:val="TableGrid"/>
        <w:tblW w:w="0" w:type="auto"/>
        <w:tblLayout w:type="fixed"/>
        <w:tblLook w:val="04A0" w:firstRow="1" w:lastRow="0" w:firstColumn="0" w:lastColumn="0" w:noHBand="0" w:noVBand="1"/>
      </w:tblPr>
      <w:tblGrid>
        <w:gridCol w:w="2876"/>
        <w:gridCol w:w="4036"/>
        <w:gridCol w:w="2448"/>
      </w:tblGrid>
      <w:tr>
        <w:trPr>
          <w:tblHeader/>
        </w:trPr>
        <w:tc>
          <w:tcPr>
            <w:tcW w:w="2876" w:type="dxa"/>
            <w:shd w:val="clear" w:color="auto" w:fill="F2F2F2"/>
          </w:tcPr>
          <w:p>
            <w:pPr/>
            <w:r>
              <w:t xml:space="preserve">Flag</w:t>
            </w:r>
          </w:p>
        </w:tc>
        <w:tc>
          <w:tcPr>
            <w:tcW w:w="4036" w:type="dxa"/>
            <w:shd w:val="clear" w:color="auto" w:fill="F2F2F2"/>
          </w:tcPr>
          <w:p>
            <w:pPr/>
            <w:r>
              <w:t xml:space="preserve">Score rule</w:t>
            </w:r>
          </w:p>
        </w:tc>
        <w:tc>
          <w:tcPr>
            <w:tcW w:w="2448" w:type="dxa"/>
            <w:shd w:val="clear" w:color="auto" w:fill="F2F2F2"/>
          </w:tcPr>
          <w:p>
            <w:pPr/>
            <w:r>
              <w:t xml:space="preserve">Downstream use</w:t>
            </w:r>
          </w:p>
        </w:tc>
      </w:tr>
      <w:tr>
        <w:tc>
          <w:tcPr>
            <w:tcW w:w="2876" w:type="dxa"/>
          </w:tcPr>
          <w:p>
            <w:pPr/>
            <w:r>
              <w:rPr>
                <w:rStyle w:val="CodeChar"/>
              </w:rPr>
              <w:t xml:space="preserve">secular_decline</w:t>
            </w:r>
          </w:p>
        </w:tc>
        <w:tc>
          <w:tcPr>
            <w:tcW w:w="4036" w:type="dxa"/>
          </w:tcPr>
          <w:p>
            <w:pPr/>
            <w:r>
              <w:t xml:space="preserve">2 if the industry volume falls over 5 years with no cyclical cause</w:t>
            </w:r>
          </w:p>
        </w:tc>
        <w:tc>
          <w:tcPr>
            <w:tcW w:w="2448" w:type="dxa"/>
          </w:tcPr>
          <w:p>
            <w:pPr/>
            <w:r>
              <w:t xml:space="preserve">Restructuring charges become recurrent (p. 192)</w:t>
            </w:r>
          </w:p>
        </w:tc>
      </w:tr>
      <w:tr>
        <w:tc>
          <w:tcPr>
            <w:tcW w:w="2876" w:type="dxa"/>
          </w:tcPr>
          <w:p>
            <w:pPr/>
            <w:r>
              <w:rPr>
                <w:rStyle w:val="CodeChar"/>
              </w:rPr>
              <w:t xml:space="preserve">adverse_competition</w:t>
            </w:r>
          </w:p>
        </w:tc>
        <w:tc>
          <w:tcPr>
            <w:tcW w:w="4036" w:type="dxa"/>
          </w:tcPr>
          <w:p>
            <w:pPr/>
            <w:r>
              <w:t xml:space="preserve">Industry class by level of competition (Figure 6.3, p. 161)</w:t>
            </w:r>
          </w:p>
        </w:tc>
        <w:tc>
          <w:tcPr>
            <w:tcW w:w="2448" w:type="dxa"/>
          </w:tcPr>
          <w:p>
            <w:pPr/>
            <w:r>
              <w:t xml:space="preserve">Margin pressure in the downside case</w:t>
            </w:r>
          </w:p>
        </w:tc>
      </w:tr>
      <w:tr>
        <w:tc>
          <w:tcPr>
            <w:tcW w:w="2876" w:type="dxa"/>
          </w:tcPr>
          <w:p>
            <w:pPr/>
            <w:r>
              <w:rPr>
                <w:rStyle w:val="CodeChar"/>
              </w:rPr>
              <w:t xml:space="preserve">cyclicality</w:t>
            </w:r>
          </w:p>
        </w:tc>
        <w:tc>
          <w:tcPr>
            <w:tcW w:w="4036" w:type="dxa"/>
          </w:tcPr>
          <w:p>
            <w:pPr/>
            <w:r>
              <w:t xml:space="preserve">Type of cycle (Figure 6.4, p. 163) and peak-to-trough revenue in the last recession</w:t>
            </w:r>
          </w:p>
        </w:tc>
        <w:tc>
          <w:tcPr>
            <w:tcW w:w="2448" w:type="dxa"/>
          </w:tcPr>
          <w:p>
            <w:pPr/>
            <w:r>
              <w:t xml:space="preserve">Sets the downside severity in Section 5 (p. 287)</w:t>
            </w:r>
          </w:p>
        </w:tc>
      </w:tr>
      <w:tr>
        <w:tc>
          <w:tcPr>
            <w:tcW w:w="2876" w:type="dxa"/>
          </w:tcPr>
          <w:p>
            <w:pPr/>
            <w:r>
              <w:rPr>
                <w:rStyle w:val="CodeChar"/>
              </w:rPr>
              <w:t xml:space="preserve">regulation</w:t>
            </w:r>
          </w:p>
        </w:tc>
        <w:tc>
          <w:tcPr>
            <w:tcW w:w="4036" w:type="dxa"/>
          </w:tcPr>
          <w:p>
            <w:pPr/>
            <w:r>
              <w:t xml:space="preserve">Probability and impact of a rule change (p. 158)</w:t>
            </w:r>
          </w:p>
        </w:tc>
        <w:tc>
          <w:tcPr>
            <w:tcW w:w="2448" w:type="dxa"/>
          </w:tcPr>
          <w:p>
            <w:pPr/>
            <w:r>
              <w:t xml:space="preserve">Event type in Section 9</w:t>
            </w:r>
          </w:p>
        </w:tc>
      </w:tr>
      <w:tr>
        <w:tc>
          <w:tcPr>
            <w:tcW w:w="2876" w:type="dxa"/>
          </w:tcPr>
          <w:p>
            <w:pPr/>
            <w:r>
              <w:rPr>
                <w:rStyle w:val="CodeChar"/>
              </w:rPr>
              <w:t xml:space="preserve">customer_concentration</w:t>
            </w:r>
          </w:p>
        </w:tc>
        <w:tc>
          <w:tcPr>
            <w:tcW w:w="4036" w:type="dxa"/>
          </w:tcPr>
          <w:p>
            <w:pPr/>
            <w:r>
              <w:t xml:space="preserve">Share of the top customer and top five (Figure 6.7, p. 166)</w:t>
            </w:r>
          </w:p>
        </w:tc>
        <w:tc>
          <w:tcPr>
            <w:tcW w:w="2448" w:type="dxa"/>
          </w:tcPr>
          <w:p>
            <w:pPr/>
            <w:r>
              <w:t xml:space="preserve">Jump risk on contract loss</w:t>
            </w:r>
          </w:p>
        </w:tc>
      </w:tr>
      <w:tr>
        <w:tc>
          <w:tcPr>
            <w:tcW w:w="2876" w:type="dxa"/>
          </w:tcPr>
          <w:p>
            <w:pPr/>
            <w:r>
              <w:rPr>
                <w:rStyle w:val="CodeChar"/>
              </w:rPr>
              <w:t xml:space="preserve">product_concentration</w:t>
            </w:r>
          </w:p>
        </w:tc>
        <w:tc>
          <w:tcPr>
            <w:tcW w:w="4036" w:type="dxa"/>
          </w:tcPr>
          <w:p>
            <w:pPr/>
            <w:r>
              <w:t xml:space="preserve">Share of the top product (Figure 6.8, p. 169)</w:t>
            </w:r>
          </w:p>
        </w:tc>
        <w:tc>
          <w:tcPr>
            <w:tcW w:w="2448" w:type="dxa"/>
          </w:tcPr>
          <w:p>
            <w:pPr/>
            <w:r>
              <w:t xml:space="preserve">Same</w:t>
            </w:r>
          </w:p>
        </w:tc>
      </w:tr>
      <w:tr>
        <w:tc>
          <w:tcPr>
            <w:tcW w:w="2876" w:type="dxa"/>
          </w:tcPr>
          <w:p>
            <w:pPr/>
            <w:r>
              <w:rPr>
                <w:rStyle w:val="CodeChar"/>
              </w:rPr>
              <w:t xml:space="preserve">fad_fashion</w:t>
            </w:r>
          </w:p>
        </w:tc>
        <w:tc>
          <w:tcPr>
            <w:tcW w:w="4036" w:type="dxa"/>
          </w:tcPr>
          <w:p>
            <w:pPr/>
            <w:r>
              <w:t xml:space="preserve">Inventory write-down frequency (p. 192; Figure 6.9, p. 170)</w:t>
            </w:r>
          </w:p>
        </w:tc>
        <w:tc>
          <w:tcPr>
            <w:tcW w:w="2448" w:type="dxa"/>
          </w:tcPr>
          <w:p>
            <w:pPr/>
            <w:r>
              <w:t xml:space="preserve">Treat write-downs as recurrent</w:t>
            </w:r>
          </w:p>
        </w:tc>
      </w:tr>
      <w:tr>
        <w:tc>
          <w:tcPr>
            <w:tcW w:w="2876" w:type="dxa"/>
          </w:tcPr>
          <w:p>
            <w:pPr/>
            <w:r>
              <w:rPr>
                <w:rStyle w:val="CodeChar"/>
              </w:rPr>
              <w:t xml:space="preserve">commodity</w:t>
            </w:r>
          </w:p>
        </w:tc>
        <w:tc>
          <w:tcPr>
            <w:tcW w:w="4036" w:type="dxa"/>
          </w:tcPr>
          <w:p>
            <w:pPr/>
            <w:r>
              <w:t xml:space="preserve">Input or output price exposure and hedge ratio (Figure 6.10, p. 172)</w:t>
            </w:r>
          </w:p>
        </w:tc>
        <w:tc>
          <w:tcPr>
            <w:tcW w:w="2448" w:type="dxa"/>
          </w:tcPr>
          <w:p>
            <w:pPr/>
            <w:r>
              <w:t xml:space="preserve">Links to </w:t>
            </w:r>
            <w:r>
              <w:rPr>
                <w:rStyle w:val="CodeChar"/>
              </w:rPr>
              <w:t xml:space="preserve">sector_drivers</w:t>
            </w:r>
          </w:p>
        </w:tc>
      </w:tr>
      <w:tr>
        <w:tc>
          <w:tcPr>
            <w:tcW w:w="2876" w:type="dxa"/>
          </w:tcPr>
          <w:p>
            <w:pPr/>
            <w:r>
              <w:rPr>
                <w:rStyle w:val="CodeChar"/>
              </w:rPr>
              <w:t xml:space="preserve">mgmt_change</w:t>
            </w:r>
          </w:p>
        </w:tc>
        <w:tc>
          <w:tcPr>
            <w:tcW w:w="4036" w:type="dxa"/>
          </w:tcPr>
          <w:p>
            <w:pPr/>
            <w:r>
              <w:t xml:space="preserve">CEO or CFO change in the last 8 quarters</w:t>
            </w:r>
          </w:p>
        </w:tc>
        <w:tc>
          <w:tcPr>
            <w:tcW w:w="2448" w:type="dxa"/>
          </w:tcPr>
          <w:p>
            <w:pPr/>
            <w:r>
              <w:t xml:space="preserve">JCPenney 2011 as the case (p. 184)</w:t>
            </w:r>
          </w:p>
        </w:tc>
      </w:tr>
      <w:tr>
        <w:tc>
          <w:tcPr>
            <w:tcW w:w="2876" w:type="dxa"/>
          </w:tcPr>
          <w:p>
            <w:pPr/>
            <w:r>
              <w:rPr>
                <w:rStyle w:val="CodeChar"/>
              </w:rPr>
              <w:t xml:space="preserve">sponsor_behavior</w:t>
            </w:r>
          </w:p>
        </w:tc>
        <w:tc>
          <w:tcPr>
            <w:tcW w:w="4036" w:type="dxa"/>
          </w:tcPr>
          <w:p>
            <w:pPr/>
            <w:r>
              <w:t xml:space="preserve">Count of dividend recaps and asset transfers</w:t>
            </w:r>
          </w:p>
        </w:tc>
        <w:tc>
          <w:tcPr>
            <w:tcW w:w="2448" w:type="dxa"/>
          </w:tcPr>
          <w:p>
            <w:pPr/>
            <w:r>
              <w:t xml:space="preserve">Chapter 18 risk; raises the LME score</w:t>
            </w:r>
          </w:p>
        </w:tc>
      </w:tr>
    </w:tbl>
    <w:p>
      <w:pPr>
        <w:pStyle w:val="Heading3"/>
      </w:pPr>
      <w:r>
        <w:t xml:space="preserve">4.5 Rating gap</w:t>
      </w:r>
    </w:p>
    <w:p>
      <w:pPr/>
      <w:r>
        <w:t xml:space="preserve">Fit an ordinal model of the agency rating on scale, leverage, coverage, margin, and sector. The fitted rating minus the agency rating, in notches, is the rating gap. The book notes that downgrades lag price declines (p. 274), so a negative gap anticipates a downgrade and the forced sales that follow it (p. 418).</w:t>
      </w:r>
    </w:p>
    <w:p>
      <w:pPr>
        <w:pStyle w:val="Code"/>
      </w:pPr>
      <w:bookmarkStart w:id="7" w:name="bongo_lang_latex_7"/>
      <w:bookmarkEnd w:id="7"/>
      <w:r>
        <w:t xml:space="preserve">\hat{r}_i = \arg\max_r \, P(r \mid x_i), \qquad gap_i = \hat{r}_i - r^{agency}_i</w:t>
      </w:r>
    </w:p>
    <w:p>
      <w:pPr/>
      <w:r>
        <w:t xml:space="preserve">Use the agency default table as the anchor for the probability of default by rating: speculative grade issuers default at 3.60% within one year and 14.16% within five years, 1981 to 2021 (Figure 9.19, p. 274).</w:t>
      </w:r>
    </w:p>
    <w:p>
      <w:pPr>
        <w:pStyle w:val="Heading3"/>
      </w:pPr>
      <w:r>
        <w:t xml:space="preserve">4.6 Covenant headroom</w:t>
      </w:r>
    </w:p>
    <w:p>
      <w:pPr/>
      <w:r>
        <w:t xml:space="preserve">For a maintenance covenant, headroom is the EBITDA decline that triggers a breach. For an incurrence covenant, the headroom is the remaining capacity under each basket. Compute both with the covenant definitions, not the analyst definitions (p. 354).</w:t>
      </w:r>
    </w:p>
    <w:p>
      <w:pPr>
        <w:pStyle w:val="Code"/>
      </w:pPr>
      <w:bookmarkStart w:id="8" w:name="bongo_lang_latex_8"/>
      <w:bookmarkEnd w:id="8"/>
      <w:r>
        <w:t xml:space="preserve">H_t = 1 - \frac{Lev^{cov}_t}{Lev^{max}_t}, \qquad Lev^{max} = \frac{D}{(1-c)\, EBITDA^{mgmt}}, \; c \in [0.15, 0.30]</w:t>
      </w:r>
    </w:p>
    <w:p>
      <w:pPr/>
      <w:r>
        <w:t xml:space="preserve">The second formula is how lenders set the level at origination (p. 356). A cushion </w:t>
      </w:r>
      <w:r>
        <w:rPr>
          <w:rStyle w:val="CodeChar"/>
        </w:rPr>
        <w:t xml:space="preserve">c</w:t>
      </w:r>
      <w:r>
        <w:t xml:space="preserve"> of 15% on a 4.0x plan gives a 4.7x covenant. Store </w:t>
      </w:r>
      <w:r>
        <w:rPr>
          <w:rStyle w:val="CodeChar"/>
        </w:rPr>
        <w:t xml:space="preserve">H_t</w:t>
      </w:r>
      <w:r>
        <w:t xml:space="preserve">, the test date, and the basket capacities </w:t>
      </w:r>
      <w:r>
        <w:rPr>
          <w:rStyle w:val="CodeChar"/>
        </w:rPr>
        <w:t xml:space="preserve">rp_capacity</w:t>
      </w:r>
      <w:r>
        <w:t xml:space="preserve">, </w:t>
      </w:r>
      <w:r>
        <w:rPr>
          <w:rStyle w:val="CodeChar"/>
        </w:rPr>
        <w:t xml:space="preserve">debt_capacity</w:t>
      </w:r>
      <w:r>
        <w:t xml:space="preserve">, </w:t>
      </w:r>
      <w:r>
        <w:rPr>
          <w:rStyle w:val="CodeChar"/>
        </w:rPr>
        <w:t xml:space="preserve">lien_capacity</w:t>
      </w:r>
      <w:r>
        <w:t xml:space="preserve">, and </w:t>
      </w:r>
      <w:r>
        <w:rPr>
          <w:rStyle w:val="CodeChar"/>
        </w:rPr>
        <w:t xml:space="preserve">investment_capacity</w:t>
      </w:r>
      <w:r>
        <w:t xml:space="preserve"> in dollars.</w:t>
      </w:r>
    </w:p>
    <w:p>
      <w:pPr>
        <w:pStyle w:val="Heading2"/>
      </w:pPr>
      <w:r>
        <w:t xml:space="preserve">5. Forward estimates</w:t>
      </w:r>
    </w:p>
    <w:p>
      <w:pPr/>
      <w:r>
        <w:t xml:space="preserve">Forward estimates turn the issuer state into paths of EBITDA, debt, liquidity, and covenant headroom under named scenarios. The book builds a management case, a base case, and one or more downside cases (p. 285), then assigns a probability to each case by judgement (p. 311). This section keeps the scenario structure and makes the probabilities a function of the macro state. The outputs are forward features that the fair spread model consumes.</w:t>
      </w:r>
    </w:p>
    <w:p>
      <w:pPr>
        <w:pStyle w:val="Heading3"/>
      </w:pPr>
      <w:r>
        <w:t xml:space="preserve">5.1 Scenario engine</w:t>
      </w:r>
    </w:p>
    <w:p>
      <w:pPr/>
      <w:r>
        <w:t xml:space="preserve">Each scenario is a vector of drivers per quarter: sales growth, variable cost ratio, SG&amp;A ratio, inventory days, payable days, and capex (Figure 10.18, p. 306). The engine rolls the three statements forward and links cash and debt iteratively (Figure 10.2, p. 286). For scenario s and horizon h:</w:t>
      </w:r>
    </w:p>
    <w:p>
      <w:pPr>
        <w:pStyle w:val="Code"/>
      </w:pPr>
      <w:bookmarkStart w:id="9" w:name="bongo_lang_latex_9"/>
      <w:bookmarkEnd w:id="9"/>
      <w:r>
        <w:t xml:space="preserve">Rev^{s}_{h} = Rev^{s}_{h-1}(1+g^{s}_{h}), \qquad EBITDA^{s}_{h} = Rev^{s}_{h}\,(1 - v^{s}_{h} - a^{s}_{h})</w:t>
      </w:r>
    </w:p>
    <w:p/>
    <w:p>
      <w:pPr>
        <w:pStyle w:val="Code"/>
      </w:pPr>
      <w:bookmarkStart w:id="10" w:name="bongo_lang_latex_10"/>
      <w:bookmarkEnd w:id="10"/>
      <w:r>
        <w:t xml:space="preserve">FCF^{s}_{h} = EBITDA^{s}_{h} - Capex^{s}_{h} - i_h(m)\,D^{s}_{h-1} - Tax^{s}_{h} - \Delta WC^{s}_{h}, \qquad D^{s}_{h} = D^{s}_{h-1} - FCF^{s}_{h} + Draw^{s}_{h}</w:t>
      </w:r>
    </w:p>
    <w:p>
      <w:pPr/>
      <w:r>
        <w:t xml:space="preserve">Here </w:t>
      </w:r>
      <w:r>
        <w:rPr>
          <w:rStyle w:val="CodeChar"/>
        </w:rPr>
        <w:t xml:space="preserve">v</w:t>
      </w:r>
      <w:r>
        <w:t xml:space="preserve"> is the variable cost ratio, </w:t>
      </w:r>
      <w:r>
        <w:rPr>
          <w:rStyle w:val="CodeChar"/>
        </w:rPr>
        <w:t xml:space="preserve">a</w:t>
      </w:r>
      <w:r>
        <w:t xml:space="preserve"> the SG&amp;A ratio, and </w:t>
      </w:r>
      <w:r>
        <w:rPr>
          <w:rStyle w:val="CodeChar"/>
        </w:rPr>
        <w:t xml:space="preserve">i_h(m)</w:t>
      </w:r>
      <w:r>
        <w:t xml:space="preserve"> the interest rate path from the macro feed, which matters for floating rate debt. Working capital comes from the days assumptions and the revenue path (Figure 8.6, p. 230). A negative FCF draws the revolver up to its availability, so liquidity </w:t>
      </w:r>
      <w:r>
        <w:rPr>
          <w:rStyle w:val="CodeChar"/>
        </w:rPr>
        <w:t xml:space="preserve">L</w:t>
      </w:r>
      <w:r>
        <w:t xml:space="preserve"> and leverage </w:t>
      </w:r>
      <w:r>
        <w:rPr>
          <w:rStyle w:val="CodeChar"/>
        </w:rPr>
        <w:t xml:space="preserve">Lev</w:t>
      </w:r>
      <w:r>
        <w:t xml:space="preserve"> fall out of the same recursion.</w:t>
      </w:r>
    </w:p>
    <w:tbl>
      <w:tblPr>
        <w:tblStyle w:val="TableGrid"/>
        <w:tblW w:w="0" w:type="auto"/>
        <w:tblLayout w:type="fixed"/>
        <w:tblLook w:val="04A0" w:firstRow="1" w:lastRow="0" w:firstColumn="0" w:lastColumn="0" w:noHBand="0" w:noVBand="1"/>
      </w:tblPr>
      <w:tblGrid>
        <w:gridCol w:w="2387"/>
        <w:gridCol w:w="2178"/>
        <w:gridCol w:w="4795"/>
      </w:tblGrid>
      <w:tr>
        <w:trPr>
          <w:tblHeader/>
        </w:trPr>
        <w:tc>
          <w:tcPr>
            <w:tcW w:w="2387" w:type="dxa"/>
            <w:shd w:val="clear" w:color="auto" w:fill="F2F2F2"/>
          </w:tcPr>
          <w:p>
            <w:pPr/>
            <w:r>
              <w:t xml:space="preserve">Scenario</w:t>
            </w:r>
          </w:p>
        </w:tc>
        <w:tc>
          <w:tcPr>
            <w:tcW w:w="2178" w:type="dxa"/>
            <w:shd w:val="clear" w:color="auto" w:fill="F2F2F2"/>
          </w:tcPr>
          <w:p>
            <w:pPr/>
            <w:r>
              <w:t xml:space="preserve">Driver source</w:t>
            </w:r>
          </w:p>
        </w:tc>
        <w:tc>
          <w:tcPr>
            <w:tcW w:w="4795" w:type="dxa"/>
            <w:shd w:val="clear" w:color="auto" w:fill="F2F2F2"/>
          </w:tcPr>
          <w:p>
            <w:pPr/>
            <w:r>
              <w:t xml:space="preserve">Calibration rule</w:t>
            </w:r>
          </w:p>
        </w:tc>
      </w:tr>
      <w:tr>
        <w:tc>
          <w:tcPr>
            <w:tcW w:w="2387" w:type="dxa"/>
          </w:tcPr>
          <w:p>
            <w:pPr/>
            <w:r>
              <w:t xml:space="preserve">Management</w:t>
            </w:r>
          </w:p>
        </w:tc>
        <w:tc>
          <w:tcPr>
            <w:tcW w:w="2178" w:type="dxa"/>
          </w:tcPr>
          <w:p>
            <w:pPr/>
            <w:r>
              <w:t xml:space="preserve">Guidance and company plan (p. 285)</w:t>
            </w:r>
          </w:p>
        </w:tc>
        <w:tc>
          <w:tcPr>
            <w:tcW w:w="4795" w:type="dxa"/>
          </w:tcPr>
          <w:p>
            <w:pPr/>
            <w:r>
              <w:t xml:space="preserve">As stated, with dates</w:t>
            </w:r>
          </w:p>
        </w:tc>
      </w:tr>
      <w:tr>
        <w:tc>
          <w:tcPr>
            <w:tcW w:w="2387" w:type="dxa"/>
          </w:tcPr>
          <w:p>
            <w:pPr/>
            <w:r>
              <w:t xml:space="preserve">Consensus</w:t>
            </w:r>
          </w:p>
        </w:tc>
        <w:tc>
          <w:tcPr>
            <w:tcW w:w="2178" w:type="dxa"/>
          </w:tcPr>
          <w:p>
            <w:pPr/>
            <w:r>
              <w:t xml:space="preserve">Sell-side aggregate</w:t>
            </w:r>
          </w:p>
        </w:tc>
        <w:tc>
          <w:tcPr>
            <w:tcW w:w="4795" w:type="dxa"/>
          </w:tcPr>
          <w:p>
            <w:pPr/>
            <w:r>
              <w:t xml:space="preserve">Median, with dispersion stored</w:t>
            </w:r>
          </w:p>
        </w:tc>
      </w:tr>
      <w:tr>
        <w:tc>
          <w:tcPr>
            <w:tcW w:w="2387" w:type="dxa"/>
          </w:tcPr>
          <w:p>
            <w:pPr/>
            <w:r>
              <w:t xml:space="preserve">Base</w:t>
            </w:r>
          </w:p>
        </w:tc>
        <w:tc>
          <w:tcPr>
            <w:tcW w:w="2178" w:type="dxa"/>
          </w:tcPr>
          <w:p>
            <w:pPr/>
            <w:r>
              <w:t xml:space="preserve">Analyst view</w:t>
            </w:r>
          </w:p>
        </w:tc>
        <w:tc>
          <w:tcPr>
            <w:tcW w:w="4795" w:type="dxa"/>
          </w:tcPr>
          <w:p>
            <w:pPr/>
            <w:r>
              <w:t xml:space="preserve">A coin toss up or down (p. 285); not conservative by habit</w:t>
            </w:r>
          </w:p>
        </w:tc>
      </w:tr>
      <w:tr>
        <w:tc>
          <w:tcPr>
            <w:tcW w:w="2387" w:type="dxa"/>
          </w:tcPr>
          <w:p>
            <w:pPr/>
            <w:r>
              <w:t xml:space="preserve">Downside, moderate</w:t>
            </w:r>
          </w:p>
        </w:tc>
        <w:tc>
          <w:tcPr>
            <w:tcW w:w="2178" w:type="dxa"/>
          </w:tcPr>
          <w:p>
            <w:pPr/>
            <w:r>
              <w:t xml:space="preserve">Analyst view of the main risk from Section 4.4</w:t>
            </w:r>
          </w:p>
        </w:tc>
        <w:tc>
          <w:tcPr>
            <w:tcW w:w="4795" w:type="dxa"/>
          </w:tcPr>
          <w:p>
            <w:pPr/>
            <w:r>
              <w:t xml:space="preserve">Revenue path from the issuer's last recession; TM Corp used minus 20% then minus 10% (pp. 290, 306); margin below the historic trough (p. 386)</w:t>
            </w:r>
          </w:p>
        </w:tc>
      </w:tr>
      <w:tr>
        <w:tc>
          <w:tcPr>
            <w:tcW w:w="2387" w:type="dxa"/>
          </w:tcPr>
          <w:p>
            <w:pPr/>
            <w:r>
              <w:t xml:space="preserve">Downside, severe</w:t>
            </w:r>
          </w:p>
        </w:tc>
        <w:tc>
          <w:tcPr>
            <w:tcW w:w="2178" w:type="dxa"/>
          </w:tcPr>
          <w:p>
            <w:pPr/>
            <w:r>
              <w:t xml:space="preserve">Same risk, deeper and longer</w:t>
            </w:r>
          </w:p>
        </w:tc>
        <w:tc>
          <w:tcPr>
            <w:tcW w:w="4795" w:type="dxa"/>
          </w:tcPr>
          <w:p>
            <w:pPr/>
            <w:r>
              <w:t xml:space="preserve">Slower recovery; trade credit tightens, payable days fall (p. 306)</w:t>
            </w:r>
          </w:p>
        </w:tc>
      </w:tr>
      <w:tr>
        <w:tc>
          <w:tcPr>
            <w:tcW w:w="2387" w:type="dxa"/>
          </w:tcPr>
          <w:p>
            <w:pPr/>
            <w:r>
              <w:t xml:space="preserve">Upside</w:t>
            </w:r>
          </w:p>
        </w:tc>
        <w:tc>
          <w:tcPr>
            <w:tcW w:w="2178" w:type="dxa"/>
          </w:tcPr>
          <w:p>
            <w:pPr/>
            <w:r>
              <w:t xml:space="preserve">Analyst view</w:t>
            </w:r>
          </w:p>
        </w:tc>
        <w:tc>
          <w:tcPr>
            <w:tcW w:w="4795" w:type="dxa"/>
          </w:tcPr>
          <w:p>
            <w:pPr/>
            <w:r>
              <w:t xml:space="preserve">Symmetric to the moderate downside unless a catalyst is named</w:t>
            </w:r>
          </w:p>
        </w:tc>
      </w:tr>
    </w:tbl>
    <w:p>
      <w:pPr/>
      <w:r>
        <w:t xml:space="preserve">When no analyst case exists, fall back in order: consensus with a sector recession template, then trend growth with the same template. Store </w:t>
      </w:r>
      <w:r>
        <w:rPr>
          <w:rStyle w:val="CodeChar"/>
        </w:rPr>
        <w:t xml:space="preserve">forecast_source</w:t>
      </w:r>
      <w:r>
        <w:t xml:space="preserve"> so the model can discount mechanical cases.</w:t>
      </w:r>
    </w:p>
    <w:p>
      <w:pPr>
        <w:pStyle w:val="Heading3"/>
      </w:pPr>
      <w:r>
        <w:t xml:space="preserve">5.2 Macro conditioning of the scenario weights</w:t>
      </w:r>
    </w:p>
    <w:p>
      <w:pPr/>
      <w:r>
        <w:t xml:space="preserve">The scenario definitions stay issuer specific. The macro state sets how likely each one is. Fit a pooled logistic model of a large EBITDA decline over the next four quarters on the macro vector </w:t>
      </w:r>
      <w:r>
        <w:rPr>
          <w:rStyle w:val="CodeChar"/>
        </w:rPr>
        <w:t xml:space="preserve">m_t</w:t>
      </w:r>
      <w:r>
        <w:t xml:space="preserve"> and the sector:</w:t>
      </w:r>
    </w:p>
    <w:p>
      <w:pPr>
        <w:pStyle w:val="Code"/>
      </w:pPr>
      <w:bookmarkStart w:id="11" w:name="bongo_lang_latex_11"/>
      <w:bookmarkEnd w:id="11"/>
      <w:r>
        <w:t xml:space="preserve">P(\,EBITDA_{t+4} &lt; (1-\delta_i)\,EBITDA_t \mid m_t, sector_i\,) = \sigma(\theta_0 + \theta^{\top} m_t + \theta_{sector})</w:t>
      </w:r>
    </w:p>
    <w:p>
      <w:pPr/>
      <w:r>
        <w:t xml:space="preserve">Set the threshold </w:t>
      </w:r>
      <w:r>
        <w:rPr>
          <w:rStyle w:val="CodeChar"/>
        </w:rPr>
        <w:t xml:space="preserve">δ_i</w:t>
      </w:r>
      <w:r>
        <w:t xml:space="preserve"> to the EBITDA decline in the issuer's moderate downside case. The fitted probability is the weight of that case. The severe case takes a fixed fraction of it, the upside takes the mirror probability, and the base case takes the rest. The weights move with </w:t>
      </w:r>
      <w:r>
        <w:rPr>
          <w:rStyle w:val="CodeChar"/>
        </w:rPr>
        <w:t xml:space="preserve">hy_oas</w:t>
      </w:r>
      <w:r>
        <w:t xml:space="preserve">, </w:t>
      </w:r>
      <w:r>
        <w:rPr>
          <w:rStyle w:val="CodeChar"/>
        </w:rPr>
        <w:t xml:space="preserve">sloos_tightening</w:t>
      </w:r>
      <w:r>
        <w:t xml:space="preserve">, </w:t>
      </w:r>
      <w:r>
        <w:rPr>
          <w:rStyle w:val="CodeChar"/>
        </w:rPr>
        <w:t xml:space="preserve">default_rate_fcst</w:t>
      </w:r>
      <w:r>
        <w:t xml:space="preserve">, </w:t>
      </w:r>
      <w:r>
        <w:rPr>
          <w:rStyle w:val="CodeChar"/>
        </w:rPr>
        <w:t xml:space="preserve">pmi</w:t>
      </w:r>
      <w:r>
        <w:t xml:space="preserve">, and the sector drivers. In a late cycle the downside weight rises for every issuer before any issuer reports a miss.</w:t>
      </w:r>
    </w:p>
    <w:p>
      <w:pPr/>
      <w:r>
        <w:t xml:space="preserve">Macro also shifts the drivers. Regress each sector's revenue growth on its macro series to get a sensitivity </w:t>
      </w:r>
      <w:r>
        <w:rPr>
          <w:rStyle w:val="CodeChar"/>
        </w:rPr>
        <w:t xml:space="preserve">β_sector</w:t>
      </w:r>
      <w:r>
        <w:t xml:space="preserve">. Shift the base case growth by </w:t>
      </w:r>
      <w:r>
        <w:rPr>
          <w:rStyle w:val="CodeChar"/>
        </w:rPr>
        <w:t xml:space="preserve">β_sector</w:t>
      </w:r>
      <w:r>
        <w:t xml:space="preserve"> times the gap between the current macro forecast and its trend. A cyclical issuer (Section 4.4) gets a larger shift than a defensive one, which is the HCA hospital argument (p. 413).</w:t>
      </w:r>
    </w:p>
    <w:p>
      <w:pPr>
        <w:pStyle w:val="Heading3"/>
      </w:pPr>
      <w:r>
        <w:t xml:space="preserve">5.3 Forward features</w:t>
      </w:r>
    </w:p>
    <w:p>
      <w:pPr/>
      <w:r>
        <w:t xml:space="preserve">Compute these for horizons of 4 and 8 quarters. Each one is an expectation or a tail statistic over the weighted scenarios.</w:t>
      </w:r>
    </w:p>
    <w:p>
      <w:pPr>
        <w:pStyle w:val="Code"/>
      </w:pPr>
      <w:bookmarkStart w:id="12" w:name="bongo_lang_latex_12"/>
      <w:bookmarkEnd w:id="12"/>
      <w:r>
        <w:t xml:space="preserve">E_t[Lev_{t+h}] = \sum_{s} w_s(m_t)\,Lev^{s}_{h}, \qquad \sigma^{2}_{Lev,h} = \sum_{s} w_s(m_t)\,(Lev^{s}_{h} - E_t[Lev_{t+h}])^{2}</w:t>
      </w:r>
    </w:p>
    <w:tbl>
      <w:tblPr>
        <w:tblStyle w:val="TableGrid"/>
        <w:tblW w:w="0" w:type="auto"/>
        <w:tblLayout w:type="fixed"/>
        <w:tblLook w:val="04A0" w:firstRow="1" w:lastRow="0" w:firstColumn="0" w:lastColumn="0" w:noHBand="0" w:noVBand="1"/>
      </w:tblPr>
      <w:tblGrid>
        <w:gridCol w:w="1796"/>
        <w:gridCol w:w="4318"/>
        <w:gridCol w:w="3246"/>
      </w:tblGrid>
      <w:tr>
        <w:trPr>
          <w:tblHeader/>
        </w:trPr>
        <w:tc>
          <w:tcPr>
            <w:tcW w:w="1796" w:type="dxa"/>
            <w:shd w:val="clear" w:color="auto" w:fill="F2F2F2"/>
          </w:tcPr>
          <w:p>
            <w:pPr/>
            <w:r>
              <w:t xml:space="preserve">Feature</w:t>
            </w:r>
          </w:p>
        </w:tc>
        <w:tc>
          <w:tcPr>
            <w:tcW w:w="4318" w:type="dxa"/>
            <w:shd w:val="clear" w:color="auto" w:fill="F2F2F2"/>
          </w:tcPr>
          <w:p>
            <w:pPr/>
            <w:r>
              <w:t xml:space="preserve">Formula</w:t>
            </w:r>
          </w:p>
        </w:tc>
        <w:tc>
          <w:tcPr>
            <w:tcW w:w="3246" w:type="dxa"/>
            <w:shd w:val="clear" w:color="auto" w:fill="F2F2F2"/>
          </w:tcPr>
          <w:p>
            <w:pPr/>
            <w:r>
              <w:t xml:space="preserve">Use</w:t>
            </w:r>
          </w:p>
        </w:tc>
      </w:tr>
      <w:tr>
        <w:tc>
          <w:tcPr>
            <w:tcW w:w="1796" w:type="dxa"/>
          </w:tcPr>
          <w:p>
            <w:pPr/>
            <w:r>
              <w:rPr>
                <w:rStyle w:val="CodeChar"/>
              </w:rPr>
              <w:t xml:space="preserve">lev_fwd_h</w:t>
            </w:r>
          </w:p>
        </w:tc>
        <w:tc>
          <w:tcPr>
            <w:tcW w:w="4318" w:type="dxa"/>
          </w:tcPr>
          <w:p>
            <w:pPr/>
            <w:r>
              <w:rPr>
                <w:rStyle w:val="CodeChar"/>
              </w:rPr>
              <w:t xml:space="preserve">E[Lev_{t+h}]</w:t>
            </w:r>
            <w:r>
              <w:t xml:space="preserve"> above</w:t>
            </w:r>
          </w:p>
        </w:tc>
        <w:tc>
          <w:tcPr>
            <w:tcW w:w="3246" w:type="dxa"/>
          </w:tcPr>
          <w:p>
            <w:pPr/>
            <w:r>
              <w:t xml:space="preserve">Main input to the fair spread model</w:t>
            </w:r>
          </w:p>
        </w:tc>
      </w:tr>
      <w:tr>
        <w:tc>
          <w:tcPr>
            <w:tcW w:w="1796" w:type="dxa"/>
          </w:tcPr>
          <w:p>
            <w:pPr/>
            <w:r>
              <w:rPr>
                <w:rStyle w:val="CodeChar"/>
              </w:rPr>
              <w:t xml:space="preserve">delev_h</w:t>
            </w:r>
          </w:p>
        </w:tc>
        <w:tc>
          <w:tcPr>
            <w:tcW w:w="4318" w:type="dxa"/>
          </w:tcPr>
          <w:p>
            <w:pPr/>
            <w:r>
              <w:rPr>
                <w:rStyle w:val="CodeChar"/>
              </w:rPr>
              <w:t xml:space="preserve">lev_fwd_h - lev_t</w:t>
            </w:r>
          </w:p>
        </w:tc>
        <w:tc>
          <w:tcPr>
            <w:tcW w:w="3246" w:type="dxa"/>
          </w:tcPr>
          <w:p>
            <w:pPr/>
            <w:r>
              <w:t xml:space="preserve">Expected change; negative is credit improvement</w:t>
            </w:r>
          </w:p>
        </w:tc>
      </w:tr>
      <w:tr>
        <w:tc>
          <w:tcPr>
            <w:tcW w:w="1796" w:type="dxa"/>
          </w:tcPr>
          <w:p>
            <w:pPr/>
            <w:r>
              <w:rPr>
                <w:rStyle w:val="CodeChar"/>
              </w:rPr>
              <w:t xml:space="preserve">lev_fwd_sd_h</w:t>
            </w:r>
          </w:p>
        </w:tc>
        <w:tc>
          <w:tcPr>
            <w:tcW w:w="4318" w:type="dxa"/>
          </w:tcPr>
          <w:p>
            <w:pPr/>
            <w:r>
              <w:t xml:space="preserve">Square root of the variance above</w:t>
            </w:r>
          </w:p>
        </w:tc>
        <w:tc>
          <w:tcPr>
            <w:tcW w:w="3246" w:type="dxa"/>
          </w:tcPr>
          <w:p>
            <w:pPr/>
            <w:r>
              <w:t xml:space="preserve">Uncertainty of the path</w:t>
            </w:r>
          </w:p>
        </w:tc>
      </w:tr>
      <w:tr>
        <w:tc>
          <w:tcPr>
            <w:tcW w:w="1796" w:type="dxa"/>
          </w:tcPr>
          <w:p>
            <w:pPr/>
            <w:r>
              <w:rPr>
                <w:rStyle w:val="CodeChar"/>
              </w:rPr>
              <w:t xml:space="preserve">lev_peak_down</w:t>
            </w:r>
          </w:p>
        </w:tc>
        <w:tc>
          <w:tcPr>
            <w:tcW w:w="4318" w:type="dxa"/>
          </w:tcPr>
          <w:p>
            <w:pPr/>
            <w:r>
              <w:t xml:space="preserve">Max over h of leverage in the severe downside</w:t>
            </w:r>
          </w:p>
        </w:tc>
        <w:tc>
          <w:tcPr>
            <w:tcW w:w="3246" w:type="dxa"/>
          </w:tcPr>
          <w:p>
            <w:pPr/>
            <w:r>
              <w:t xml:space="preserve">TM Corp peaked at 9.2x (p. 309); VCC at 5.8x (p. 386)</w:t>
            </w:r>
          </w:p>
        </w:tc>
      </w:tr>
      <w:tr>
        <w:tc>
          <w:tcPr>
            <w:tcW w:w="1796" w:type="dxa"/>
          </w:tcPr>
          <w:p>
            <w:pPr/>
            <w:r>
              <w:rPr>
                <w:rStyle w:val="CodeChar"/>
              </w:rPr>
              <w:t xml:space="preserve">liq_min_down</w:t>
            </w:r>
          </w:p>
        </w:tc>
        <w:tc>
          <w:tcPr>
            <w:tcW w:w="4318" w:type="dxa"/>
          </w:tcPr>
          <w:p>
            <w:pPr/>
            <w:r>
              <w:t xml:space="preserve">Min over h of liquidity in the severe downside</w:t>
            </w:r>
          </w:p>
        </w:tc>
        <w:tc>
          <w:tcPr>
            <w:tcW w:w="3246" w:type="dxa"/>
          </w:tcPr>
          <w:p>
            <w:pPr/>
            <w:r>
              <w:t xml:space="preserve">TM Corp fell to $6.7 million (p. 309)</w:t>
            </w:r>
          </w:p>
        </w:tc>
      </w:tr>
      <w:tr>
        <w:tc>
          <w:tcPr>
            <w:tcW w:w="1796" w:type="dxa"/>
          </w:tcPr>
          <w:p>
            <w:pPr/>
            <w:r>
              <w:rPr>
                <w:rStyle w:val="CodeChar"/>
              </w:rPr>
              <w:t xml:space="preserve">p_breach_h</w:t>
            </w:r>
          </w:p>
        </w:tc>
        <w:tc>
          <w:tcPr>
            <w:tcW w:w="4318" w:type="dxa"/>
          </w:tcPr>
          <w:p>
            <w:pPr/>
            <w:r>
              <w:t xml:space="preserve">Sum of weights of scenarios with headroom below zero before h, smoothed with a normal kernel on </w:t>
            </w:r>
            <w:r>
              <w:rPr>
                <w:rStyle w:val="CodeChar"/>
              </w:rPr>
              <w:t xml:space="preserve">H</w:t>
            </w:r>
          </w:p>
        </w:tc>
        <w:tc>
          <w:tcPr>
            <w:tcW w:w="3246" w:type="dxa"/>
          </w:tcPr>
          <w:p>
            <w:pPr/>
            <w:r>
              <w:t xml:space="preserve">Covenant event probability (Section 9)</w:t>
            </w:r>
          </w:p>
        </w:tc>
      </w:tr>
      <w:tr>
        <w:tc>
          <w:tcPr>
            <w:tcW w:w="1796" w:type="dxa"/>
          </w:tcPr>
          <w:p>
            <w:pPr/>
            <w:r>
              <w:rPr>
                <w:rStyle w:val="CodeChar"/>
              </w:rPr>
              <w:t xml:space="preserve">p_liq_short_h</w:t>
            </w:r>
          </w:p>
        </w:tc>
        <w:tc>
          <w:tcPr>
            <w:tcW w:w="4318" w:type="dxa"/>
          </w:tcPr>
          <w:p>
            <w:pPr/>
            <w:r>
              <w:t xml:space="preserve">Sum of weights of scenarios with liquidity below zero before h</w:t>
            </w:r>
          </w:p>
        </w:tc>
        <w:tc>
          <w:tcPr>
            <w:tcW w:w="3246" w:type="dxa"/>
          </w:tcPr>
          <w:p>
            <w:pPr/>
            <w:r>
              <w:t xml:space="preserve">Liquidity default probability</w:t>
            </w:r>
          </w:p>
        </w:tc>
      </w:tr>
      <w:tr>
        <w:tc>
          <w:tcPr>
            <w:tcW w:w="1796" w:type="dxa"/>
          </w:tcPr>
          <w:p>
            <w:pPr/>
            <w:r>
              <w:rPr>
                <w:rStyle w:val="CodeChar"/>
              </w:rPr>
              <w:t xml:space="preserve">p_refi_h</w:t>
            </w:r>
          </w:p>
        </w:tc>
        <w:tc>
          <w:tcPr>
            <w:tcW w:w="4318" w:type="dxa"/>
          </w:tcPr>
          <w:p>
            <w:pPr/>
            <w:r>
              <w:t xml:space="preserve">Sum of weights of scenarios with wall cover below 1 before h</w:t>
            </w:r>
          </w:p>
        </w:tc>
        <w:tc>
          <w:tcPr>
            <w:tcW w:w="3246" w:type="dxa"/>
          </w:tcPr>
          <w:p>
            <w:pPr/>
            <w:r>
              <w:t xml:space="preserve">Refinance event probability</w:t>
            </w:r>
          </w:p>
        </w:tc>
      </w:tr>
      <w:tr>
        <w:tc>
          <w:tcPr>
            <w:tcW w:w="1796" w:type="dxa"/>
          </w:tcPr>
          <w:p>
            <w:pPr/>
            <w:r>
              <w:rPr>
                <w:rStyle w:val="CodeChar"/>
              </w:rPr>
              <w:t xml:space="preserve">fcf_debt_fwd</w:t>
            </w:r>
          </w:p>
        </w:tc>
        <w:tc>
          <w:tcPr>
            <w:tcW w:w="4318" w:type="dxa"/>
          </w:tcPr>
          <w:p>
            <w:pPr/>
            <w:r>
              <w:rPr>
                <w:rStyle w:val="CodeChar"/>
              </w:rPr>
              <w:t xml:space="preserve">E[FCF_{t+1..t+4}] / D_t</w:t>
            </w:r>
          </w:p>
        </w:tc>
        <w:tc>
          <w:tcPr>
            <w:tcW w:w="3246" w:type="dxa"/>
          </w:tcPr>
          <w:p>
            <w:pPr/>
            <w:r>
              <w:t xml:space="preserve">Expected cash deleveraging</w:t>
            </w:r>
          </w:p>
        </w:tc>
      </w:tr>
      <w:tr>
        <w:tc>
          <w:tcPr>
            <w:tcW w:w="1796" w:type="dxa"/>
          </w:tcPr>
          <w:p>
            <w:pPr/>
            <w:r>
              <w:rPr>
                <w:rStyle w:val="CodeChar"/>
              </w:rPr>
              <w:t xml:space="preserve">cov_fwd_h</w:t>
            </w:r>
          </w:p>
        </w:tc>
        <w:tc>
          <w:tcPr>
            <w:tcW w:w="4318" w:type="dxa"/>
          </w:tcPr>
          <w:p>
            <w:pPr/>
            <w:r>
              <w:rPr>
                <w:rStyle w:val="CodeChar"/>
              </w:rPr>
              <w:t xml:space="preserve">E[Cov_{t+h}]</w:t>
            </w:r>
            <w:r>
              <w:t xml:space="preserve"> with the macro rate path</w:t>
            </w:r>
          </w:p>
        </w:tc>
        <w:tc>
          <w:tcPr>
            <w:tcW w:w="3246" w:type="dxa"/>
          </w:tcPr>
          <w:p>
            <w:pPr/>
            <w:r>
              <w:t xml:space="preserve">Rate shock enters through floating debt</w:t>
            </w:r>
          </w:p>
        </w:tc>
      </w:tr>
      <w:tr>
        <w:tc>
          <w:tcPr>
            <w:tcW w:w="1796" w:type="dxa"/>
          </w:tcPr>
          <w:p>
            <w:pPr/>
            <w:r>
              <w:rPr>
                <w:rStyle w:val="CodeChar"/>
              </w:rPr>
              <w:t xml:space="preserve">rev_lev</w:t>
            </w:r>
          </w:p>
        </w:tc>
        <w:tc>
          <w:tcPr>
            <w:tcW w:w="4318" w:type="dxa"/>
          </w:tcPr>
          <w:p>
            <w:pPr/>
            <w:r>
              <w:rPr>
                <w:rStyle w:val="CodeChar"/>
              </w:rPr>
              <w:t xml:space="preserve">lev_fwd_4</w:t>
            </w:r>
            <w:r>
              <w:t xml:space="preserve"> at vintage v minus vintage v minus 1</w:t>
            </w:r>
          </w:p>
        </w:tc>
        <w:tc>
          <w:tcPr>
            <w:tcW w:w="3246" w:type="dxa"/>
          </w:tcPr>
          <w:p>
            <w:pPr/>
            <w:r>
              <w:t xml:space="preserve">Estimate revision; Section 8 signal</w:t>
            </w:r>
          </w:p>
        </w:tc>
      </w:tr>
      <w:tr>
        <w:tc>
          <w:tcPr>
            <w:tcW w:w="1796" w:type="dxa"/>
          </w:tcPr>
          <w:p>
            <w:pPr/>
            <w:r>
              <w:rPr>
                <w:rStyle w:val="CodeChar"/>
              </w:rPr>
              <w:t xml:space="preserve">gap_consensus</w:t>
            </w:r>
          </w:p>
        </w:tc>
        <w:tc>
          <w:tcPr>
            <w:tcW w:w="4318" w:type="dxa"/>
          </w:tcPr>
          <w:p>
            <w:pPr/>
            <w:r>
              <w:t xml:space="preserve">Base case </w:t>
            </w:r>
            <w:r>
              <w:rPr>
                <w:rStyle w:val="CodeChar"/>
              </w:rPr>
              <w:t xml:space="preserve">Lev_{t+4}</w:t>
            </w:r>
            <w:r>
              <w:t xml:space="preserve"> minus consensus </w:t>
            </w:r>
            <w:r>
              <w:rPr>
                <w:rStyle w:val="CodeChar"/>
              </w:rPr>
              <w:t xml:space="preserve">Lev_{t+4}</w:t>
            </w:r>
          </w:p>
        </w:tc>
        <w:tc>
          <w:tcPr>
            <w:tcW w:w="3246" w:type="dxa"/>
          </w:tcPr>
          <w:p>
            <w:pPr/>
            <w:r>
              <w:t xml:space="preserve">Analyst edge over the market view</w:t>
            </w:r>
          </w:p>
        </w:tc>
      </w:tr>
      <w:tr>
        <w:tc>
          <w:tcPr>
            <w:tcW w:w="1796" w:type="dxa"/>
          </w:tcPr>
          <w:p>
            <w:pPr/>
            <w:r>
              <w:rPr>
                <w:rStyle w:val="CodeChar"/>
              </w:rPr>
              <w:t xml:space="preserve">gap_mgmt</w:t>
            </w:r>
          </w:p>
        </w:tc>
        <w:tc>
          <w:tcPr>
            <w:tcW w:w="4318" w:type="dxa"/>
          </w:tcPr>
          <w:p>
            <w:pPr/>
            <w:r>
              <w:t xml:space="preserve">Base case </w:t>
            </w:r>
            <w:r>
              <w:rPr>
                <w:rStyle w:val="CodeChar"/>
              </w:rPr>
              <w:t xml:space="preserve">Lev_{t+4}</w:t>
            </w:r>
            <w:r>
              <w:t xml:space="preserve"> minus management case </w:t>
            </w:r>
            <w:r>
              <w:rPr>
                <w:rStyle w:val="CodeChar"/>
              </w:rPr>
              <w:t xml:space="preserve">Lev_{t+4}</w:t>
            </w:r>
          </w:p>
        </w:tc>
        <w:tc>
          <w:tcPr>
            <w:tcW w:w="3246" w:type="dxa"/>
          </w:tcPr>
          <w:p>
            <w:pPr/>
            <w:r>
              <w:t xml:space="preserve">Size of the optimism haircut</w:t>
            </w:r>
          </w:p>
        </w:tc>
      </w:tr>
    </w:tbl>
    <w:p>
      <w:pPr/>
      <w:r>
        <w:t xml:space="preserve">The book's own check applies to every output: if the downside case looks likely, it becomes the base case; if the base case looks draconian, it becomes the downside case (p. 311). In the system this check is the comparison of </w:t>
      </w:r>
      <w:r>
        <w:rPr>
          <w:rStyle w:val="CodeChar"/>
        </w:rPr>
        <w:t xml:space="preserve">w_down</w:t>
      </w:r>
      <w:r>
        <w:t xml:space="preserve"> with 0.5.</w:t>
      </w:r>
    </w:p>
    <w:p>
      <w:pPr>
        <w:pStyle w:val="Heading2"/>
      </w:pPr>
      <w:r>
        <w:t xml:space="preserve">6. Valuation, recovery, and loss given default</w:t>
      </w:r>
    </w:p>
    <w:p>
      <w:pPr/>
      <w:r>
        <w:t xml:space="preserve">Recovery per tranche is the expected payoff of a call spread on enterprise value, divided by face. The book values the company four ways (Chapter 11), orders the claims (Chapter 9), and shows how documents move claims ahead of yours (Chapter 18). This section turns those three parts into a distribution of value, a waterfall, and an adjustment for liability management.</w:t>
      </w:r>
    </w:p>
    <w:p>
      <w:pPr>
        <w:pStyle w:val="Heading3"/>
      </w:pPr>
      <w:r>
        <w:t xml:space="preserve">6.1 Enterprise value range</w:t>
      </w:r>
    </w:p>
    <w:p>
      <w:pPr/>
      <w:r>
        <w:t xml:space="preserve">Build the football field (Figure 11.19, p. 332) from the four methods and read a low, mid, and high value. The observable TEV is net debt plus market capitalisation (Figure 11.2, p. 321). It is a check, not an anchor: JCPenney's long bonds at 70 implied that its equity was too high (p. 333).</w:t>
      </w:r>
    </w:p>
    <w:tbl>
      <w:tblPr>
        <w:tblStyle w:val="TableGrid"/>
        <w:tblW w:w="0" w:type="auto"/>
        <w:tblLayout w:type="fixed"/>
        <w:tblLook w:val="04A0" w:firstRow="1" w:lastRow="0" w:firstColumn="0" w:lastColumn="0" w:noHBand="0" w:noVBand="1"/>
      </w:tblPr>
      <w:tblGrid>
        <w:gridCol w:w="2664"/>
        <w:gridCol w:w="4046"/>
        <w:gridCol w:w="2650"/>
      </w:tblGrid>
      <w:tr>
        <w:trPr>
          <w:tblHeader/>
        </w:trPr>
        <w:tc>
          <w:tcPr>
            <w:tcW w:w="2664" w:type="dxa"/>
            <w:shd w:val="clear" w:color="auto" w:fill="F2F2F2"/>
          </w:tcPr>
          <w:p>
            <w:pPr/>
            <w:r>
              <w:t xml:space="preserve">Method</w:t>
            </w:r>
          </w:p>
        </w:tc>
        <w:tc>
          <w:tcPr>
            <w:tcW w:w="4046" w:type="dxa"/>
            <w:shd w:val="clear" w:color="auto" w:fill="F2F2F2"/>
          </w:tcPr>
          <w:p>
            <w:pPr/>
            <w:r>
              <w:t xml:space="preserve">Formula</w:t>
            </w:r>
          </w:p>
        </w:tc>
        <w:tc>
          <w:tcPr>
            <w:tcW w:w="2650" w:type="dxa"/>
            <w:shd w:val="clear" w:color="auto" w:fill="F2F2F2"/>
          </w:tcPr>
          <w:p>
            <w:pPr/>
            <w:r>
              <w:t xml:space="preserve">Note and reference</w:t>
            </w:r>
          </w:p>
        </w:tc>
      </w:tr>
      <w:tr>
        <w:tc>
          <w:tcPr>
            <w:tcW w:w="2664" w:type="dxa"/>
          </w:tcPr>
          <w:p>
            <w:pPr/>
            <w:r>
              <w:t xml:space="preserve">Comparable companies</w:t>
            </w:r>
          </w:p>
        </w:tc>
        <w:tc>
          <w:tcPr>
            <w:tcW w:w="4046" w:type="dxa"/>
          </w:tcPr>
          <w:p>
            <w:pPr/>
            <w:r>
              <w:t xml:space="preserve">Sector multiple times </w:t>
            </w:r>
            <w:r>
              <w:rPr>
                <w:rStyle w:val="CodeChar"/>
              </w:rPr>
              <w:t xml:space="preserve">ebitda_adj</w:t>
            </w:r>
            <w:r>
              <w:t xml:space="preserve">; multiple from the peer set in Section 4.1</w:t>
            </w:r>
          </w:p>
        </w:tc>
        <w:tc>
          <w:tcPr>
            <w:tcW w:w="2650" w:type="dxa"/>
          </w:tcPr>
          <w:p>
            <w:pPr/>
            <w:r>
              <w:t xml:space="preserve">HCA LBO at 7.6x, later 9.4x (p. 414)</w:t>
            </w:r>
          </w:p>
        </w:tc>
      </w:tr>
      <w:tr>
        <w:tc>
          <w:tcPr>
            <w:tcW w:w="2664" w:type="dxa"/>
          </w:tcPr>
          <w:p>
            <w:pPr/>
            <w:r>
              <w:t xml:space="preserve">Precedent transactions</w:t>
            </w:r>
          </w:p>
        </w:tc>
        <w:tc>
          <w:tcPr>
            <w:tcW w:w="4046" w:type="dxa"/>
          </w:tcPr>
          <w:p>
            <w:pPr/>
            <w:r>
              <w:t xml:space="preserve">Deal multiple times </w:t>
            </w:r>
            <w:r>
              <w:rPr>
                <w:rStyle w:val="CodeChar"/>
              </w:rPr>
              <w:t xml:space="preserve">ebitda_adj</w:t>
            </w:r>
          </w:p>
        </w:tc>
        <w:tc>
          <w:tcPr>
            <w:tcW w:w="2650" w:type="dxa"/>
          </w:tcPr>
          <w:p>
            <w:pPr/>
            <w:r>
              <w:t xml:space="preserve">Control premium included; use for the sale case</w:t>
            </w:r>
          </w:p>
        </w:tc>
      </w:tr>
      <w:tr>
        <w:tc>
          <w:tcPr>
            <w:tcW w:w="2664" w:type="dxa"/>
          </w:tcPr>
          <w:p>
            <w:pPr/>
            <w:r>
              <w:t xml:space="preserve">Discounted cash flow</w:t>
            </w:r>
          </w:p>
        </w:tc>
        <w:tc>
          <w:tcPr>
            <w:tcW w:w="4046" w:type="dxa"/>
          </w:tcPr>
          <w:p>
            <w:pPr/>
            <w:r>
              <w:t xml:space="preserve">Present value of the base case FCF path from Section 5 plus a terminal value</w:t>
            </w:r>
          </w:p>
        </w:tc>
        <w:tc>
          <w:tcPr>
            <w:tcW w:w="2650" w:type="dxa"/>
          </w:tcPr>
          <w:p>
            <w:pPr/>
            <w:r>
              <w:t xml:space="preserve">Consistent with the forecast engine</w:t>
            </w:r>
          </w:p>
        </w:tc>
      </w:tr>
      <w:tr>
        <w:tc>
          <w:tcPr>
            <w:tcW w:w="2664" w:type="dxa"/>
          </w:tcPr>
          <w:p>
            <w:pPr/>
            <w:r>
              <w:t xml:space="preserve">Liquidation</w:t>
            </w:r>
          </w:p>
        </w:tc>
        <w:tc>
          <w:tcPr>
            <w:tcW w:w="4046" w:type="dxa"/>
          </w:tcPr>
          <w:p>
            <w:pPr/>
            <w:r>
              <w:t xml:space="preserve">Asset by asset recovery rates less liquidation costs (Figure 11.18, p. 332)</w:t>
            </w:r>
          </w:p>
        </w:tc>
        <w:tc>
          <w:tcPr>
            <w:tcW w:w="2650" w:type="dxa"/>
          </w:tcPr>
          <w:p>
            <w:pPr/>
            <w:r>
              <w:t xml:space="preserve">Floor value for secured tranches</w:t>
            </w:r>
          </w:p>
        </w:tc>
      </w:tr>
    </w:tbl>
    <w:p>
      <w:pPr/>
      <w:r>
        <w:t xml:space="preserve">The book's liquidation rates for VCC: cash 100%; receivables 85% to 95%; inventory 60% to 75%; owned real estate 70% to 80%; machinery 10% to 20%; other 0% to 15%; less 5% liquidation expense and a wind-down cushion (p. 332). Store these per sector and refresh them from observed liquidations.</w:t>
      </w:r>
    </w:p>
    <w:p>
      <w:pPr/>
      <w:r>
        <w:t xml:space="preserve">Represent value as lognormal. Set the median from the mid value and the dispersion from the width of the football field:</w:t>
      </w:r>
    </w:p>
    <w:p>
      <w:pPr>
        <w:pStyle w:val="Code"/>
      </w:pPr>
      <w:bookmarkStart w:id="13" w:name="bongo_lang_latex_13"/>
      <w:bookmarkEnd w:id="13"/>
      <w:r>
        <w:t xml:space="preserve">\log V \sim N(\mu_V, \sigma_V^2), \qquad \mu_V = \log V_{mid}, \qquad \sigma_V = \frac{\log V_{high} - \log V_{low}}{2 \times 1.28}</w:t>
      </w:r>
    </w:p>
    <w:p>
      <w:pPr/>
      <w:r>
        <w:t xml:space="preserve">Conditional on default, use the downside value: a distressed multiple times the severe downside EBITDA from Section 5, less a priming DIP and bankruptcy costs. The PU Corp case takes $100 million off the top (p. 503).</w:t>
      </w:r>
    </w:p>
    <w:p>
      <w:pPr>
        <w:pStyle w:val="Heading3"/>
      </w:pPr>
      <w:r>
        <w:t xml:space="preserve">6.2 Waterfall and recovery</w:t>
      </w:r>
    </w:p>
    <w:p>
      <w:pPr/>
      <w:r>
        <w:t xml:space="preserve">For tranche k let </w:t>
      </w:r>
      <w:r>
        <w:rPr>
          <w:rStyle w:val="CodeChar"/>
        </w:rPr>
        <w:t xml:space="preserve">S_k</w:t>
      </w:r>
      <w:r>
        <w:t xml:space="preserve"> be the face of every claim ahead of it, with administrative claims and the DIP in front (Chapter 15). Let </w:t>
      </w:r>
      <w:r>
        <w:rPr>
          <w:rStyle w:val="CodeChar"/>
        </w:rPr>
        <w:t xml:space="preserve">F_k</w:t>
      </w:r>
      <w:r>
        <w:t xml:space="preserve"> be its face and its pari passu pool. The payoff and recovery are:</w:t>
      </w:r>
    </w:p>
    <w:p>
      <w:pPr>
        <w:pStyle w:val="Code"/>
      </w:pPr>
      <w:bookmarkStart w:id="14" w:name="bongo_lang_latex_14"/>
      <w:bookmarkEnd w:id="14"/>
      <w:r>
        <w:t xml:space="preserve">Pay_k(V) = \min\big(F_k, \max(0, V - S_k)\big), \qquad R_k = \frac{E[\,Pay_k(V) \mid default\,]}{F_k}, \qquad LGD_k = 1 - R_k</w:t>
      </w:r>
    </w:p>
    <w:p>
      <w:pPr/>
      <w:r>
        <w:t xml:space="preserve">Intuition: the tranche owns the slice of value between </w:t>
      </w:r>
      <w:r>
        <w:rPr>
          <w:rStyle w:val="CodeChar"/>
        </w:rPr>
        <w:t xml:space="preserve">S_k</w:t>
      </w:r>
      <w:r>
        <w:t xml:space="preserve"> and </w:t>
      </w:r>
      <w:r>
        <w:rPr>
          <w:rStyle w:val="CodeChar"/>
        </w:rPr>
        <w:t xml:space="preserve">S_k + F_k</w:t>
      </w:r>
      <w:r>
        <w:t xml:space="preserve">. Senior tranches sit low on the value axis and recover in most scenarios. Junior tranches sit high and recover only when value is high. This is why the book uses face value for senior claims and market value for the tranche under analysis (p. 264).</w:t>
      </w:r>
    </w:p>
    <w:p>
      <w:pPr/>
      <w:r>
        <w:t xml:space="preserve">Three checks tie the model to the market.</w:t>
      </w:r>
    </w:p>
    <w:tbl>
      <w:tblPr>
        <w:tblStyle w:val="TableGrid"/>
        <w:tblW w:w="0" w:type="auto"/>
        <w:tblLayout w:type="fixed"/>
        <w:tblLook w:val="04A0" w:firstRow="1" w:lastRow="0" w:firstColumn="0" w:lastColumn="0" w:noHBand="0" w:noVBand="1"/>
      </w:tblPr>
      <w:tblGrid>
        <w:gridCol w:w="1804"/>
        <w:gridCol w:w="3269"/>
        <w:gridCol w:w="4287"/>
      </w:tblGrid>
      <w:tr>
        <w:trPr>
          <w:tblHeader/>
        </w:trPr>
        <w:tc>
          <w:tcPr>
            <w:tcW w:w="1804" w:type="dxa"/>
            <w:shd w:val="clear" w:color="auto" w:fill="F2F2F2"/>
          </w:tcPr>
          <w:p>
            <w:pPr/>
            <w:r>
              <w:t xml:space="preserve">Check</w:t>
            </w:r>
          </w:p>
        </w:tc>
        <w:tc>
          <w:tcPr>
            <w:tcW w:w="3269" w:type="dxa"/>
            <w:shd w:val="clear" w:color="auto" w:fill="F2F2F2"/>
          </w:tcPr>
          <w:p>
            <w:pPr/>
            <w:r>
              <w:t xml:space="preserve">Formula</w:t>
            </w:r>
          </w:p>
        </w:tc>
        <w:tc>
          <w:tcPr>
            <w:tcW w:w="4287" w:type="dxa"/>
            <w:shd w:val="clear" w:color="auto" w:fill="F2F2F2"/>
          </w:tcPr>
          <w:p>
            <w:pPr/>
            <w:r>
              <w:t xml:space="preserve">Reading</w:t>
            </w:r>
          </w:p>
        </w:tc>
      </w:tr>
      <w:tr>
        <w:tc>
          <w:tcPr>
            <w:tcW w:w="1804" w:type="dxa"/>
          </w:tcPr>
          <w:p>
            <w:pPr/>
            <w:r>
              <w:t xml:space="preserve">Creation multiple against distressed value</w:t>
            </w:r>
          </w:p>
        </w:tc>
        <w:tc>
          <w:tcPr>
            <w:tcW w:w="3269" w:type="dxa"/>
          </w:tcPr>
          <w:p>
            <w:pPr/>
            <w:r>
              <w:rPr>
                <w:rStyle w:val="CodeChar"/>
              </w:rPr>
              <w:t xml:space="preserve">lev_mkt_k</w:t>
            </w:r>
            <w:r>
              <w:t xml:space="preserve"> (Section 4.3) against </w:t>
            </w:r>
            <w:r>
              <w:rPr>
                <w:rStyle w:val="CodeChar"/>
              </w:rPr>
              <w:t xml:space="preserve">V_default / ebitda_adj</w:t>
            </w:r>
          </w:p>
        </w:tc>
        <w:tc>
          <w:tcPr>
            <w:tcW w:w="4287" w:type="dxa"/>
          </w:tcPr>
          <w:p>
            <w:pPr/>
            <w:r>
              <w:t xml:space="preserve">A creation multiple below the distressed multiple means the market price is below model recovery</w:t>
            </w:r>
          </w:p>
        </w:tc>
      </w:tr>
      <w:tr>
        <w:tc>
          <w:tcPr>
            <w:tcW w:w="1804" w:type="dxa"/>
          </w:tcPr>
          <w:p>
            <w:pPr/>
            <w:r>
              <w:t xml:space="preserve">Market-implied recovery</w:t>
            </w:r>
          </w:p>
        </w:tc>
        <w:tc>
          <w:tcPr>
            <w:tcW w:w="3269" w:type="dxa"/>
          </w:tcPr>
          <w:p>
            <w:pPr/>
            <w:r>
              <w:t xml:space="preserve">Price of the longest bond of the same rank, when the issuer is distressed</w:t>
            </w:r>
          </w:p>
        </w:tc>
        <w:tc>
          <w:tcPr>
            <w:tcW w:w="4287" w:type="dxa"/>
          </w:tcPr>
          <w:p>
            <w:pPr/>
            <w:r>
              <w:t xml:space="preserve">Equal-rank bonds converge to one recovery price in Chapter 11 (p. 530)</w:t>
            </w:r>
          </w:p>
        </w:tc>
      </w:tr>
      <w:tr>
        <w:tc>
          <w:tcPr>
            <w:tcW w:w="1804" w:type="dxa"/>
          </w:tcPr>
          <w:p>
            <w:pPr/>
            <w:r>
              <w:t xml:space="preserve">LTV by scenario</w:t>
            </w:r>
          </w:p>
        </w:tc>
        <w:tc>
          <w:tcPr>
            <w:tcW w:w="3269" w:type="dxa"/>
          </w:tcPr>
          <w:p>
            <w:pPr/>
            <w:r>
              <w:rPr>
                <w:rStyle w:val="CodeChar"/>
              </w:rPr>
              <w:t xml:space="preserve">ltv_k</w:t>
            </w:r>
            <w:r>
              <w:t xml:space="preserve"> with </w:t>
            </w:r>
            <w:r>
              <w:rPr>
                <w:rStyle w:val="CodeChar"/>
              </w:rPr>
              <w:t xml:space="preserve">V_low</w:t>
            </w:r>
            <w:r>
              <w:t xml:space="preserve">, </w:t>
            </w:r>
            <w:r>
              <w:rPr>
                <w:rStyle w:val="CodeChar"/>
              </w:rPr>
              <w:t xml:space="preserve">V_mid</w:t>
            </w:r>
            <w:r>
              <w:t xml:space="preserve">, </w:t>
            </w:r>
            <w:r>
              <w:rPr>
                <w:rStyle w:val="CodeChar"/>
              </w:rPr>
              <w:t xml:space="preserve">V_high</w:t>
            </w:r>
          </w:p>
        </w:tc>
        <w:tc>
          <w:tcPr>
            <w:tcW w:w="4287" w:type="dxa"/>
          </w:tcPr>
          <w:p>
            <w:pPr/>
            <w:r>
              <w:t xml:space="preserve">VCC: 67% at mid, 87% at low, still covered (p. 332)</w:t>
            </w:r>
          </w:p>
        </w:tc>
      </w:tr>
    </w:tbl>
    <w:p>
      <w:pPr/>
      <w:r>
        <w:t xml:space="preserve">Structural position changes </w:t>
      </w:r>
      <w:r>
        <w:rPr>
          <w:rStyle w:val="CodeChar"/>
        </w:rPr>
        <w:t xml:space="preserve">S_k</w:t>
      </w:r>
      <w:r>
        <w:t xml:space="preserve"> and </w:t>
      </w:r>
      <w:r>
        <w:rPr>
          <w:rStyle w:val="CodeChar"/>
        </w:rPr>
        <w:t xml:space="preserve">V</w:t>
      </w:r>
      <w:r>
        <w:t xml:space="preserve">. A bond at an operating subsidiary sits ahead of a holding company bond on that subsidiary's value. A guarantee extends a claim to another entity. A double-dip claim counts twice (Chapter 17; Lehman, p. 531). Encode the entity, the guarantors, and the claim multiplicity in </w:t>
      </w:r>
      <w:r>
        <w:rPr>
          <w:rStyle w:val="CodeChar"/>
        </w:rPr>
        <w:t xml:space="preserve">issuer_entity</w:t>
      </w:r>
      <w:r>
        <w:t xml:space="preserve"> and </w:t>
      </w:r>
      <w:r>
        <w:rPr>
          <w:rStyle w:val="CodeChar"/>
        </w:rPr>
        <w:t xml:space="preserve">guarantors[]</w:t>
      </w:r>
      <w:r>
        <w:t xml:space="preserve"> from Section 3.3, and run the waterfall per entity.</w:t>
      </w:r>
    </w:p>
    <w:p>
      <w:pPr>
        <w:pStyle w:val="Heading3"/>
      </w:pPr>
      <w:r>
        <w:t xml:space="preserve">6.3 Liability management adjustment</w:t>
      </w:r>
    </w:p>
    <w:p>
      <w:pPr/>
      <w:r>
        <w:t xml:space="preserve">Documents can raise </w:t>
      </w:r>
      <w:r>
        <w:rPr>
          <w:rStyle w:val="CodeChar"/>
        </w:rPr>
        <w:t xml:space="preserve">S_k</w:t>
      </w:r>
      <w:r>
        <w:t xml:space="preserve"> or lower </w:t>
      </w:r>
      <w:r>
        <w:rPr>
          <w:rStyle w:val="CodeChar"/>
        </w:rPr>
        <w:t xml:space="preserve">V</w:t>
      </w:r>
      <w:r>
        <w:t xml:space="preserve"> after you buy. A drop-down moves collateral to an unrestricted subsidiary, as in J.Crew (pp. 499–501). An uptier lets a bare majority of lenders prime the rest, as in Serta: PU Corp recovery fell from 70% to 82.5% before the exchange to 24.8% to 49.9% after it (Figures 18.3 and 18.4, pp. 503–504).</w:t>
      </w:r>
    </w:p>
    <w:p>
      <w:pPr/>
      <w:r>
        <w:t xml:space="preserve">Score the exposure from the document fields in Section 3.4 and the sponsor flag in Section 4.4:</w:t>
      </w:r>
    </w:p>
    <w:tbl>
      <w:tblPr>
        <w:tblStyle w:val="TableGrid"/>
        <w:tblW w:w="0" w:type="auto"/>
        <w:tblLayout w:type="fixed"/>
        <w:tblLook w:val="04A0" w:firstRow="1" w:lastRow="0" w:firstColumn="0" w:lastColumn="0" w:noHBand="0" w:noVBand="1"/>
      </w:tblPr>
      <w:tblGrid>
        <w:gridCol w:w="4145"/>
        <w:gridCol w:w="3289"/>
        <w:gridCol w:w="1926"/>
      </w:tblGrid>
      <w:tr>
        <w:trPr>
          <w:tblHeader/>
        </w:trPr>
        <w:tc>
          <w:tcPr>
            <w:tcW w:w="4145" w:type="dxa"/>
            <w:shd w:val="clear" w:color="auto" w:fill="F2F2F2"/>
          </w:tcPr>
          <w:p>
            <w:pPr/>
            <w:r>
              <w:t xml:space="preserve">Input</w:t>
            </w:r>
          </w:p>
        </w:tc>
        <w:tc>
          <w:tcPr>
            <w:tcW w:w="3289" w:type="dxa"/>
            <w:shd w:val="clear" w:color="auto" w:fill="F2F2F2"/>
          </w:tcPr>
          <w:p>
            <w:pPr/>
            <w:r>
              <w:t xml:space="preserve">Direction</w:t>
            </w:r>
          </w:p>
        </w:tc>
        <w:tc>
          <w:tcPr>
            <w:tcW w:w="1926" w:type="dxa"/>
            <w:shd w:val="clear" w:color="auto" w:fill="F2F2F2"/>
          </w:tcPr>
          <w:p>
            <w:pPr/>
            <w:r>
              <w:t xml:space="preserve">Weight rule</w:t>
            </w:r>
          </w:p>
        </w:tc>
      </w:tr>
      <w:tr>
        <w:tc>
          <w:tcPr>
            <w:tcW w:w="4145" w:type="dxa"/>
          </w:tcPr>
          <w:p>
            <w:pPr/>
            <w:r>
              <w:rPr>
                <w:rStyle w:val="CodeChar"/>
              </w:rPr>
              <w:t xml:space="preserve">unrestricted_sub_capacity</w:t>
            </w:r>
            <w:r>
              <w:t xml:space="preserve">, </w:t>
            </w:r>
            <w:r>
              <w:rPr>
                <w:rStyle w:val="CodeChar"/>
              </w:rPr>
              <w:t xml:space="preserve">investment_capacity</w:t>
            </w:r>
          </w:p>
        </w:tc>
        <w:tc>
          <w:tcPr>
            <w:tcW w:w="3289" w:type="dxa"/>
          </w:tcPr>
          <w:p>
            <w:pPr/>
            <w:r>
              <w:t xml:space="preserve">Higher capacity raises the score</w:t>
            </w:r>
          </w:p>
        </w:tc>
        <w:tc>
          <w:tcPr>
            <w:tcW w:w="1926" w:type="dxa"/>
          </w:tcPr>
          <w:p>
            <w:pPr/>
            <w:r>
              <w:t xml:space="preserve">Dollar capacity over </w:t>
            </w:r>
            <w:r>
              <w:rPr>
                <w:rStyle w:val="CodeChar"/>
              </w:rPr>
              <w:t xml:space="preserve">V_mid</w:t>
            </w:r>
          </w:p>
        </w:tc>
      </w:tr>
      <w:tr>
        <w:tc>
          <w:tcPr>
            <w:tcW w:w="4145" w:type="dxa"/>
          </w:tcPr>
          <w:p>
            <w:pPr/>
            <w:r>
              <w:rPr>
                <w:rStyle w:val="CodeChar"/>
              </w:rPr>
              <w:t xml:space="preserve">required_lenders</w:t>
            </w:r>
            <w:r>
              <w:t xml:space="preserve"> at a bare majority with no protective amendment language</w:t>
            </w:r>
          </w:p>
        </w:tc>
        <w:tc>
          <w:tcPr>
            <w:tcW w:w="3289" w:type="dxa"/>
          </w:tcPr>
          <w:p>
            <w:pPr/>
            <w:r>
              <w:t xml:space="preserve">Raises the score</w:t>
            </w:r>
          </w:p>
        </w:tc>
        <w:tc>
          <w:tcPr>
            <w:tcW w:w="1926" w:type="dxa"/>
          </w:tcPr>
          <w:p>
            <w:pPr/>
            <w:r>
              <w:t xml:space="preserve">Binary</w:t>
            </w:r>
          </w:p>
        </w:tc>
      </w:tr>
      <w:tr>
        <w:tc>
          <w:tcPr>
            <w:tcW w:w="4145" w:type="dxa"/>
          </w:tcPr>
          <w:p>
            <w:pPr/>
            <w:r>
              <w:rPr>
                <w:rStyle w:val="CodeChar"/>
              </w:rPr>
              <w:t xml:space="preserve">pro_rata_sharing</w:t>
            </w:r>
            <w:r>
              <w:t xml:space="preserve"> in the sacred rights, with exchange carve-outs</w:t>
            </w:r>
          </w:p>
        </w:tc>
        <w:tc>
          <w:tcPr>
            <w:tcW w:w="3289" w:type="dxa"/>
          </w:tcPr>
          <w:p>
            <w:pPr/>
            <w:r>
              <w:t xml:space="preserve">Carve-outs raise the score</w:t>
            </w:r>
          </w:p>
        </w:tc>
        <w:tc>
          <w:tcPr>
            <w:tcW w:w="1926" w:type="dxa"/>
          </w:tcPr>
          <w:p>
            <w:pPr/>
            <w:r>
              <w:t xml:space="preserve">Binary</w:t>
            </w:r>
          </w:p>
        </w:tc>
      </w:tr>
      <w:tr>
        <w:tc>
          <w:tcPr>
            <w:tcW w:w="4145" w:type="dxa"/>
          </w:tcPr>
          <w:p>
            <w:pPr/>
            <w:r>
              <w:rPr>
                <w:rStyle w:val="CodeChar"/>
              </w:rPr>
              <w:t xml:space="preserve">lien_basket</w:t>
            </w:r>
            <w:r>
              <w:t xml:space="preserve">, </w:t>
            </w:r>
            <w:r>
              <w:rPr>
                <w:rStyle w:val="CodeChar"/>
              </w:rPr>
              <w:t xml:space="preserve">debt_basket</w:t>
            </w:r>
          </w:p>
        </w:tc>
        <w:tc>
          <w:tcPr>
            <w:tcW w:w="3289" w:type="dxa"/>
          </w:tcPr>
          <w:p>
            <w:pPr/>
            <w:r>
              <w:t xml:space="preserve">Larger baskets raise the score</w:t>
            </w:r>
          </w:p>
        </w:tc>
        <w:tc>
          <w:tcPr>
            <w:tcW w:w="1926" w:type="dxa"/>
          </w:tcPr>
          <w:p>
            <w:pPr/>
            <w:r>
              <w:t xml:space="preserve">Dollar capacity over </w:t>
            </w:r>
            <w:r>
              <w:rPr>
                <w:rStyle w:val="CodeChar"/>
              </w:rPr>
              <w:t xml:space="preserve">F_k</w:t>
            </w:r>
          </w:p>
        </w:tc>
      </w:tr>
      <w:tr>
        <w:tc>
          <w:tcPr>
            <w:tcW w:w="4145" w:type="dxa"/>
          </w:tcPr>
          <w:p>
            <w:pPr/>
            <w:r>
              <w:rPr>
                <w:rStyle w:val="CodeChar"/>
              </w:rPr>
              <w:t xml:space="preserve">sponsor_behavior</w:t>
            </w:r>
          </w:p>
        </w:tc>
        <w:tc>
          <w:tcPr>
            <w:tcW w:w="3289" w:type="dxa"/>
          </w:tcPr>
          <w:p>
            <w:pPr/>
            <w:r>
              <w:t xml:space="preserve">Prior recaps and transfers raise the score</w:t>
            </w:r>
          </w:p>
        </w:tc>
        <w:tc>
          <w:tcPr>
            <w:tcW w:w="1926" w:type="dxa"/>
          </w:tcPr>
          <w:p>
            <w:pPr/>
            <w:r>
              <w:t xml:space="preserve">Count</w:t>
            </w:r>
          </w:p>
        </w:tc>
      </w:tr>
      <w:tr>
        <w:tc>
          <w:tcPr>
            <w:tcW w:w="4145" w:type="dxa"/>
          </w:tcPr>
          <w:p>
            <w:pPr/>
            <w:r>
              <w:t xml:space="preserve">Distance to distress</w:t>
            </w:r>
          </w:p>
        </w:tc>
        <w:tc>
          <w:tcPr>
            <w:tcW w:w="3289" w:type="dxa"/>
          </w:tcPr>
          <w:p>
            <w:pPr/>
            <w:r>
              <w:t xml:space="preserve">Closer raises the probability that the option is used</w:t>
            </w:r>
          </w:p>
        </w:tc>
        <w:tc>
          <w:tcPr>
            <w:tcW w:w="1926" w:type="dxa"/>
          </w:tcPr>
          <w:p>
            <w:pPr/>
            <w:r>
              <w:t xml:space="preserve">From </w:t>
            </w:r>
            <w:r>
              <w:rPr>
                <w:rStyle w:val="CodeChar"/>
              </w:rPr>
              <w:t xml:space="preserve">p_liq_short_8</w:t>
            </w:r>
            <w:r>
              <w:t xml:space="preserve"> in Section 5</w:t>
            </w:r>
          </w:p>
        </w:tc>
      </w:tr>
    </w:tbl>
    <w:p>
      <w:pPr/>
      <w:r>
        <w:t xml:space="preserve">The adjusted recovery blends the clean and the stressed waterfall:</w:t>
      </w:r>
    </w:p>
    <w:p>
      <w:pPr>
        <w:pStyle w:val="Code"/>
      </w:pPr>
      <w:bookmarkStart w:id="15" w:name="bongo_lang_latex_15"/>
      <w:bookmarkEnd w:id="15"/>
      <w:r>
        <w:t xml:space="preserve">R^{adj}_k = (1 - \pi_{LME})\,R_k + \pi_{LME}\,R^{LME}_k, \qquad \pi_{LME} = \sigma(\gamma_0 + \gamma_1\, score_k + \gamma_2\, p^{liq}_{8})</w:t>
      </w:r>
    </w:p>
    <w:p>
      <w:pPr/>
      <w:r>
        <w:rPr>
          <w:rStyle w:val="CodeChar"/>
        </w:rPr>
        <w:t xml:space="preserve">R_k^{LME}</w:t>
      </w:r>
      <w:r>
        <w:t xml:space="preserve"> is the recovery after the maximum drop-down and the maximum uptier the documents permit. Calibrate </w:t>
      </w:r>
      <w:r>
        <w:rPr>
          <w:rStyle w:val="CodeChar"/>
        </w:rPr>
        <w:t xml:space="preserve">γ</w:t>
      </w:r>
      <w:r>
        <w:t xml:space="preserve"> on the observed liability management cases since 2015 (p. 498).</w:t>
      </w:r>
    </w:p>
    <w:p>
      <w:pPr>
        <w:pStyle w:val="Heading3"/>
      </w:pPr>
      <w:r>
        <w:t xml:space="preserve">6.4 Outputs of this layer</w:t>
      </w:r>
    </w:p>
    <w:tbl>
      <w:tblPr>
        <w:tblStyle w:val="TableGrid"/>
        <w:tblW w:w="0" w:type="auto"/>
        <w:tblLayout w:type="fixed"/>
        <w:tblLook w:val="04A0" w:firstRow="1" w:lastRow="0" w:firstColumn="0" w:lastColumn="0" w:noHBand="0" w:noVBand="1"/>
      </w:tblPr>
      <w:tblGrid>
        <w:gridCol w:w="3742"/>
        <w:gridCol w:w="2955"/>
        <w:gridCol w:w="2663"/>
      </w:tblGrid>
      <w:tr>
        <w:trPr>
          <w:tblHeader/>
        </w:trPr>
        <w:tc>
          <w:tcPr>
            <w:tcW w:w="3742" w:type="dxa"/>
            <w:shd w:val="clear" w:color="auto" w:fill="F2F2F2"/>
          </w:tcPr>
          <w:p>
            <w:pPr/>
            <w:r>
              <w:t xml:space="preserve">Output</w:t>
            </w:r>
          </w:p>
        </w:tc>
        <w:tc>
          <w:tcPr>
            <w:tcW w:w="2955" w:type="dxa"/>
            <w:shd w:val="clear" w:color="auto" w:fill="F2F2F2"/>
          </w:tcPr>
          <w:p>
            <w:pPr/>
            <w:r>
              <w:t xml:space="preserve">Definition</w:t>
            </w:r>
          </w:p>
        </w:tc>
        <w:tc>
          <w:tcPr>
            <w:tcW w:w="2663" w:type="dxa"/>
            <w:shd w:val="clear" w:color="auto" w:fill="F2F2F2"/>
          </w:tcPr>
          <w:p>
            <w:pPr/>
            <w:r>
              <w:t xml:space="preserve">Consumer</w:t>
            </w:r>
          </w:p>
        </w:tc>
      </w:tr>
      <w:tr>
        <w:tc>
          <w:tcPr>
            <w:tcW w:w="3742" w:type="dxa"/>
          </w:tcPr>
          <w:p>
            <w:pPr/>
            <w:r>
              <w:rPr>
                <w:rStyle w:val="CodeChar"/>
              </w:rPr>
              <w:t xml:space="preserve">tev_low</w:t>
            </w:r>
            <w:r>
              <w:t xml:space="preserve">, </w:t>
            </w:r>
            <w:r>
              <w:rPr>
                <w:rStyle w:val="CodeChar"/>
              </w:rPr>
              <w:t xml:space="preserve">tev_mid</w:t>
            </w:r>
            <w:r>
              <w:t xml:space="preserve">, </w:t>
            </w:r>
            <w:r>
              <w:rPr>
                <w:rStyle w:val="CodeChar"/>
              </w:rPr>
              <w:t xml:space="preserve">tev_high</w:t>
            </w:r>
            <w:r>
              <w:t xml:space="preserve">, </w:t>
            </w:r>
            <w:r>
              <w:rPr>
                <w:rStyle w:val="CodeChar"/>
              </w:rPr>
              <w:t xml:space="preserve">tev_default</w:t>
            </w:r>
            <w:r>
              <w:t xml:space="preserve">, </w:t>
            </w:r>
            <w:r>
              <w:rPr>
                <w:rStyle w:val="CodeChar"/>
              </w:rPr>
              <w:t xml:space="preserve">v_sigma</w:t>
            </w:r>
          </w:p>
        </w:tc>
        <w:tc>
          <w:tcPr>
            <w:tcW w:w="2955" w:type="dxa"/>
          </w:tcPr>
          <w:p>
            <w:pPr/>
            <w:r>
              <w:t xml:space="preserve">Value range and dispersion</w:t>
            </w:r>
          </w:p>
        </w:tc>
        <w:tc>
          <w:tcPr>
            <w:tcW w:w="2663" w:type="dxa"/>
          </w:tcPr>
          <w:p>
            <w:pPr/>
            <w:r>
              <w:t xml:space="preserve">Sections 7 and 9</w:t>
            </w:r>
          </w:p>
        </w:tc>
      </w:tr>
      <w:tr>
        <w:tc>
          <w:tcPr>
            <w:tcW w:w="3742" w:type="dxa"/>
          </w:tcPr>
          <w:p>
            <w:pPr/>
            <w:r>
              <w:rPr>
                <w:rStyle w:val="CodeChar"/>
              </w:rPr>
              <w:t xml:space="preserve">ltv_k_low</w:t>
            </w:r>
            <w:r>
              <w:t xml:space="preserve">, </w:t>
            </w:r>
            <w:r>
              <w:rPr>
                <w:rStyle w:val="CodeChar"/>
              </w:rPr>
              <w:t xml:space="preserve">ltv_k_mid</w:t>
            </w:r>
            <w:r>
              <w:t xml:space="preserve">, </w:t>
            </w:r>
            <w:r>
              <w:rPr>
                <w:rStyle w:val="CodeChar"/>
              </w:rPr>
              <w:t xml:space="preserve">ltv_k_high</w:t>
            </w:r>
          </w:p>
        </w:tc>
        <w:tc>
          <w:tcPr>
            <w:tcW w:w="2955" w:type="dxa"/>
          </w:tcPr>
          <w:p>
            <w:pPr/>
            <w:r>
              <w:t xml:space="preserve">Tranche LTV by value scenario</w:t>
            </w:r>
          </w:p>
        </w:tc>
        <w:tc>
          <w:tcPr>
            <w:tcW w:w="2663" w:type="dxa"/>
          </w:tcPr>
          <w:p>
            <w:pPr/>
            <w:r>
              <w:t xml:space="preserve">Section 7</w:t>
            </w:r>
          </w:p>
        </w:tc>
      </w:tr>
      <w:tr>
        <w:tc>
          <w:tcPr>
            <w:tcW w:w="3742" w:type="dxa"/>
          </w:tcPr>
          <w:p>
            <w:pPr/>
            <w:r>
              <w:rPr>
                <w:rStyle w:val="CodeChar"/>
              </w:rPr>
              <w:t xml:space="preserve">recovery_k</w:t>
            </w:r>
            <w:r>
              <w:t xml:space="preserve">, </w:t>
            </w:r>
            <w:r>
              <w:rPr>
                <w:rStyle w:val="CodeChar"/>
              </w:rPr>
              <w:t xml:space="preserve">lgd_k</w:t>
            </w:r>
          </w:p>
        </w:tc>
        <w:tc>
          <w:tcPr>
            <w:tcW w:w="2955" w:type="dxa"/>
          </w:tcPr>
          <w:p>
            <w:pPr/>
            <w:r>
              <w:t xml:space="preserve">Clean waterfall</w:t>
            </w:r>
          </w:p>
        </w:tc>
        <w:tc>
          <w:tcPr>
            <w:tcW w:w="2663" w:type="dxa"/>
          </w:tcPr>
          <w:p>
            <w:pPr/>
            <w:r>
              <w:t xml:space="preserve">Section 7</w:t>
            </w:r>
          </w:p>
        </w:tc>
      </w:tr>
      <w:tr>
        <w:tc>
          <w:tcPr>
            <w:tcW w:w="3742" w:type="dxa"/>
          </w:tcPr>
          <w:p>
            <w:pPr/>
            <w:r>
              <w:rPr>
                <w:rStyle w:val="CodeChar"/>
              </w:rPr>
              <w:t xml:space="preserve">recovery_k_adj</w:t>
            </w:r>
            <w:r>
              <w:t xml:space="preserve">, </w:t>
            </w:r>
            <w:r>
              <w:rPr>
                <w:rStyle w:val="CodeChar"/>
              </w:rPr>
              <w:t xml:space="preserve">lme_score_k</w:t>
            </w:r>
            <w:r>
              <w:t xml:space="preserve">, </w:t>
            </w:r>
            <w:r>
              <w:rPr>
                <w:rStyle w:val="CodeChar"/>
              </w:rPr>
              <w:t xml:space="preserve">pi_lme</w:t>
            </w:r>
          </w:p>
        </w:tc>
        <w:tc>
          <w:tcPr>
            <w:tcW w:w="2955" w:type="dxa"/>
          </w:tcPr>
          <w:p>
            <w:pPr/>
            <w:r>
              <w:t xml:space="preserve">Liability management adjusted</w:t>
            </w:r>
          </w:p>
        </w:tc>
        <w:tc>
          <w:tcPr>
            <w:tcW w:w="2663" w:type="dxa"/>
          </w:tcPr>
          <w:p>
            <w:pPr/>
            <w:r>
              <w:t xml:space="preserve">Sections 7, 8, and 9</w:t>
            </w:r>
          </w:p>
        </w:tc>
      </w:tr>
      <w:tr>
        <w:tc>
          <w:tcPr>
            <w:tcW w:w="3742" w:type="dxa"/>
          </w:tcPr>
          <w:p>
            <w:pPr/>
            <w:r>
              <w:rPr>
                <w:rStyle w:val="CodeChar"/>
              </w:rPr>
              <w:t xml:space="preserve">recovery_price_k</w:t>
            </w:r>
          </w:p>
        </w:tc>
        <w:tc>
          <w:tcPr>
            <w:tcW w:w="2955" w:type="dxa"/>
          </w:tcPr>
          <w:p>
            <w:pPr/>
            <w:r>
              <w:rPr>
                <w:rStyle w:val="CodeChar"/>
              </w:rPr>
              <w:t xml:space="preserve">100 × recovery_k_adj</w:t>
            </w:r>
          </w:p>
        </w:tc>
        <w:tc>
          <w:tcPr>
            <w:tcW w:w="2663" w:type="dxa"/>
          </w:tcPr>
          <w:p>
            <w:pPr/>
            <w:r>
              <w:t xml:space="preserve">Jump-to-default floor in Section 9</w:t>
            </w:r>
          </w:p>
        </w:tc>
      </w:tr>
      <w:tr>
        <w:tc>
          <w:tcPr>
            <w:tcW w:w="3742" w:type="dxa"/>
          </w:tcPr>
          <w:p>
            <w:pPr/>
            <w:r>
              <w:rPr>
                <w:rStyle w:val="CodeChar"/>
              </w:rPr>
              <w:t xml:space="preserve">creation_multiple_k</w:t>
            </w:r>
          </w:p>
        </w:tc>
        <w:tc>
          <w:tcPr>
            <w:tcW w:w="2955" w:type="dxa"/>
          </w:tcPr>
          <w:p>
            <w:pPr/>
            <w:r>
              <w:rPr>
                <w:rStyle w:val="CodeChar"/>
              </w:rPr>
              <w:t xml:space="preserve">lev_mkt_k</w:t>
            </w:r>
          </w:p>
        </w:tc>
        <w:tc>
          <w:tcPr>
            <w:tcW w:w="2663" w:type="dxa"/>
          </w:tcPr>
          <w:p>
            <w:pPr/>
            <w:r>
              <w:t xml:space="preserve">Section 8 capital structure signal</w:t>
            </w:r>
          </w:p>
        </w:tc>
      </w:tr>
    </w:tbl>
    <w:p>
      <w:pPr>
        <w:pStyle w:val="Heading2"/>
      </w:pPr>
      <w:r>
        <w:t xml:space="preserve">7. Fair spread model and mispricing score</w:t>
      </w:r>
    </w:p>
    <w:p>
      <w:pPr/>
      <w:r>
        <w:t xml:space="preserve">The fair spread is the spread a bond should pay given its expected loss, the market price of credit risk, and its liquidity and document terms. The mispricing is the log gap between the market spread and the fair spread, scaled by the model's own out-of-sample error. A bond is cheap when it sits outside a conformal band, not when it sits above a point estimate.</w:t>
      </w:r>
    </w:p>
    <w:p>
      <w:pPr>
        <w:pStyle w:val="Heading3"/>
      </w:pPr>
      <w:r>
        <w:t xml:space="preserve">7.1 Structural anchor: expected loss</w:t>
      </w:r>
    </w:p>
    <w:p>
      <w:pPr/>
      <w:r>
        <w:t xml:space="preserve">The book defines risk as the probability of default times the severity of loss (p. 119). The anchor spread is their product, scaled by a market price of risk </w:t>
      </w:r>
      <w:r>
        <w:rPr>
          <w:rStyle w:val="CodeChar"/>
        </w:rPr>
        <w:t xml:space="preserve">κ_t</w:t>
      </w:r>
      <w:r>
        <w:t xml:space="preserve"> that moves with the cycle:</w:t>
      </w:r>
    </w:p>
    <w:p>
      <w:pPr>
        <w:pStyle w:val="Code"/>
      </w:pPr>
      <w:bookmarkStart w:id="16" w:name="bongo_lang_latex_16"/>
      <w:bookmarkEnd w:id="16"/>
      <w:r>
        <w:t xml:space="preserve">\lambda_i = -\log(1 - PD^{12m}_i), \qquad s^{EL}_i = \lambda_i \, LGD^{adj}_i, \qquad s^{anchor}_{i,t} = \kappa_t \, s^{EL}_i</w:t>
      </w:r>
    </w:p>
    <w:p>
      <w:pPr/>
      <w:r>
        <w:t xml:space="preserve">Fit the probability of default on the forward features, not on the trailing ratios:</w:t>
      </w:r>
    </w:p>
    <w:p>
      <w:pPr>
        <w:pStyle w:val="Code"/>
      </w:pPr>
      <w:bookmarkStart w:id="17" w:name="bongo_lang_latex_17"/>
      <w:bookmarkEnd w:id="17"/>
      <w:r>
        <w:t xml:space="preserve">\text{logit}\,PD^{12m}_i = \alpha + \beta_1 lev^{fwd}_{4} + \beta_2 cov^{fwd}_{4} + \beta_3 p^{liq}_{8} + \beta_4 p^{refi}_{4} + \beta_5 trend_{margin} + \beta_6 \sum eq\_flags + \beta_7 q_{score} + \beta_8 gap_{rating} + \beta_9 \log size + \beta_{10} dd_{equity}</w:t>
      </w:r>
    </w:p>
    <w:p>
      <w:pPr/>
      <w:r>
        <w:t xml:space="preserve">Intuition: the book lists three causes of a filing, a liquidity crisis, an unsustainable capital structure, and litigation (p. 424). Liquidity features drive the 12-month probability; leverage drives the 5-year probability. Calibrate the intercept so that the average fitted probability by rating matches the agency table, 3.60% at one year for speculative grade (p. 274). </w:t>
      </w:r>
      <w:r>
        <w:rPr>
          <w:rStyle w:val="CodeChar"/>
        </w:rPr>
        <w:t xml:space="preserve">dd_equity</w:t>
      </w:r>
      <w:r>
        <w:t xml:space="preserve"> is the equity distance to default where a listed equity exists; it is empty for private issuers.</w:t>
      </w:r>
    </w:p>
    <w:p>
      <w:pPr/>
      <w:r>
        <w:rPr>
          <w:rStyle w:val="CodeChar"/>
        </w:rPr>
        <w:t xml:space="preserve">κ_t</w:t>
      </w:r>
      <w:r>
        <w:t xml:space="preserve"> is the ratio of the index spread to the index expected loss, by rating bucket. It is the book's second price driver (p. 113). It is high after a sell-off and low in a frothy market, which is when the book warns that secured against unsecured spreads are too tight (p. 531).</w:t>
      </w:r>
    </w:p>
    <w:p>
      <w:pPr>
        <w:pStyle w:val="Heading3"/>
      </w:pPr>
      <w:r>
        <w:t xml:space="preserve">7.2 Empirical model</w:t>
      </w:r>
    </w:p>
    <w:p>
      <w:pPr/>
      <w:r>
        <w:t xml:space="preserve">The anchor explains the level. A second stage explains the remainder with the features the anchor omits. Fit per date on the cross-section, with sector-by-date effects to absorb the systematic spread:</w:t>
      </w:r>
    </w:p>
    <w:p>
      <w:pPr>
        <w:pStyle w:val="Code"/>
      </w:pPr>
      <w:bookmarkStart w:id="18" w:name="bongo_lang_latex_18"/>
      <w:bookmarkEnd w:id="18"/>
      <w:r>
        <w:t xml:space="preserve">\log s_{i,t} = \log s^{anchor}_{i,t} + f_t(x_{i,t}) + \eta_{sector(i),t} + \varepsilon_{i,t}</w:t>
      </w:r>
    </w:p>
    <w:tbl>
      <w:tblPr>
        <w:tblStyle w:val="TableGrid"/>
        <w:tblW w:w="0" w:type="auto"/>
        <w:tblLayout w:type="fixed"/>
        <w:tblLook w:val="04A0" w:firstRow="1" w:lastRow="0" w:firstColumn="0" w:lastColumn="0" w:noHBand="0" w:noVBand="1"/>
      </w:tblPr>
      <w:tblGrid>
        <w:gridCol w:w="1978"/>
        <w:gridCol w:w="4123"/>
        <w:gridCol w:w="3258"/>
      </w:tblGrid>
      <w:tr>
        <w:trPr>
          <w:tblHeader/>
        </w:trPr>
        <w:tc>
          <w:tcPr>
            <w:tcW w:w="1978" w:type="dxa"/>
            <w:shd w:val="clear" w:color="auto" w:fill="F2F2F2"/>
          </w:tcPr>
          <w:p>
            <w:pPr/>
            <w:r>
              <w:t xml:space="preserve">Block of </w:t>
            </w:r>
            <w:r>
              <w:rPr>
                <w:rStyle w:val="CodeChar"/>
              </w:rPr>
              <w:t xml:space="preserve">x</w:t>
            </w:r>
          </w:p>
        </w:tc>
        <w:tc>
          <w:tcPr>
            <w:tcW w:w="4123" w:type="dxa"/>
            <w:shd w:val="clear" w:color="auto" w:fill="F2F2F2"/>
          </w:tcPr>
          <w:p>
            <w:pPr/>
            <w:r>
              <w:t xml:space="preserve">Features</w:t>
            </w:r>
          </w:p>
        </w:tc>
        <w:tc>
          <w:tcPr>
            <w:tcW w:w="3258" w:type="dxa"/>
            <w:shd w:val="clear" w:color="auto" w:fill="F2F2F2"/>
          </w:tcPr>
          <w:p>
            <w:pPr/>
            <w:r>
              <w:t xml:space="preserve">Constraint</w:t>
            </w:r>
          </w:p>
        </w:tc>
      </w:tr>
      <w:tr>
        <w:tc>
          <w:tcPr>
            <w:tcW w:w="1978" w:type="dxa"/>
          </w:tcPr>
          <w:p>
            <w:pPr/>
            <w:r>
              <w:t xml:space="preserve">Capital structure</w:t>
            </w:r>
          </w:p>
        </w:tc>
        <w:tc>
          <w:tcPr>
            <w:tcW w:w="4123" w:type="dxa"/>
          </w:tcPr>
          <w:p>
            <w:pPr/>
            <w:r>
              <w:rPr>
                <w:rStyle w:val="CodeChar"/>
              </w:rPr>
              <w:t xml:space="preserve">lev_adj_k</w:t>
            </w:r>
            <w:r>
              <w:t xml:space="preserve">, </w:t>
            </w:r>
            <w:r>
              <w:rPr>
                <w:rStyle w:val="CodeChar"/>
              </w:rPr>
              <w:t xml:space="preserve">ltv_k_mid</w:t>
            </w:r>
            <w:r>
              <w:t xml:space="preserve">, </w:t>
            </w:r>
            <w:r>
              <w:rPr>
                <w:rStyle w:val="CodeChar"/>
              </w:rPr>
              <w:t xml:space="preserve">coverage</w:t>
            </w:r>
            <w:r>
              <w:t xml:space="preserve">, </w:t>
            </w:r>
            <w:r>
              <w:rPr>
                <w:rStyle w:val="CodeChar"/>
              </w:rPr>
              <w:t xml:space="preserve">rank</w:t>
            </w:r>
            <w:r>
              <w:t xml:space="preserve">, </w:t>
            </w:r>
            <w:r>
              <w:rPr>
                <w:rStyle w:val="CodeChar"/>
              </w:rPr>
              <w:t xml:space="preserve">recovery_k_adj</w:t>
            </w:r>
          </w:p>
        </w:tc>
        <w:tc>
          <w:tcPr>
            <w:tcW w:w="3258" w:type="dxa"/>
          </w:tcPr>
          <w:p>
            <w:pPr/>
            <w:r>
              <w:t xml:space="preserve">Spread rises in leverage and LTV, falls in coverage and recovery</w:t>
            </w:r>
          </w:p>
        </w:tc>
      </w:tr>
      <w:tr>
        <w:tc>
          <w:tcPr>
            <w:tcW w:w="1978" w:type="dxa"/>
          </w:tcPr>
          <w:p>
            <w:pPr/>
            <w:r>
              <w:t xml:space="preserve">Forward</w:t>
            </w:r>
          </w:p>
        </w:tc>
        <w:tc>
          <w:tcPr>
            <w:tcW w:w="4123" w:type="dxa"/>
          </w:tcPr>
          <w:p>
            <w:pPr/>
            <w:r>
              <w:rPr>
                <w:rStyle w:val="CodeChar"/>
              </w:rPr>
              <w:t xml:space="preserve">delev_4</w:t>
            </w:r>
            <w:r>
              <w:t xml:space="preserve">, </w:t>
            </w:r>
            <w:r>
              <w:rPr>
                <w:rStyle w:val="CodeChar"/>
              </w:rPr>
              <w:t xml:space="preserve">lev_fwd_sd_4</w:t>
            </w:r>
            <w:r>
              <w:t xml:space="preserve">, </w:t>
            </w:r>
            <w:r>
              <w:rPr>
                <w:rStyle w:val="CodeChar"/>
              </w:rPr>
              <w:t xml:space="preserve">p_breach_4</w:t>
            </w:r>
            <w:r>
              <w:t xml:space="preserve">, </w:t>
            </w:r>
            <w:r>
              <w:rPr>
                <w:rStyle w:val="CodeChar"/>
              </w:rPr>
              <w:t xml:space="preserve">gap_consensus</w:t>
            </w:r>
            <w:r>
              <w:t xml:space="preserve">, </w:t>
            </w:r>
            <w:r>
              <w:rPr>
                <w:rStyle w:val="CodeChar"/>
              </w:rPr>
              <w:t xml:space="preserve">rev_lev</w:t>
            </w:r>
          </w:p>
        </w:tc>
        <w:tc>
          <w:tcPr>
            <w:tcW w:w="3258" w:type="dxa"/>
          </w:tcPr>
          <w:p>
            <w:pPr/>
            <w:r>
              <w:t xml:space="preserve">Spread rises in </w:t>
            </w:r>
            <w:r>
              <w:rPr>
                <w:rStyle w:val="CodeChar"/>
              </w:rPr>
              <w:t xml:space="preserve">p_breach</w:t>
            </w:r>
            <w:r>
              <w:t xml:space="preserve"> and in uncertainty</w:t>
            </w:r>
          </w:p>
        </w:tc>
      </w:tr>
      <w:tr>
        <w:tc>
          <w:tcPr>
            <w:tcW w:w="1978" w:type="dxa"/>
          </w:tcPr>
          <w:p>
            <w:pPr/>
            <w:r>
              <w:t xml:space="preserve">Quality</w:t>
            </w:r>
          </w:p>
        </w:tc>
        <w:tc>
          <w:tcPr>
            <w:tcW w:w="4123" w:type="dxa"/>
          </w:tcPr>
          <w:p>
            <w:pPr/>
            <w:r>
              <w:rPr>
                <w:rStyle w:val="CodeChar"/>
              </w:rPr>
              <w:t xml:space="preserve">margin_peer_gap</w:t>
            </w:r>
            <w:r>
              <w:t xml:space="preserve">, </w:t>
            </w:r>
            <w:r>
              <w:rPr>
                <w:rStyle w:val="CodeChar"/>
              </w:rPr>
              <w:t xml:space="preserve">margin_trend</w:t>
            </w:r>
            <w:r>
              <w:t xml:space="preserve">, </w:t>
            </w:r>
            <w:r>
              <w:rPr>
                <w:rStyle w:val="CodeChar"/>
              </w:rPr>
              <w:t xml:space="preserve">eq_flags</w:t>
            </w:r>
            <w:r>
              <w:t xml:space="preserve">, </w:t>
            </w:r>
            <w:r>
              <w:rPr>
                <w:rStyle w:val="CodeChar"/>
              </w:rPr>
              <w:t xml:space="preserve">addback_gap</w:t>
            </w:r>
            <w:r>
              <w:t xml:space="preserve">, </w:t>
            </w:r>
            <w:r>
              <w:rPr>
                <w:rStyle w:val="CodeChar"/>
              </w:rPr>
              <w:t xml:space="preserve">q_score</w:t>
            </w:r>
          </w:p>
        </w:tc>
        <w:tc>
          <w:tcPr>
            <w:tcW w:w="3258" w:type="dxa"/>
          </w:tcPr>
          <w:p>
            <w:pPr/>
            <w:r>
              <w:t xml:space="preserve">Spread falls in margin gap and trend</w:t>
            </w:r>
          </w:p>
        </w:tc>
      </w:tr>
      <w:tr>
        <w:tc>
          <w:tcPr>
            <w:tcW w:w="1978" w:type="dxa"/>
          </w:tcPr>
          <w:p>
            <w:pPr/>
            <w:r>
              <w:t xml:space="preserve">Document</w:t>
            </w:r>
          </w:p>
        </w:tc>
        <w:tc>
          <w:tcPr>
            <w:tcW w:w="4123" w:type="dxa"/>
          </w:tcPr>
          <w:p>
            <w:pPr/>
            <w:r>
              <w:rPr>
                <w:rStyle w:val="CodeChar"/>
              </w:rPr>
              <w:t xml:space="preserve">covenant_type</w:t>
            </w:r>
            <w:r>
              <w:t xml:space="preserve">, </w:t>
            </w:r>
            <w:r>
              <w:rPr>
                <w:rStyle w:val="CodeChar"/>
              </w:rPr>
              <w:t xml:space="preserve">coc_put_price</w:t>
            </w:r>
            <w:r>
              <w:t xml:space="preserve">, </w:t>
            </w:r>
            <w:r>
              <w:rPr>
                <w:rStyle w:val="CodeChar"/>
              </w:rPr>
              <w:t xml:space="preserve">lme_score_k</w:t>
            </w:r>
            <w:r>
              <w:t xml:space="preserve">, call state (price against next call)</w:t>
            </w:r>
          </w:p>
        </w:tc>
        <w:tc>
          <w:tcPr>
            <w:tcW w:w="3258" w:type="dxa"/>
          </w:tcPr>
          <w:p>
            <w:pPr/>
            <w:r>
              <w:t xml:space="preserve">Spread falls with a put, rises with the LME score</w:t>
            </w:r>
          </w:p>
        </w:tc>
      </w:tr>
      <w:tr>
        <w:tc>
          <w:tcPr>
            <w:tcW w:w="1978" w:type="dxa"/>
          </w:tcPr>
          <w:p>
            <w:pPr/>
            <w:r>
              <w:t xml:space="preserve">Liquidity</w:t>
            </w:r>
          </w:p>
        </w:tc>
        <w:tc>
          <w:tcPr>
            <w:tcW w:w="4123" w:type="dxa"/>
          </w:tcPr>
          <w:p>
            <w:pPr/>
            <w:r>
              <w:rPr>
                <w:rStyle w:val="CodeChar"/>
              </w:rPr>
              <w:t xml:space="preserve">bid_ask_bp</w:t>
            </w:r>
            <w:r>
              <w:t xml:space="preserve">, </w:t>
            </w:r>
            <w:r>
              <w:rPr>
                <w:rStyle w:val="CodeChar"/>
              </w:rPr>
              <w:t xml:space="preserve">log amount_outstanding</w:t>
            </w:r>
            <w:r>
              <w:t xml:space="preserve">, </w:t>
            </w:r>
            <w:r>
              <w:rPr>
                <w:rStyle w:val="CodeChar"/>
              </w:rPr>
              <w:t xml:space="preserve">trace_count</w:t>
            </w:r>
            <w:r>
              <w:t xml:space="preserve">, bond age</w:t>
            </w:r>
          </w:p>
        </w:tc>
        <w:tc>
          <w:tcPr>
            <w:tcW w:w="3258" w:type="dxa"/>
          </w:tcPr>
          <w:p>
            <w:pPr/>
            <w:r>
              <w:t xml:space="preserve">Spread rises in bid-ask, falls in size</w:t>
            </w:r>
          </w:p>
        </w:tc>
      </w:tr>
      <w:tr>
        <w:tc>
          <w:tcPr>
            <w:tcW w:w="1978" w:type="dxa"/>
          </w:tcPr>
          <w:p>
            <w:pPr/>
            <w:r>
              <w:t xml:space="preserve">Term</w:t>
            </w:r>
          </w:p>
        </w:tc>
        <w:tc>
          <w:tcPr>
            <w:tcW w:w="4123" w:type="dxa"/>
          </w:tcPr>
          <w:p>
            <w:pPr/>
            <w:r>
              <w:rPr>
                <w:rStyle w:val="CodeChar"/>
              </w:rPr>
              <w:t xml:space="preserve">spread_duration</w:t>
            </w:r>
            <w:r>
              <w:t xml:space="preserve">, </w:t>
            </w:r>
            <w:r>
              <w:rPr>
                <w:rStyle w:val="CodeChar"/>
              </w:rPr>
              <w:t xml:space="preserve">log price</w:t>
            </w:r>
          </w:p>
        </w:tc>
        <w:tc>
          <w:tcPr>
            <w:tcW w:w="3258" w:type="dxa"/>
          </w:tcPr>
          <w:p>
            <w:pPr/>
            <w:r>
              <w:t xml:space="preserve">Price near 80 is a different regime (p. 122)</w:t>
            </w:r>
          </w:p>
        </w:tc>
      </w:tr>
    </w:tbl>
    <w:p>
      <w:pPr/>
      <w:r>
        <w:t xml:space="preserve">Use a gradient boosted model with monotone constraints, or a Gaussian process with an automatic relevance kernel, for </w:t>
      </w:r>
      <w:r>
        <w:rPr>
          <w:rStyle w:val="CodeChar"/>
        </w:rPr>
        <w:t xml:space="preserve">f_t</w:t>
      </w:r>
      <w:r>
        <w:t xml:space="preserve">. The constraints keep the signs the book argues for, so a residual is never a sign error. Pool across dates with a rolling window of at least one full cycle, and weight recent dates more.</w:t>
      </w:r>
    </w:p>
    <w:p>
      <w:pPr/>
      <w:r>
        <w:t xml:space="preserve">The log form matters. A 50 bp gap on a 300 bp bond and a 150 bp gap on a 900 bp bond are the same mispricing in log space, and the book stops quoting spreads above 1,000 bp for that reason (p. 122).</w:t>
      </w:r>
    </w:p>
    <w:p>
      <w:pPr>
        <w:pStyle w:val="Heading3"/>
      </w:pPr>
      <w:r>
        <w:t xml:space="preserve">7.3 Mispricing score and conformal band</w:t>
      </w:r>
    </w:p>
    <w:p>
      <w:pPr/>
      <w:r>
        <w:t xml:space="preserve">The residual is the raw mispricing. Positive means cheap.</w:t>
      </w:r>
    </w:p>
    <w:p>
      <w:pPr>
        <w:pStyle w:val="Code"/>
      </w:pPr>
      <w:bookmarkStart w:id="19" w:name="bongo_lang_latex_19"/>
      <w:bookmarkEnd w:id="19"/>
      <w:r>
        <w:t xml:space="preserve">\varepsilon_{i,t} = \log s_{i,t} - \log \hat{s}_{i,t}, \qquad m_{i,t} = s_{i,t} - \hat{s}_{i,t} \ \text{(bp)}, \qquad z_{i,t} = \frac{\varepsilon_{i,t}}{\hat{\sigma}(x_{i,t})}</w:t>
      </w:r>
    </w:p>
    <w:p>
      <w:pPr/>
      <w:r>
        <w:t xml:space="preserve">Fit </w:t>
      </w:r>
      <w:r>
        <w:rPr>
          <w:rStyle w:val="CodeChar"/>
        </w:rPr>
        <w:t xml:space="preserve">σ̂(x)</w:t>
      </w:r>
      <w:r>
        <w:t xml:space="preserve"> on the absolute residuals, because illiquid and low-rated bonds have wider noise. Then build the band with split conformal prediction, Mondrian by rating bucket and liquidity bucket, with the nonconformity score equal to </w:t>
      </w:r>
      <w:r>
        <w:rPr>
          <w:rStyle w:val="CodeChar"/>
        </w:rPr>
        <w:t xml:space="preserve">|z|</w:t>
      </w:r>
      <w:r>
        <w:t xml:space="preserve">:</w:t>
      </w:r>
    </w:p>
    <w:p>
      <w:pPr>
        <w:pStyle w:val="Code"/>
      </w:pPr>
      <w:bookmarkStart w:id="20" w:name="bongo_lang_latex_20"/>
      <w:bookmarkEnd w:id="20"/>
      <w:r>
        <w:t xml:space="preserve">q_{1-\alpha} = \text{Quantile}_{1-\alpha}\{\,|z_{j}| : j \in \text{calibration}\,\}, \qquad \text{cheap}_i = \mathbb{1}\{ z_{i,t} &gt; q_{1-\alpha} \}, \qquad \text{rich}_i = \mathbb{1}\{ z_{i,t} &lt; -q_{1-\alpha} \}</w:t>
      </w:r>
    </w:p>
    <w:p>
      <w:pPr/>
      <w:r>
        <w:t xml:space="preserve">Under exchangeability the band covers a new bond with probability at least </w:t>
      </w:r>
      <w:r>
        <w:rPr>
          <w:rStyle w:val="CodeChar"/>
        </w:rPr>
        <w:t xml:space="preserve">1 - α</w:t>
      </w:r>
      <w:r>
        <w:t xml:space="preserve">. Spreads drift, so update </w:t>
      </w:r>
      <w:r>
        <w:rPr>
          <w:rStyle w:val="CodeChar"/>
        </w:rPr>
        <w:t xml:space="preserve">α_t</w:t>
      </w:r>
      <w:r>
        <w:t xml:space="preserve"> with adaptive conformal inference: raise it after a run of misses, lower it after a run of hits, and the realised coverage tracks the target. Intuition: the band is the model's measured ignorance. A bond outside the band is cheap against everything the model knows, not against a noisy point.</w:t>
      </w:r>
    </w:p>
    <w:p>
      <w:pPr>
        <w:pStyle w:val="Heading3"/>
      </w:pPr>
      <w:r>
        <w:t xml:space="preserve">7.4 Model-free check: spread per unit of risk</w:t>
      </w:r>
    </w:p>
    <w:p>
      <w:pPr/>
      <w:r>
        <w:t xml:space="preserve">The HCA memo compares each bond to its own capital structure and to peers by spread per turn of leverage (pp. 412–413). Within one issuer the probability of default cancels, so the fair spread gap between two tranches pays only for the recovery gap:</w:t>
      </w:r>
    </w:p>
    <w:p>
      <w:pPr>
        <w:pStyle w:val="Code"/>
      </w:pPr>
      <w:bookmarkStart w:id="21" w:name="bongo_lang_latex_21"/>
      <w:bookmarkEnd w:id="21"/>
      <w:r>
        <w:t xml:space="preserve">\hat{s}_k - \hat{s}_j \approx \kappa_t \, \lambda \, (LGD_k - LGD_j), \qquad SPT_{k,j} = \frac{s_k - s_j}{Lev_k - Lev_j}</w:t>
      </w:r>
    </w:p>
    <w:tbl>
      <w:tblPr>
        <w:tblStyle w:val="TableGrid"/>
        <w:tblW w:w="0" w:type="auto"/>
        <w:tblLayout w:type="fixed"/>
        <w:tblLook w:val="04A0" w:firstRow="1" w:lastRow="0" w:firstColumn="0" w:lastColumn="0" w:noHBand="0" w:noVBand="1"/>
      </w:tblPr>
      <w:tblGrid>
        <w:gridCol w:w="2586"/>
        <w:gridCol w:w="1384"/>
        <w:gridCol w:w="1365"/>
        <w:gridCol w:w="1819"/>
        <w:gridCol w:w="2206"/>
      </w:tblGrid>
      <w:tr>
        <w:trPr>
          <w:tblHeader/>
        </w:trPr>
        <w:tc>
          <w:tcPr>
            <w:tcW w:w="2586" w:type="dxa"/>
            <w:shd w:val="clear" w:color="auto" w:fill="F2F2F2"/>
          </w:tcPr>
          <w:p>
            <w:pPr/>
            <w:r>
              <w:t xml:space="preserve">Pair in the HCA memo</w:t>
            </w:r>
          </w:p>
        </w:tc>
        <w:tc>
          <w:tcPr>
            <w:tcW w:w="1384" w:type="dxa"/>
            <w:shd w:val="clear" w:color="auto" w:fill="F2F2F2"/>
          </w:tcPr>
          <w:p>
            <w:pPr/>
            <w:r>
              <w:t xml:space="preserve">Spread gap</w:t>
            </w:r>
          </w:p>
        </w:tc>
        <w:tc>
          <w:tcPr>
            <w:tcW w:w="1365" w:type="dxa"/>
            <w:shd w:val="clear" w:color="auto" w:fill="F2F2F2"/>
          </w:tcPr>
          <w:p>
            <w:pPr/>
            <w:r>
              <w:t xml:space="preserve">Risk gap</w:t>
            </w:r>
          </w:p>
        </w:tc>
        <w:tc>
          <w:tcPr>
            <w:tcW w:w="1819" w:type="dxa"/>
            <w:shd w:val="clear" w:color="auto" w:fill="F2F2F2"/>
          </w:tcPr>
          <w:p>
            <w:pPr/>
            <w:r>
              <w:t xml:space="preserve">Spread per turn</w:t>
            </w:r>
          </w:p>
        </w:tc>
        <w:tc>
          <w:tcPr>
            <w:tcW w:w="2206" w:type="dxa"/>
            <w:shd w:val="clear" w:color="auto" w:fill="F2F2F2"/>
          </w:tcPr>
          <w:p>
            <w:pPr/>
            <w:r>
              <w:t xml:space="preserve">Book's verdict</w:t>
            </w:r>
          </w:p>
        </w:tc>
      </w:tr>
      <w:tr>
        <w:tc>
          <w:tcPr>
            <w:tcW w:w="2586" w:type="dxa"/>
          </w:tcPr>
          <w:p>
            <w:pPr/>
            <w:r>
              <w:t xml:space="preserve">Second lien against term loan B</w:t>
            </w:r>
          </w:p>
        </w:tc>
        <w:tc>
          <w:tcPr>
            <w:tcW w:w="1384" w:type="dxa"/>
          </w:tcPr>
          <w:p>
            <w:pPr/>
            <w:r>
              <w:t xml:space="preserve">224 bp</w:t>
            </w:r>
          </w:p>
        </w:tc>
        <w:tc>
          <w:tcPr>
            <w:tcW w:w="1365" w:type="dxa"/>
          </w:tcPr>
          <w:p>
            <w:pPr/>
            <w:r>
              <w:t xml:space="preserve">1.3x</w:t>
            </w:r>
          </w:p>
        </w:tc>
        <w:tc>
          <w:tcPr>
            <w:tcW w:w="1819" w:type="dxa"/>
          </w:tcPr>
          <w:p>
            <w:pPr/>
            <w:r>
              <w:t xml:space="preserve">172 bp per turn</w:t>
            </w:r>
          </w:p>
        </w:tc>
        <w:tc>
          <w:tcPr>
            <w:tcW w:w="2206" w:type="dxa"/>
          </w:tcPr>
          <w:p>
            <w:pPr/>
            <w:r>
              <w:t xml:space="preserve">Adequate (p. 413)</w:t>
            </w:r>
          </w:p>
        </w:tc>
      </w:tr>
      <w:tr>
        <w:tc>
          <w:tcPr>
            <w:tcW w:w="2586" w:type="dxa"/>
          </w:tcPr>
          <w:p>
            <w:pPr/>
            <w:r>
              <w:t xml:space="preserve">Unsecured against second lien</w:t>
            </w:r>
          </w:p>
        </w:tc>
        <w:tc>
          <w:tcPr>
            <w:tcW w:w="1384" w:type="dxa"/>
          </w:tcPr>
          <w:p>
            <w:pPr/>
            <w:r>
              <w:t xml:space="preserve">60 bp</w:t>
            </w:r>
          </w:p>
        </w:tc>
        <w:tc>
          <w:tcPr>
            <w:tcW w:w="1365" w:type="dxa"/>
          </w:tcPr>
          <w:p>
            <w:pPr/>
            <w:r>
              <w:t xml:space="preserve">1.7x; LTV 85% against 63%</w:t>
            </w:r>
          </w:p>
        </w:tc>
        <w:tc>
          <w:tcPr>
            <w:tcW w:w="1819" w:type="dxa"/>
          </w:tcPr>
          <w:p>
            <w:pPr/>
            <w:r>
              <w:t xml:space="preserve">35 bp per turn</w:t>
            </w:r>
          </w:p>
        </w:tc>
        <w:tc>
          <w:tcPr>
            <w:tcW w:w="2206" w:type="dxa"/>
          </w:tcPr>
          <w:p>
            <w:pPr/>
            <w:r>
              <w:t xml:space="preserve">Not adequate; unsecured is rich (p. 413)</w:t>
            </w:r>
          </w:p>
        </w:tc>
      </w:tr>
    </w:tbl>
    <w:p>
      <w:pPr/>
      <w:r>
        <w:t xml:space="preserve">Compare each observed </w:t>
      </w:r>
      <w:r>
        <w:rPr>
          <w:rStyle w:val="CodeChar"/>
        </w:rPr>
        <w:t xml:space="preserve">SPT</w:t>
      </w:r>
      <w:r>
        <w:t xml:space="preserve"> with the model slope of </w:t>
      </w:r>
      <w:r>
        <w:rPr>
          <w:rStyle w:val="CodeChar"/>
        </w:rPr>
        <w:t xml:space="preserve">ŝ</w:t>
      </w:r>
      <w:r>
        <w:t xml:space="preserve"> in leverage at that issuer. A pair whose observed slope is far from the model slope is a capital structure signal in Section 8, and it needs no cross-issuer model to find.</w:t>
      </w:r>
    </w:p>
    <w:p>
      <w:pPr>
        <w:pStyle w:val="Heading3"/>
      </w:pPr>
      <w:r>
        <w:t xml:space="preserve">7.5 Residual dynamics and expected convergence</w:t>
      </w:r>
    </w:p>
    <w:p>
      <w:pPr/>
      <w:r>
        <w:t xml:space="preserve">Fit an AR(1) on each bond's residual to get its persistence and half-life. The expected spread change over a horizon </w:t>
      </w:r>
      <w:r>
        <w:rPr>
          <w:rStyle w:val="CodeChar"/>
        </w:rPr>
        <w:t xml:space="preserve">h</w:t>
      </w:r>
      <w:r>
        <w:t xml:space="preserve"> and the expected excess return follow:</w:t>
      </w:r>
    </w:p>
    <w:p>
      <w:pPr>
        <w:pStyle w:val="Code"/>
      </w:pPr>
      <w:bookmarkStart w:id="22" w:name="bongo_lang_latex_22"/>
      <w:bookmarkEnd w:id="22"/>
      <w:r>
        <w:t xml:space="preserve">\varepsilon_{t+1} = \rho\, \varepsilon_t + u_{t+1}, \qquad h_{1/2} = \frac{\log 2}{-\log \rho}, \qquad E[r_{i,h}] \approx carry_h + D^{s}_i \, (1-\rho^{h})\, m_{i,t}</w:t>
      </w:r>
    </w:p>
    <w:p>
      <w:pPr/>
      <w:r>
        <w:t xml:space="preserve">Set the signal horizon in Section 8 to about two half-lives. Reject a residual as a signal when the bond had an event in the last five days, because the model has not yet absorbed the new state; Section 9 handles that window.</w:t>
      </w:r>
    </w:p>
    <w:p>
      <w:pPr>
        <w:pStyle w:val="Heading3"/>
      </w:pPr>
      <w:r>
        <w:t xml:space="preserve">7.6 Outputs of this layer</w:t>
      </w:r>
    </w:p>
    <w:tbl>
      <w:tblPr>
        <w:tblStyle w:val="TableGrid"/>
        <w:tblW w:w="0" w:type="auto"/>
        <w:tblLayout w:type="fixed"/>
        <w:tblLook w:val="04A0" w:firstRow="1" w:lastRow="0" w:firstColumn="0" w:lastColumn="0" w:noHBand="0" w:noVBand="1"/>
      </w:tblPr>
      <w:tblGrid>
        <w:gridCol w:w="4146"/>
        <w:gridCol w:w="5213"/>
      </w:tblGrid>
      <w:tr>
        <w:trPr>
          <w:tblHeader/>
        </w:trPr>
        <w:tc>
          <w:tcPr>
            <w:tcW w:w="4146" w:type="dxa"/>
            <w:shd w:val="clear" w:color="auto" w:fill="F2F2F2"/>
          </w:tcPr>
          <w:p>
            <w:pPr/>
            <w:r>
              <w:t xml:space="preserve">Output</w:t>
            </w:r>
          </w:p>
        </w:tc>
        <w:tc>
          <w:tcPr>
            <w:tcW w:w="5213" w:type="dxa"/>
            <w:shd w:val="clear" w:color="auto" w:fill="F2F2F2"/>
          </w:tcPr>
          <w:p>
            <w:pPr/>
            <w:r>
              <w:t xml:space="preserve">Definition</w:t>
            </w:r>
          </w:p>
        </w:tc>
      </w:tr>
      <w:tr>
        <w:tc>
          <w:tcPr>
            <w:tcW w:w="4146" w:type="dxa"/>
          </w:tcPr>
          <w:p>
            <w:pPr/>
            <w:r>
              <w:rPr>
                <w:rStyle w:val="CodeChar"/>
              </w:rPr>
              <w:t xml:space="preserve">pd_12m</w:t>
            </w:r>
            <w:r>
              <w:t xml:space="preserve">, </w:t>
            </w:r>
            <w:r>
              <w:rPr>
                <w:rStyle w:val="CodeChar"/>
              </w:rPr>
              <w:t xml:space="preserve">pd_5y</w:t>
            </w:r>
            <w:r>
              <w:t xml:space="preserve">, </w:t>
            </w:r>
            <w:r>
              <w:rPr>
                <w:rStyle w:val="CodeChar"/>
              </w:rPr>
              <w:t xml:space="preserve">lambda</w:t>
            </w:r>
          </w:p>
        </w:tc>
        <w:tc>
          <w:tcPr>
            <w:tcW w:w="5213" w:type="dxa"/>
          </w:tcPr>
          <w:p>
            <w:pPr/>
            <w:r>
              <w:t xml:space="preserve">Fundamental default probabilities and hazard</w:t>
            </w:r>
          </w:p>
        </w:tc>
      </w:tr>
      <w:tr>
        <w:tc>
          <w:tcPr>
            <w:tcW w:w="4146" w:type="dxa"/>
          </w:tcPr>
          <w:p>
            <w:pPr/>
            <w:r>
              <w:rPr>
                <w:rStyle w:val="CodeChar"/>
              </w:rPr>
              <w:t xml:space="preserve">s_el</w:t>
            </w:r>
            <w:r>
              <w:t xml:space="preserve">, </w:t>
            </w:r>
            <w:r>
              <w:rPr>
                <w:rStyle w:val="CodeChar"/>
              </w:rPr>
              <w:t xml:space="preserve">kappa_t</w:t>
            </w:r>
            <w:r>
              <w:t xml:space="preserve">, </w:t>
            </w:r>
            <w:r>
              <w:rPr>
                <w:rStyle w:val="CodeChar"/>
              </w:rPr>
              <w:t xml:space="preserve">s_anchor</w:t>
            </w:r>
          </w:p>
        </w:tc>
        <w:tc>
          <w:tcPr>
            <w:tcW w:w="5213" w:type="dxa"/>
          </w:tcPr>
          <w:p>
            <w:pPr/>
            <w:r>
              <w:t xml:space="preserve">Expected loss spread and its market scaling</w:t>
            </w:r>
          </w:p>
        </w:tc>
      </w:tr>
      <w:tr>
        <w:tc>
          <w:tcPr>
            <w:tcW w:w="4146" w:type="dxa"/>
          </w:tcPr>
          <w:p>
            <w:pPr/>
            <w:r>
              <w:rPr>
                <w:rStyle w:val="CodeChar"/>
              </w:rPr>
              <w:t xml:space="preserve">s_fair</w:t>
            </w:r>
            <w:r>
              <w:t xml:space="preserve">, </w:t>
            </w:r>
            <w:r>
              <w:rPr>
                <w:rStyle w:val="CodeChar"/>
              </w:rPr>
              <w:t xml:space="preserve">eta_sector_t</w:t>
            </w:r>
          </w:p>
        </w:tc>
        <w:tc>
          <w:tcPr>
            <w:tcW w:w="5213" w:type="dxa"/>
          </w:tcPr>
          <w:p>
            <w:pPr/>
            <w:r>
              <w:t xml:space="preserve">Fair spread and the systematic sector effect</w:t>
            </w:r>
          </w:p>
        </w:tc>
      </w:tr>
      <w:tr>
        <w:tc>
          <w:tcPr>
            <w:tcW w:w="4146" w:type="dxa"/>
          </w:tcPr>
          <w:p>
            <w:pPr/>
            <w:r>
              <w:rPr>
                <w:rStyle w:val="CodeChar"/>
              </w:rPr>
              <w:t xml:space="preserve">resid_log</w:t>
            </w:r>
            <w:r>
              <w:t xml:space="preserve">, </w:t>
            </w:r>
            <w:r>
              <w:rPr>
                <w:rStyle w:val="CodeChar"/>
              </w:rPr>
              <w:t xml:space="preserve">resid_bp</w:t>
            </w:r>
            <w:r>
              <w:t xml:space="preserve">, </w:t>
            </w:r>
            <w:r>
              <w:rPr>
                <w:rStyle w:val="CodeChar"/>
              </w:rPr>
              <w:t xml:space="preserve">sigma_x</w:t>
            </w:r>
            <w:r>
              <w:t xml:space="preserve">, </w:t>
            </w:r>
            <w:r>
              <w:rPr>
                <w:rStyle w:val="CodeChar"/>
              </w:rPr>
              <w:t xml:space="preserve">z</w:t>
            </w:r>
          </w:p>
        </w:tc>
        <w:tc>
          <w:tcPr>
            <w:tcW w:w="5213" w:type="dxa"/>
          </w:tcPr>
          <w:p>
            <w:pPr/>
            <w:r>
              <w:t xml:space="preserve">Mispricing in log and bp, noise scale, standardised score</w:t>
            </w:r>
          </w:p>
        </w:tc>
      </w:tr>
      <w:tr>
        <w:tc>
          <w:tcPr>
            <w:tcW w:w="4146" w:type="dxa"/>
          </w:tcPr>
          <w:p>
            <w:pPr/>
            <w:r>
              <w:rPr>
                <w:rStyle w:val="CodeChar"/>
              </w:rPr>
              <w:t xml:space="preserve">q_alpha_t</w:t>
            </w:r>
            <w:r>
              <w:t xml:space="preserve">, </w:t>
            </w:r>
            <w:r>
              <w:rPr>
                <w:rStyle w:val="CodeChar"/>
              </w:rPr>
              <w:t xml:space="preserve">flag_cheap</w:t>
            </w:r>
            <w:r>
              <w:t xml:space="preserve">, </w:t>
            </w:r>
            <w:r>
              <w:rPr>
                <w:rStyle w:val="CodeChar"/>
              </w:rPr>
              <w:t xml:space="preserve">flag_rich</w:t>
            </w:r>
          </w:p>
        </w:tc>
        <w:tc>
          <w:tcPr>
            <w:tcW w:w="5213" w:type="dxa"/>
          </w:tcPr>
          <w:p>
            <w:pPr/>
            <w:r>
              <w:t xml:space="preserve">Conformal threshold and flags</w:t>
            </w:r>
          </w:p>
        </w:tc>
      </w:tr>
      <w:tr>
        <w:tc>
          <w:tcPr>
            <w:tcW w:w="4146" w:type="dxa"/>
          </w:tcPr>
          <w:p>
            <w:pPr/>
            <w:r>
              <w:rPr>
                <w:rStyle w:val="CodeChar"/>
              </w:rPr>
              <w:t xml:space="preserve">spt_pairs[]</w:t>
            </w:r>
          </w:p>
        </w:tc>
        <w:tc>
          <w:tcPr>
            <w:tcW w:w="5213" w:type="dxa"/>
          </w:tcPr>
          <w:p>
            <w:pPr/>
            <w:r>
              <w:t xml:space="preserve">Observed and model spread per turn for each tranche pair</w:t>
            </w:r>
          </w:p>
        </w:tc>
      </w:tr>
      <w:tr>
        <w:tc>
          <w:tcPr>
            <w:tcW w:w="4146" w:type="dxa"/>
          </w:tcPr>
          <w:p>
            <w:pPr/>
            <w:r>
              <w:rPr>
                <w:rStyle w:val="CodeChar"/>
              </w:rPr>
              <w:t xml:space="preserve">rho</w:t>
            </w:r>
            <w:r>
              <w:t xml:space="preserve">, </w:t>
            </w:r>
            <w:r>
              <w:rPr>
                <w:rStyle w:val="CodeChar"/>
              </w:rPr>
              <w:t xml:space="preserve">half_life</w:t>
            </w:r>
            <w:r>
              <w:t xml:space="preserve">, </w:t>
            </w:r>
            <w:r>
              <w:rPr>
                <w:rStyle w:val="CodeChar"/>
              </w:rPr>
              <w:t xml:space="preserve">exp_conv_ret_h</w:t>
            </w:r>
          </w:p>
        </w:tc>
        <w:tc>
          <w:tcPr>
            <w:tcW w:w="5213" w:type="dxa"/>
          </w:tcPr>
          <w:p>
            <w:pPr/>
            <w:r>
              <w:t xml:space="preserve">Residual persistence and expected convergence return</w:t>
            </w:r>
          </w:p>
        </w:tc>
      </w:tr>
      <w:tr>
        <w:tc>
          <w:tcPr>
            <w:tcW w:w="4146" w:type="dxa"/>
          </w:tcPr>
          <w:p>
            <w:pPr/>
            <w:r>
              <w:rPr>
                <w:rStyle w:val="CodeChar"/>
              </w:rPr>
              <w:t xml:space="preserve">event_contaminated</w:t>
            </w:r>
          </w:p>
        </w:tc>
        <w:tc>
          <w:tcPr>
            <w:tcW w:w="5213" w:type="dxa"/>
          </w:tcPr>
          <w:p>
            <w:pPr/>
            <w:r>
              <w:t xml:space="preserve">1 when an event sits inside the last five days</w:t>
            </w:r>
          </w:p>
        </w:tc>
      </w:tr>
    </w:tbl>
    <w:p>
      <w:pPr>
        <w:pStyle w:val="Heading2"/>
      </w:pPr>
      <w:r>
        <w:t xml:space="preserve">8. Quantamental signals</w:t>
      </w:r>
    </w:p>
    <w:p>
      <w:pPr/>
      <w:r>
        <w:t xml:space="preserve">Seven signals come out of the layers above. Each one is a standardised score per bond with a sign, a horizon, a hedge, and a named failure mode. Positive means long. The composite at the end of this section ranks the universe the way the book force-ranks a portfolio each quarter (p. 369).</w:t>
      </w:r>
    </w:p>
    <w:p>
      <w:pPr>
        <w:pStyle w:val="Heading3"/>
      </w:pPr>
      <w:r>
        <w:t xml:space="preserve">S1. Fair value residual</w:t>
      </w:r>
    </w:p>
    <w:p>
      <w:pPr/>
      <w:r>
        <w:t xml:space="preserve">The core signal is the conformal-flagged residual from Section 7.3.</w:t>
      </w:r>
    </w:p>
    <w:p>
      <w:pPr>
        <w:pStyle w:val="Code"/>
      </w:pPr>
      <w:bookmarkStart w:id="23" w:name="bongo_lang_latex_23"/>
      <w:bookmarkEnd w:id="23"/>
      <w:r>
        <w:t xml:space="preserve">S1_i = z_{i,t} \cdot \mathbb{1}\{|z_{i,t}| &gt; q_{1-\alpha}\} \cdot \mathbb{1}\{\text{event\_contaminated}_i = 0\}</w:t>
      </w:r>
    </w:p>
    <w:tbl>
      <w:tblPr>
        <w:tblStyle w:val="TableGrid"/>
        <w:tblW w:w="0" w:type="auto"/>
        <w:tblLayout w:type="fixed"/>
        <w:tblLook w:val="04A0" w:firstRow="1" w:lastRow="0" w:firstColumn="0" w:lastColumn="0" w:noHBand="0" w:noVBand="1"/>
      </w:tblPr>
      <w:tblGrid>
        <w:gridCol w:w="2327"/>
        <w:gridCol w:w="7032"/>
      </w:tblGrid>
      <w:tr>
        <w:trPr>
          <w:tblHeader/>
        </w:trPr>
        <w:tc>
          <w:tcPr>
            <w:tcW w:w="2327" w:type="dxa"/>
            <w:shd w:val="clear" w:color="auto" w:fill="F2F2F2"/>
          </w:tcPr>
          <w:p>
            <w:pPr/>
            <w:r>
              <w:t xml:space="preserve">Item</w:t>
            </w:r>
          </w:p>
        </w:tc>
        <w:tc>
          <w:tcPr>
            <w:tcW w:w="7032" w:type="dxa"/>
            <w:shd w:val="clear" w:color="auto" w:fill="F2F2F2"/>
          </w:tcPr>
          <w:p>
            <w:pPr/>
            <w:r>
              <w:t xml:space="preserve">Specification</w:t>
            </w:r>
          </w:p>
        </w:tc>
      </w:tr>
      <w:tr>
        <w:tc>
          <w:tcPr>
            <w:tcW w:w="2327" w:type="dxa"/>
          </w:tcPr>
          <w:p>
            <w:pPr/>
            <w:r>
              <w:t xml:space="preserve">Inputs</w:t>
            </w:r>
          </w:p>
        </w:tc>
        <w:tc>
          <w:tcPr>
            <w:tcW w:w="7032" w:type="dxa"/>
          </w:tcPr>
          <w:p>
            <w:pPr/>
            <w:r>
              <w:rPr>
                <w:rStyle w:val="CodeChar"/>
              </w:rPr>
              <w:t xml:space="preserve">z</w:t>
            </w:r>
            <w:r>
              <w:t xml:space="preserve">, </w:t>
            </w:r>
            <w:r>
              <w:rPr>
                <w:rStyle w:val="CodeChar"/>
              </w:rPr>
              <w:t xml:space="preserve">q_alpha_t</w:t>
            </w:r>
            <w:r>
              <w:t xml:space="preserve">, </w:t>
            </w:r>
            <w:r>
              <w:rPr>
                <w:rStyle w:val="CodeChar"/>
              </w:rPr>
              <w:t xml:space="preserve">event_contaminated</w:t>
            </w:r>
            <w:r>
              <w:t xml:space="preserve">, </w:t>
            </w:r>
            <w:r>
              <w:rPr>
                <w:rStyle w:val="CodeChar"/>
              </w:rPr>
              <w:t xml:space="preserve">rho</w:t>
            </w:r>
            <w:r>
              <w:t xml:space="preserve">, </w:t>
            </w:r>
            <w:r>
              <w:rPr>
                <w:rStyle w:val="CodeChar"/>
              </w:rPr>
              <w:t xml:space="preserve">exp_conv_ret_h</w:t>
            </w:r>
          </w:p>
        </w:tc>
      </w:tr>
      <w:tr>
        <w:tc>
          <w:tcPr>
            <w:tcW w:w="2327" w:type="dxa"/>
          </w:tcPr>
          <w:p>
            <w:pPr/>
            <w:r>
              <w:t xml:space="preserve">Horizon</w:t>
            </w:r>
          </w:p>
        </w:tc>
        <w:tc>
          <w:tcPr>
            <w:tcW w:w="7032" w:type="dxa"/>
          </w:tcPr>
          <w:p>
            <w:pPr/>
            <w:r>
              <w:t xml:space="preserve">Two half-lives from Section 7.5</w:t>
            </w:r>
          </w:p>
        </w:tc>
      </w:tr>
      <w:tr>
        <w:tc>
          <w:tcPr>
            <w:tcW w:w="2327" w:type="dxa"/>
          </w:tcPr>
          <w:p>
            <w:pPr/>
            <w:r>
              <w:t xml:space="preserve">Entry</w:t>
            </w:r>
          </w:p>
        </w:tc>
        <w:tc>
          <w:tcPr>
            <w:tcW w:w="7032" w:type="dxa"/>
          </w:tcPr>
          <w:p>
            <w:pPr/>
            <w:r>
              <w:t xml:space="preserve">Outside the band and the expected convergence return exceeds the round-trip bid-ask</w:t>
            </w:r>
          </w:p>
        </w:tc>
      </w:tr>
      <w:tr>
        <w:tc>
          <w:tcPr>
            <w:tcW w:w="2327" w:type="dxa"/>
          </w:tcPr>
          <w:p>
            <w:pPr/>
            <w:r>
              <w:t xml:space="preserve">Exit</w:t>
            </w:r>
          </w:p>
        </w:tc>
        <w:tc>
          <w:tcPr>
            <w:tcW w:w="7032" w:type="dxa"/>
          </w:tcPr>
          <w:p>
            <w:pPr/>
            <w:r>
              <w:rPr>
                <w:rStyle w:val="CodeChar"/>
              </w:rPr>
              <w:t xml:space="preserve">abs(z)</w:t>
            </w:r>
            <w:r>
              <w:t xml:space="preserve"> falls below half the threshold, or the horizon ends, or an event resets the state</w:t>
            </w:r>
          </w:p>
        </w:tc>
      </w:tr>
      <w:tr>
        <w:tc>
          <w:tcPr>
            <w:tcW w:w="2327" w:type="dxa"/>
          </w:tcPr>
          <w:p>
            <w:pPr/>
            <w:r>
              <w:t xml:space="preserve">Hedge</w:t>
            </w:r>
          </w:p>
        </w:tc>
        <w:tc>
          <w:tcPr>
            <w:tcW w:w="7032" w:type="dxa"/>
          </w:tcPr>
          <w:p>
            <w:pPr/>
            <w:r>
              <w:t xml:space="preserve">Beta to the index and to the sector effect, with CDX HY or a sector basket</w:t>
            </w:r>
          </w:p>
        </w:tc>
      </w:tr>
      <w:tr>
        <w:tc>
          <w:tcPr>
            <w:tcW w:w="2327" w:type="dxa"/>
          </w:tcPr>
          <w:p>
            <w:pPr/>
            <w:r>
              <w:t xml:space="preserve">Failure mode</w:t>
            </w:r>
          </w:p>
        </w:tc>
        <w:tc>
          <w:tcPr>
            <w:tcW w:w="7032" w:type="dxa"/>
          </w:tcPr>
          <w:p>
            <w:pPr/>
            <w:r>
              <w:t xml:space="preserve">The model misses a fact the market knows: a pending liability management deal, a fraud, a lost customer. Gate on </w:t>
            </w:r>
            <w:r>
              <w:rPr>
                <w:rStyle w:val="CodeChar"/>
              </w:rPr>
              <w:t xml:space="preserve">lme_score_k</w:t>
            </w:r>
            <w:r>
              <w:t xml:space="preserve"> and on the freshness of the last filing</w:t>
            </w:r>
          </w:p>
        </w:tc>
      </w:tr>
    </w:tbl>
    <w:p>
      <w:pPr/>
      <w:r>
        <w:t xml:space="preserve">The book's spread tightening trade is this signal in words: a B-rated bond at 540 bp against peers at 440 bp, with a view that the company performs in line, gives 22.9% annualised if the spread closes in six months (pp. 517–518).</w:t>
      </w:r>
    </w:p>
    <w:p>
      <w:pPr>
        <w:pStyle w:val="Heading3"/>
      </w:pPr>
      <w:r>
        <w:t xml:space="preserve">S2. Fundamental momentum</w:t>
      </w:r>
    </w:p>
    <w:p>
      <w:pPr/>
      <w:r>
        <w:t xml:space="preserve">Spreads move after fundamentals and before ratings (p. 274). The signal is the change in the fair spread that fundamentals alone caused, minus the change in the market spread, over the last quarter:</w:t>
      </w:r>
    </w:p>
    <w:p>
      <w:pPr>
        <w:pStyle w:val="Code"/>
      </w:pPr>
      <w:bookmarkStart w:id="24" w:name="bongo_lang_latex_24"/>
      <w:bookmarkEnd w:id="24"/>
      <w:r>
        <w:t xml:space="preserve">S2_i = \big[\log \hat{s}_{i,t} - \log \hat{s}_{i,t-1}\big]_{\kappa,\eta\ \text{fixed}} - \big[\log s_{i,t} - \log s_{i,t-1}\big]</w:t>
      </w:r>
    </w:p>
    <w:p>
      <w:pPr/>
      <w:r>
        <w:t xml:space="preserve">Hold </w:t>
      </w:r>
      <w:r>
        <w:rPr>
          <w:rStyle w:val="CodeChar"/>
        </w:rPr>
        <w:t xml:space="preserve">κ</w:t>
      </w:r>
      <w:r>
        <w:t xml:space="preserve"> and </w:t>
      </w:r>
      <w:r>
        <w:rPr>
          <w:rStyle w:val="CodeChar"/>
        </w:rPr>
        <w:t xml:space="preserve">η</w:t>
      </w:r>
      <w:r>
        <w:t xml:space="preserve"> at their earlier values so the term measures only the issuer's own change. A positive value means fundamentals improved more than the spread tightened. Horizon one to three months. Failure mode: a fundamental improvement that is accounting, not cash; gate on </w:t>
      </w:r>
      <w:r>
        <w:rPr>
          <w:rStyle w:val="CodeChar"/>
        </w:rPr>
        <w:t xml:space="preserve">eq_flags</w:t>
      </w:r>
      <w:r>
        <w:t xml:space="preserve"> and </w:t>
      </w:r>
      <w:r>
        <w:rPr>
          <w:rStyle w:val="CodeChar"/>
        </w:rPr>
        <w:t xml:space="preserve">fcf_conversion</w:t>
      </w:r>
      <w:r>
        <w:t xml:space="preserve">.</w:t>
      </w:r>
    </w:p>
    <w:p>
      <w:pPr>
        <w:pStyle w:val="Heading3"/>
      </w:pPr>
      <w:r>
        <w:t xml:space="preserve">S3. Estimate revision and consensus gap</w:t>
      </w:r>
    </w:p>
    <w:p>
      <w:pPr/>
      <w:r>
        <w:t xml:space="preserve">Two parts. The revision part is the change in expected forward leverage between vintages. The gap part is the analyst base case against consensus, which is where the book says a differentiated view creates mispricing (p. 321).</w:t>
      </w:r>
    </w:p>
    <w:p>
      <w:pPr>
        <w:pStyle w:val="Code"/>
      </w:pPr>
      <w:bookmarkStart w:id="25" w:name="bongo_lang_latex_25"/>
      <w:bookmarkEnd w:id="25"/>
      <w:r>
        <w:t xml:space="preserve">S3_i = -\,\frac{rev\_lev_i}{\sigma(rev\_lev)} \;-\; \frac{gap\_consensus_i}{\sigma(gap\_consensus)}</w:t>
      </w:r>
    </w:p>
    <w:p>
      <w:pPr/>
      <w:r>
        <w:t xml:space="preserve">A negative revision (less leverage ahead) and a negative gap (analyst below consensus on leverage) both give a long. Horizon to the next earnings date, when the gap resolves. Failure mode: the analyst base case is conservative by habit, which the book calls almost as bad as aggressive (p. 285); track each analyst's bias and subtract it.</w:t>
      </w:r>
    </w:p>
    <w:p>
      <w:pPr>
        <w:pStyle w:val="Heading3"/>
      </w:pPr>
      <w:r>
        <w:t xml:space="preserve">S4. Capital structure relative value</w:t>
      </w:r>
    </w:p>
    <w:p>
      <w:pPr/>
      <w:r>
        <w:t xml:space="preserve">Within one issuer the default probability cancels. The fair gap between two tranches pays for the recovery gap alone (Section 7.4):</w:t>
      </w:r>
    </w:p>
    <w:p>
      <w:pPr>
        <w:pStyle w:val="Code"/>
      </w:pPr>
      <w:bookmarkStart w:id="26" w:name="bongo_lang_latex_26"/>
      <w:bookmarkEnd w:id="26"/>
      <w:r>
        <w:t xml:space="preserve">S4_{k,j} = \frac{(s_k - s_j) - \kappa_t \lambda_i (LGD^{adj}_k - LGD^{adj}_j)}{\hat{\sigma}_{pair}}</w:t>
      </w:r>
    </w:p>
    <w:p>
      <w:pPr/>
      <w:r>
        <w:t xml:space="preserve">Long k and short j when </w:t>
      </w:r>
      <w:r>
        <w:rPr>
          <w:rStyle w:val="CodeChar"/>
        </w:rPr>
        <w:t xml:space="preserve">S4</w:t>
      </w:r>
      <w:r>
        <w:t xml:space="preserve"> is positive. Three trade shapes from the book and their traps:</w:t>
      </w:r>
    </w:p>
    <w:tbl>
      <w:tblPr>
        <w:tblStyle w:val="TableGrid"/>
        <w:tblW w:w="0" w:type="auto"/>
        <w:tblLayout w:type="fixed"/>
        <w:tblLook w:val="04A0" w:firstRow="1" w:lastRow="0" w:firstColumn="0" w:lastColumn="0" w:noHBand="0" w:noVBand="1"/>
      </w:tblPr>
      <w:tblGrid>
        <w:gridCol w:w="1912"/>
        <w:gridCol w:w="4097"/>
        <w:gridCol w:w="3351"/>
      </w:tblGrid>
      <w:tr>
        <w:trPr>
          <w:tblHeader/>
        </w:trPr>
        <w:tc>
          <w:tcPr>
            <w:tcW w:w="1912" w:type="dxa"/>
            <w:shd w:val="clear" w:color="auto" w:fill="F2F2F2"/>
          </w:tcPr>
          <w:p>
            <w:pPr/>
            <w:r>
              <w:t xml:space="preserve">Shape</w:t>
            </w:r>
          </w:p>
        </w:tc>
        <w:tc>
          <w:tcPr>
            <w:tcW w:w="4097" w:type="dxa"/>
            <w:shd w:val="clear" w:color="auto" w:fill="F2F2F2"/>
          </w:tcPr>
          <w:p>
            <w:pPr/>
            <w:r>
              <w:t xml:space="preserve">Book case</w:t>
            </w:r>
          </w:p>
        </w:tc>
        <w:tc>
          <w:tcPr>
            <w:tcW w:w="3351" w:type="dxa"/>
            <w:shd w:val="clear" w:color="auto" w:fill="F2F2F2"/>
          </w:tcPr>
          <w:p>
            <w:pPr/>
            <w:r>
              <w:t xml:space="preserve">Trap</w:t>
            </w:r>
          </w:p>
        </w:tc>
      </w:tr>
      <w:tr>
        <w:tc>
          <w:tcPr>
            <w:tcW w:w="1912" w:type="dxa"/>
          </w:tcPr>
          <w:p>
            <w:pPr/>
            <w:r>
              <w:t xml:space="preserve">Junior against senior</w:t>
            </w:r>
          </w:p>
        </w:tc>
        <w:tc>
          <w:tcPr>
            <w:tcW w:w="4097" w:type="dxa"/>
          </w:tcPr>
          <w:p>
            <w:pPr/>
            <w:r>
              <w:t xml:space="preserve">HCA unsecured at 60 bp over the second lien for 1.7 more turns: unsecured rich (p. 413)</w:t>
            </w:r>
          </w:p>
        </w:tc>
        <w:tc>
          <w:tcPr>
            <w:tcW w:w="3351" w:type="dxa"/>
          </w:tcPr>
          <w:p>
            <w:pPr/>
            <w:r>
              <w:t xml:space="preserve">The recovery gap widens as value falls; size by jump-to-default, not by DV01 (Section 9)</w:t>
            </w:r>
          </w:p>
        </w:tc>
      </w:tr>
      <w:tr>
        <w:tc>
          <w:tcPr>
            <w:tcW w:w="1912" w:type="dxa"/>
          </w:tcPr>
          <w:p>
            <w:pPr/>
            <w:r>
              <w:t xml:space="preserve">Short-dated against long-dated, stressed issuer</w:t>
            </w:r>
          </w:p>
        </w:tc>
        <w:tc>
          <w:tcPr>
            <w:tcW w:w="4097" w:type="dxa"/>
          </w:tcPr>
          <w:p>
            <w:pPr/>
            <w:r>
              <w:t xml:space="preserve">Long the near maturity, short the far one when liquidity covers the near bond (p. 530)</w:t>
            </w:r>
          </w:p>
        </w:tc>
        <w:tc>
          <w:tcPr>
            <w:tcW w:w="3351" w:type="dxa"/>
          </w:tcPr>
          <w:p>
            <w:pPr/>
            <w:r>
              <w:t xml:space="preserve">In a filing both converge to one recovery price; the long loses more than the short gains (p. 530)</w:t>
            </w:r>
          </w:p>
        </w:tc>
      </w:tr>
      <w:tr>
        <w:tc>
          <w:tcPr>
            <w:tcW w:w="1912" w:type="dxa"/>
          </w:tcPr>
          <w:p>
            <w:pPr/>
            <w:r>
              <w:t xml:space="preserve">Secured against unsecured in a frothy market</w:t>
            </w:r>
          </w:p>
        </w:tc>
        <w:tc>
          <w:tcPr>
            <w:tcW w:w="4097" w:type="dxa"/>
          </w:tcPr>
          <w:p>
            <w:pPr/>
            <w:r>
              <w:t xml:space="preserve">Long secured, short unsecured when </w:t>
            </w:r>
            <w:r>
              <w:rPr>
                <w:rStyle w:val="CodeChar"/>
              </w:rPr>
              <w:t xml:space="preserve">κ_t</w:t>
            </w:r>
            <w:r>
              <w:t xml:space="preserve"> is low and the gap is below the fair gap (p. 531)</w:t>
            </w:r>
          </w:p>
        </w:tc>
        <w:tc>
          <w:tcPr>
            <w:tcW w:w="3351" w:type="dxa"/>
          </w:tcPr>
          <w:p>
            <w:pPr/>
            <w:r>
              <w:t xml:space="preserve">Negative carry while you wait</w:t>
            </w:r>
          </w:p>
        </w:tc>
      </w:tr>
    </w:tbl>
    <w:p>
      <w:pPr>
        <w:pStyle w:val="Heading3"/>
      </w:pPr>
      <w:r>
        <w:t xml:space="preserve">S5. Document optionality</w:t>
      </w:r>
    </w:p>
    <w:p>
      <w:pPr/>
      <w:r>
        <w:t xml:space="preserve">Two document features carry value the spread model treats as a residual unless they are scored. The first is the change of control put. The second is exposure to liability management.</w:t>
      </w:r>
    </w:p>
    <w:p>
      <w:pPr>
        <w:pStyle w:val="Code"/>
      </w:pPr>
      <w:bookmarkStart w:id="27" w:name="bongo_lang_latex_27"/>
      <w:bookmarkEnd w:id="27"/>
      <w:r>
        <w:t xml:space="preserve">S5^{put}_i = p^{LBO}_i \cdot \frac{\max(0,\, coc\_put\_price_i - P_i)}{P_i}, \qquad S5^{LME}_i = -\,\pi_{LME,i}\,(R_i - R^{LME}_i)\,\frac{100}{P_i}</w:t>
      </w:r>
    </w:p>
    <w:p>
      <w:pPr/>
      <w:r>
        <w:rPr>
          <w:rStyle w:val="CodeChar"/>
        </w:rPr>
        <w:t xml:space="preserve">p_LBO</w:t>
      </w:r>
      <w:r>
        <w:t xml:space="preserve"> comes from sponsor interest, equity valuation against precedent multiples, and debt capacity. The Safeway case paired the put bonds long against the non-put bonds short, with negative carry if no deal came (p. 530). The LME part is negative for the exposed tranche and positive for the protected one; the PU Corp recovery fell by about half after the uptier (p. 504). Horizon: to the catalyst date. Failure mode: the fall-away clause; HCA's put dies on a dual upgrade to investment grade (p. 412).</w:t>
      </w:r>
    </w:p>
    <w:p>
      <w:pPr>
        <w:pStyle w:val="Heading3"/>
      </w:pPr>
      <w:r>
        <w:t xml:space="preserve">S6. Rating migration and forced flows</w:t>
      </w:r>
    </w:p>
    <w:p>
      <w:pPr/>
      <w:r>
        <w:t xml:space="preserve">The rating gap from Section 4.5 predicts agency moves. Forced sellers follow downgrades and defaults (p. 418), so the price effect comes in two steps: the move, then the flow.</w:t>
      </w:r>
    </w:p>
    <w:p>
      <w:pPr>
        <w:pStyle w:val="Code"/>
      </w:pPr>
      <w:bookmarkStart w:id="28" w:name="bongo_lang_latex_28"/>
      <w:bookmarkEnd w:id="28"/>
      <w:r>
        <w:t xml:space="preserve">S6_i = \big[P(\text{up}_{12m} \mid gap_i) - P(\text{down}_{12m} \mid gap_i)\big] \cdot w_{flow,i}</w:t>
      </w:r>
    </w:p>
    <w:p>
      <w:pPr/>
      <w:r>
        <w:rPr>
          <w:rStyle w:val="CodeChar"/>
        </w:rPr>
        <w:t xml:space="preserve">w_flow</w:t>
      </w:r>
      <w:r>
        <w:t xml:space="preserve"> scales with the index weight and the share of constrained holders. Long a positive gap before the upgrade. After a downgrade, wait for the flow, then buy the residual from S1. Horizon one to six months. Failure mode: the agency already moved and the price already reflects it; use </w:t>
      </w:r>
      <w:r>
        <w:rPr>
          <w:rStyle w:val="CodeChar"/>
        </w:rPr>
        <w:t xml:space="preserve">available_at</w:t>
      </w:r>
      <w:r>
        <w:t xml:space="preserve"> on the rating record.</w:t>
      </w:r>
    </w:p>
    <w:p>
      <w:pPr>
        <w:pStyle w:val="Heading3"/>
      </w:pPr>
      <w:r>
        <w:t xml:space="preserve">S7. Macro-conditional sector tilt</w:t>
      </w:r>
    </w:p>
    <w:p>
      <w:pPr/>
      <w:r>
        <w:t xml:space="preserve">The sector effect </w:t>
      </w:r>
      <w:r>
        <w:rPr>
          <w:rStyle w:val="CodeChar"/>
        </w:rPr>
        <w:t xml:space="preserve">η_sector,t</w:t>
      </w:r>
      <w:r>
        <w:t xml:space="preserve"> from Section 7.2 should move with the sector's macro drivers and the downside weights. The tilt is the part that has not moved yet:</w:t>
      </w:r>
    </w:p>
    <w:p>
      <w:pPr>
        <w:pStyle w:val="Code"/>
      </w:pPr>
      <w:bookmarkStart w:id="29" w:name="bongo_lang_latex_29"/>
      <w:bookmarkEnd w:id="29"/>
      <w:r>
        <w:t xml:space="preserve">S7_{sector} = \big[\eta_{sector,t} - \hat{\eta}_{sector}(m_t)\big] - \theta\, \Delta w^{down}_{sector,t}</w:t>
      </w:r>
    </w:p>
    <w:p>
      <w:pPr/>
      <w:r>
        <w:t xml:space="preserve">A positive value means the sector is cheap against its macro forecast. Apply it as a tilt on every bond in the sector. Horizon one to three months. Failure mode: a macro forecast that is itself stale; use the consensus vintage date.</w:t>
      </w:r>
    </w:p>
    <w:p>
      <w:pPr>
        <w:pStyle w:val="Heading3"/>
      </w:pPr>
      <w:r>
        <w:t xml:space="preserve">Composite, sizing, and the force rank</w:t>
      </w:r>
    </w:p>
    <w:p>
      <w:pPr/>
      <w:r>
        <w:t xml:space="preserve">Standardise each signal to unit variance per date. Combine with weights from the trailing information coefficient per signal and per cycle phase. Neutralise the composite to the index beta and to duration. Cap each position at a multiple of average daily volume from </w:t>
      </w:r>
      <w:r>
        <w:rPr>
          <w:rStyle w:val="CodeChar"/>
        </w:rPr>
        <w:t xml:space="preserve">trace_volume</w:t>
      </w:r>
      <w:r>
        <w:t xml:space="preserve">.</w:t>
      </w:r>
    </w:p>
    <w:p>
      <w:pPr>
        <w:pStyle w:val="Code"/>
      </w:pPr>
      <w:bookmarkStart w:id="30" w:name="bongo_lang_latex_30"/>
      <w:bookmarkEnd w:id="30"/>
      <w:r>
        <w:t xml:space="preserve">C_i = \sum_{j} w_{j,phase}\, \tilde{S}_{j,i}, \qquad w_{j,phase} \propto \max(0, IC_{j,phase}), \qquad n_i \le k \cdot ADV_i</w:t>
      </w:r>
    </w:p>
    <w:tbl>
      <w:tblPr>
        <w:tblStyle w:val="TableGrid"/>
        <w:tblW w:w="0" w:type="auto"/>
        <w:tblLayout w:type="fixed"/>
        <w:tblLook w:val="04A0" w:firstRow="1" w:lastRow="0" w:firstColumn="0" w:lastColumn="0" w:noHBand="0" w:noVBand="1"/>
      </w:tblPr>
      <w:tblGrid>
        <w:gridCol w:w="1625"/>
        <w:gridCol w:w="2936"/>
        <w:gridCol w:w="1454"/>
        <w:gridCol w:w="1391"/>
        <w:gridCol w:w="1954"/>
      </w:tblGrid>
      <w:tr>
        <w:trPr>
          <w:tblHeader/>
        </w:trPr>
        <w:tc>
          <w:tcPr>
            <w:tcW w:w="1625" w:type="dxa"/>
            <w:shd w:val="clear" w:color="auto" w:fill="F2F2F2"/>
          </w:tcPr>
          <w:p>
            <w:pPr/>
            <w:r>
              <w:t xml:space="preserve">Signal</w:t>
            </w:r>
          </w:p>
        </w:tc>
        <w:tc>
          <w:tcPr>
            <w:tcW w:w="2936" w:type="dxa"/>
            <w:shd w:val="clear" w:color="auto" w:fill="F2F2F2"/>
          </w:tcPr>
          <w:p>
            <w:pPr/>
            <w:r>
              <w:t xml:space="preserve">Direction of a long</w:t>
            </w:r>
          </w:p>
        </w:tc>
        <w:tc>
          <w:tcPr>
            <w:tcW w:w="1454" w:type="dxa"/>
            <w:shd w:val="clear" w:color="auto" w:fill="F2F2F2"/>
          </w:tcPr>
          <w:p>
            <w:pPr/>
            <w:r>
              <w:t xml:space="preserve">Horizon</w:t>
            </w:r>
          </w:p>
        </w:tc>
        <w:tc>
          <w:tcPr>
            <w:tcW w:w="1391" w:type="dxa"/>
            <w:shd w:val="clear" w:color="auto" w:fill="F2F2F2"/>
          </w:tcPr>
          <w:p>
            <w:pPr/>
            <w:r>
              <w:t xml:space="preserve">Hedge</w:t>
            </w:r>
          </w:p>
        </w:tc>
        <w:tc>
          <w:tcPr>
            <w:tcW w:w="1954" w:type="dxa"/>
            <w:shd w:val="clear" w:color="auto" w:fill="F2F2F2"/>
          </w:tcPr>
          <w:p>
            <w:pPr/>
            <w:r>
              <w:t xml:space="preserve">Main failure mode</w:t>
            </w:r>
          </w:p>
        </w:tc>
      </w:tr>
      <w:tr>
        <w:tc>
          <w:tcPr>
            <w:tcW w:w="1625" w:type="dxa"/>
          </w:tcPr>
          <w:p>
            <w:pPr/>
            <w:r>
              <w:t xml:space="preserve">S1 residual</w:t>
            </w:r>
          </w:p>
        </w:tc>
        <w:tc>
          <w:tcPr>
            <w:tcW w:w="2936" w:type="dxa"/>
          </w:tcPr>
          <w:p>
            <w:pPr/>
            <w:r>
              <w:t xml:space="preserve">Spread above the band</w:t>
            </w:r>
          </w:p>
        </w:tc>
        <w:tc>
          <w:tcPr>
            <w:tcW w:w="1454" w:type="dxa"/>
          </w:tcPr>
          <w:p>
            <w:pPr/>
            <w:r>
              <w:t xml:space="preserve">Two half-lives</w:t>
            </w:r>
          </w:p>
        </w:tc>
        <w:tc>
          <w:tcPr>
            <w:tcW w:w="1391" w:type="dxa"/>
          </w:tcPr>
          <w:p>
            <w:pPr/>
            <w:r>
              <w:t xml:space="preserve">Index and sector beta</w:t>
            </w:r>
          </w:p>
        </w:tc>
        <w:tc>
          <w:tcPr>
            <w:tcW w:w="1954" w:type="dxa"/>
          </w:tcPr>
          <w:p>
            <w:pPr/>
            <w:r>
              <w:t xml:space="preserve">Unmodelled fact</w:t>
            </w:r>
          </w:p>
        </w:tc>
      </w:tr>
      <w:tr>
        <w:tc>
          <w:tcPr>
            <w:tcW w:w="1625" w:type="dxa"/>
          </w:tcPr>
          <w:p>
            <w:pPr/>
            <w:r>
              <w:t xml:space="preserve">S2 momentum</w:t>
            </w:r>
          </w:p>
        </w:tc>
        <w:tc>
          <w:tcPr>
            <w:tcW w:w="2936" w:type="dxa"/>
          </w:tcPr>
          <w:p>
            <w:pPr/>
            <w:r>
              <w:t xml:space="preserve">Fundamentals ahead of spread</w:t>
            </w:r>
          </w:p>
        </w:tc>
        <w:tc>
          <w:tcPr>
            <w:tcW w:w="1454" w:type="dxa"/>
          </w:tcPr>
          <w:p>
            <w:pPr/>
            <w:r>
              <w:t xml:space="preserve">1 to 3 months</w:t>
            </w:r>
          </w:p>
        </w:tc>
        <w:tc>
          <w:tcPr>
            <w:tcW w:w="1391" w:type="dxa"/>
          </w:tcPr>
          <w:p>
            <w:pPr/>
            <w:r>
              <w:t xml:space="preserve">Index beta</w:t>
            </w:r>
          </w:p>
        </w:tc>
        <w:tc>
          <w:tcPr>
            <w:tcW w:w="1954" w:type="dxa"/>
          </w:tcPr>
          <w:p>
            <w:pPr/>
            <w:r>
              <w:t xml:space="preserve">Non-cash improvement</w:t>
            </w:r>
          </w:p>
        </w:tc>
      </w:tr>
      <w:tr>
        <w:tc>
          <w:tcPr>
            <w:tcW w:w="1625" w:type="dxa"/>
          </w:tcPr>
          <w:p>
            <w:pPr/>
            <w:r>
              <w:t xml:space="preserve">S3 revision and gap</w:t>
            </w:r>
          </w:p>
        </w:tc>
        <w:tc>
          <w:tcPr>
            <w:tcW w:w="2936" w:type="dxa"/>
          </w:tcPr>
          <w:p>
            <w:pPr/>
            <w:r>
              <w:t xml:space="preserve">Forward leverage falls; analyst below consensus</w:t>
            </w:r>
          </w:p>
        </w:tc>
        <w:tc>
          <w:tcPr>
            <w:tcW w:w="1454" w:type="dxa"/>
          </w:tcPr>
          <w:p>
            <w:pPr/>
            <w:r>
              <w:t xml:space="preserve">To next earnings</w:t>
            </w:r>
          </w:p>
        </w:tc>
        <w:tc>
          <w:tcPr>
            <w:tcW w:w="1391" w:type="dxa"/>
          </w:tcPr>
          <w:p>
            <w:pPr/>
            <w:r>
              <w:t xml:space="preserve">Index beta</w:t>
            </w:r>
          </w:p>
        </w:tc>
        <w:tc>
          <w:tcPr>
            <w:tcW w:w="1954" w:type="dxa"/>
          </w:tcPr>
          <w:p>
            <w:pPr/>
            <w:r>
              <w:t xml:space="preserve">Analyst bias</w:t>
            </w:r>
          </w:p>
        </w:tc>
      </w:tr>
      <w:tr>
        <w:tc>
          <w:tcPr>
            <w:tcW w:w="1625" w:type="dxa"/>
          </w:tcPr>
          <w:p>
            <w:pPr/>
            <w:r>
              <w:t xml:space="preserve">S4 capital structure</w:t>
            </w:r>
          </w:p>
        </w:tc>
        <w:tc>
          <w:tcPr>
            <w:tcW w:w="2936" w:type="dxa"/>
          </w:tcPr>
          <w:p>
            <w:pPr/>
            <w:r>
              <w:t xml:space="preserve">Tranche gap above the recovery gap</w:t>
            </w:r>
          </w:p>
        </w:tc>
        <w:tc>
          <w:tcPr>
            <w:tcW w:w="1454" w:type="dxa"/>
          </w:tcPr>
          <w:p>
            <w:pPr/>
            <w:r>
              <w:t xml:space="preserve">1 to 3 months</w:t>
            </w:r>
          </w:p>
        </w:tc>
        <w:tc>
          <w:tcPr>
            <w:tcW w:w="1391" w:type="dxa"/>
          </w:tcPr>
          <w:p>
            <w:pPr/>
            <w:r>
              <w:t xml:space="preserve">Within issuer</w:t>
            </w:r>
          </w:p>
        </w:tc>
        <w:tc>
          <w:tcPr>
            <w:tcW w:w="1954" w:type="dxa"/>
          </w:tcPr>
          <w:p>
            <w:pPr/>
            <w:r>
              <w:t xml:space="preserve">Convergence to recovery</w:t>
            </w:r>
          </w:p>
        </w:tc>
      </w:tr>
      <w:tr>
        <w:tc>
          <w:tcPr>
            <w:tcW w:w="1625" w:type="dxa"/>
          </w:tcPr>
          <w:p>
            <w:pPr/>
            <w:r>
              <w:t xml:space="preserve">S5 documents</w:t>
            </w:r>
          </w:p>
        </w:tc>
        <w:tc>
          <w:tcPr>
            <w:tcW w:w="2936" w:type="dxa"/>
          </w:tcPr>
          <w:p>
            <w:pPr/>
            <w:r>
              <w:t xml:space="preserve">Put in the money; protected tranche</w:t>
            </w:r>
          </w:p>
        </w:tc>
        <w:tc>
          <w:tcPr>
            <w:tcW w:w="1454" w:type="dxa"/>
          </w:tcPr>
          <w:p>
            <w:pPr/>
            <w:r>
              <w:t xml:space="preserve">To catalyst</w:t>
            </w:r>
          </w:p>
        </w:tc>
        <w:tc>
          <w:tcPr>
            <w:tcW w:w="1391" w:type="dxa"/>
          </w:tcPr>
          <w:p>
            <w:pPr/>
            <w:r>
              <w:t xml:space="preserve">Pair within issuer</w:t>
            </w:r>
          </w:p>
        </w:tc>
        <w:tc>
          <w:tcPr>
            <w:tcW w:w="1954" w:type="dxa"/>
          </w:tcPr>
          <w:p>
            <w:pPr/>
            <w:r>
              <w:t xml:space="preserve">Fall-away, negative carry</w:t>
            </w:r>
          </w:p>
        </w:tc>
      </w:tr>
      <w:tr>
        <w:tc>
          <w:tcPr>
            <w:tcW w:w="1625" w:type="dxa"/>
          </w:tcPr>
          <w:p>
            <w:pPr/>
            <w:r>
              <w:t xml:space="preserve">S6 ratings and flows</w:t>
            </w:r>
          </w:p>
        </w:tc>
        <w:tc>
          <w:tcPr>
            <w:tcW w:w="2936" w:type="dxa"/>
          </w:tcPr>
          <w:p>
            <w:pPr/>
            <w:r>
              <w:t xml:space="preserve">Positive rating gap</w:t>
            </w:r>
          </w:p>
        </w:tc>
        <w:tc>
          <w:tcPr>
            <w:tcW w:w="1454" w:type="dxa"/>
          </w:tcPr>
          <w:p>
            <w:pPr/>
            <w:r>
              <w:t xml:space="preserve">1 to 6 months</w:t>
            </w:r>
          </w:p>
        </w:tc>
        <w:tc>
          <w:tcPr>
            <w:tcW w:w="1391" w:type="dxa"/>
          </w:tcPr>
          <w:p>
            <w:pPr/>
            <w:r>
              <w:t xml:space="preserve">Index beta</w:t>
            </w:r>
          </w:p>
        </w:tc>
        <w:tc>
          <w:tcPr>
            <w:tcW w:w="1954" w:type="dxa"/>
          </w:tcPr>
          <w:p>
            <w:pPr/>
            <w:r>
              <w:t xml:space="preserve">Already priced</w:t>
            </w:r>
          </w:p>
        </w:tc>
      </w:tr>
      <w:tr>
        <w:tc>
          <w:tcPr>
            <w:tcW w:w="1625" w:type="dxa"/>
          </w:tcPr>
          <w:p>
            <w:pPr/>
            <w:r>
              <w:t xml:space="preserve">S7 sector tilt</w:t>
            </w:r>
          </w:p>
        </w:tc>
        <w:tc>
          <w:tcPr>
            <w:tcW w:w="2936" w:type="dxa"/>
          </w:tcPr>
          <w:p>
            <w:pPr/>
            <w:r>
              <w:t xml:space="preserve">Sector cheap to macro</w:t>
            </w:r>
          </w:p>
        </w:tc>
        <w:tc>
          <w:tcPr>
            <w:tcW w:w="1454" w:type="dxa"/>
          </w:tcPr>
          <w:p>
            <w:pPr/>
            <w:r>
              <w:t xml:space="preserve">1 to 3 months</w:t>
            </w:r>
          </w:p>
        </w:tc>
        <w:tc>
          <w:tcPr>
            <w:tcW w:w="1391" w:type="dxa"/>
          </w:tcPr>
          <w:p>
            <w:pPr/>
            <w:r>
              <w:t xml:space="preserve">Index beta</w:t>
            </w:r>
          </w:p>
        </w:tc>
        <w:tc>
          <w:tcPr>
            <w:tcW w:w="1954" w:type="dxa"/>
          </w:tcPr>
          <w:p>
            <w:pPr/>
            <w:r>
              <w:t xml:space="preserve">Stale forecast</w:t>
            </w:r>
          </w:p>
        </w:tc>
      </w:tr>
    </w:tbl>
    <w:p>
      <w:pPr/>
      <w:r>
        <w:t xml:space="preserve">The force rank is the composite sorted across the whole universe, not within sectors. The book trains analysts to rank outside their coverage for this reason (p. 369). Publish the rank with the answer to the book's question for each new position: which position it replaces (p. 369).</w:t>
      </w:r>
    </w:p>
    <w:p>
      <w:pPr>
        <w:pStyle w:val="Heading2"/>
      </w:pPr>
      <w:r>
        <w:t xml:space="preserve">9. Event-driven positional risk</w:t>
      </w:r>
    </w:p>
    <w:p>
      <w:pPr/>
      <w:r>
        <w:t xml:space="preserve">Event risk is the distribution of position P&amp;L over a dated window, conditional on the macro path. The fair spread model supplies the sensitivities: re-evaluate it under each event outcome and each macro path, and the spread change falls out. The book's three price drivers (p. 113) become the three channels through which growth and Treasury yields reach a position.</w:t>
      </w:r>
    </w:p>
    <w:p>
      <w:pPr>
        <w:pStyle w:val="Heading3"/>
      </w:pPr>
      <w:r>
        <w:t xml:space="preserve">9.1 Event taxonomy</w:t>
      </w:r>
    </w:p>
    <w:tbl>
      <w:tblPr>
        <w:tblStyle w:val="TableGrid"/>
        <w:tblW w:w="0" w:type="auto"/>
        <w:tblLayout w:type="fixed"/>
        <w:tblLook w:val="04A0" w:firstRow="1" w:lastRow="0" w:firstColumn="0" w:lastColumn="0" w:noHBand="0" w:noVBand="1"/>
      </w:tblPr>
      <w:tblGrid>
        <w:gridCol w:w="1556"/>
        <w:gridCol w:w="1872"/>
        <w:gridCol w:w="1872"/>
        <w:gridCol w:w="1583"/>
        <w:gridCol w:w="2477"/>
      </w:tblGrid>
      <w:tr>
        <w:trPr>
          <w:tblHeader/>
        </w:trPr>
        <w:tc>
          <w:tcPr>
            <w:tcW w:w="1556" w:type="dxa"/>
            <w:shd w:val="clear" w:color="auto" w:fill="F2F2F2"/>
          </w:tcPr>
          <w:p>
            <w:pPr/>
            <w:r>
              <w:t xml:space="preserve">Event</w:t>
            </w:r>
          </w:p>
        </w:tc>
        <w:tc>
          <w:tcPr>
            <w:tcW w:w="1872" w:type="dxa"/>
            <w:shd w:val="clear" w:color="auto" w:fill="F2F2F2"/>
          </w:tcPr>
          <w:p>
            <w:pPr/>
            <w:r>
              <w:t xml:space="preserve">Trigger field</w:t>
            </w:r>
          </w:p>
        </w:tc>
        <w:tc>
          <w:tcPr>
            <w:tcW w:w="1872" w:type="dxa"/>
            <w:shd w:val="clear" w:color="auto" w:fill="F2F2F2"/>
          </w:tcPr>
          <w:p>
            <w:pPr/>
            <w:r>
              <w:t xml:space="preserve">Pre-event features</w:t>
            </w:r>
          </w:p>
        </w:tc>
        <w:tc>
          <w:tcPr>
            <w:tcW w:w="1583" w:type="dxa"/>
            <w:shd w:val="clear" w:color="auto" w:fill="F2F2F2"/>
          </w:tcPr>
          <w:p>
            <w:pPr/>
            <w:r>
              <w:t xml:space="preserve">Outcome set</w:t>
            </w:r>
          </w:p>
        </w:tc>
        <w:tc>
          <w:tcPr>
            <w:tcW w:w="2477" w:type="dxa"/>
            <w:shd w:val="clear" w:color="auto" w:fill="F2F2F2"/>
          </w:tcPr>
          <w:p>
            <w:pPr/>
            <w:r>
              <w:t xml:space="preserve">How the outcome moves the spread</w:t>
            </w:r>
          </w:p>
        </w:tc>
      </w:tr>
      <w:tr>
        <w:tc>
          <w:tcPr>
            <w:tcW w:w="1556" w:type="dxa"/>
          </w:tcPr>
          <w:p>
            <w:pPr/>
            <w:r>
              <w:t xml:space="preserve">Earnings release</w:t>
            </w:r>
          </w:p>
        </w:tc>
        <w:tc>
          <w:tcPr>
            <w:tcW w:w="1872" w:type="dxa"/>
          </w:tcPr>
          <w:p>
            <w:pPr/>
            <w:r>
              <w:rPr>
                <w:rStyle w:val="CodeChar"/>
              </w:rPr>
              <w:t xml:space="preserve">event_date</w:t>
            </w:r>
          </w:p>
        </w:tc>
        <w:tc>
          <w:tcPr>
            <w:tcW w:w="1872" w:type="dxa"/>
          </w:tcPr>
          <w:p>
            <w:pPr/>
            <w:r>
              <w:rPr>
                <w:rStyle w:val="CodeChar"/>
              </w:rPr>
              <w:t xml:space="preserve">surprise</w:t>
            </w:r>
            <w:r>
              <w:t xml:space="preserve"> history, </w:t>
            </w:r>
            <w:r>
              <w:rPr>
                <w:rStyle w:val="CodeChar"/>
              </w:rPr>
              <w:t xml:space="preserve">gap_consensus</w:t>
            </w:r>
            <w:r>
              <w:t xml:space="preserve">, </w:t>
            </w:r>
            <w:r>
              <w:rPr>
                <w:rStyle w:val="CodeChar"/>
              </w:rPr>
              <w:t xml:space="preserve">eq_flags</w:t>
            </w:r>
            <w:r>
              <w:t xml:space="preserve">, </w:t>
            </w:r>
            <w:r>
              <w:rPr>
                <w:rStyle w:val="CodeChar"/>
              </w:rPr>
              <w:t xml:space="preserve">lev_fwd_sd_4</w:t>
            </w:r>
          </w:p>
        </w:tc>
        <w:tc>
          <w:tcPr>
            <w:tcW w:w="1583" w:type="dxa"/>
          </w:tcPr>
          <w:p>
            <w:pPr/>
            <w:r>
              <w:t xml:space="preserve">Beat, in line, miss; guidance up or down</w:t>
            </w:r>
          </w:p>
        </w:tc>
        <w:tc>
          <w:tcPr>
            <w:tcW w:w="2477" w:type="dxa"/>
          </w:tcPr>
          <w:p>
            <w:pPr/>
            <w:r>
              <w:t xml:space="preserve">New features into </w:t>
            </w:r>
            <w:r>
              <w:rPr>
                <w:rStyle w:val="CodeChar"/>
              </w:rPr>
              <w:t xml:space="preserve">f_t</w:t>
            </w:r>
            <w:r>
              <w:t xml:space="preserve">; </w:t>
            </w:r>
            <w:r>
              <w:rPr>
                <w:rStyle w:val="CodeChar"/>
              </w:rPr>
              <w:t xml:space="preserve">p_breach</w:t>
            </w:r>
            <w:r>
              <w:t xml:space="preserve"> and </w:t>
            </w:r>
            <w:r>
              <w:rPr>
                <w:rStyle w:val="CodeChar"/>
              </w:rPr>
              <w:t xml:space="preserve">lev_fwd</w:t>
            </w:r>
            <w:r>
              <w:t xml:space="preserve"> move</w:t>
            </w:r>
          </w:p>
        </w:tc>
      </w:tr>
      <w:tr>
        <w:tc>
          <w:tcPr>
            <w:tcW w:w="1556" w:type="dxa"/>
          </w:tcPr>
          <w:p>
            <w:pPr/>
            <w:r>
              <w:t xml:space="preserve">Covenant test</w:t>
            </w:r>
          </w:p>
        </w:tc>
        <w:tc>
          <w:tcPr>
            <w:tcW w:w="1872" w:type="dxa"/>
          </w:tcPr>
          <w:p>
            <w:pPr/>
            <w:r>
              <w:rPr>
                <w:rStyle w:val="CodeChar"/>
              </w:rPr>
              <w:t xml:space="preserve">fin_covenants[].test_date</w:t>
            </w:r>
          </w:p>
        </w:tc>
        <w:tc>
          <w:tcPr>
            <w:tcW w:w="1872" w:type="dxa"/>
          </w:tcPr>
          <w:p>
            <w:pPr/>
            <w:r>
              <w:rPr>
                <w:rStyle w:val="CodeChar"/>
              </w:rPr>
              <w:t xml:space="preserve">H_t</w:t>
            </w:r>
            <w:r>
              <w:t xml:space="preserve">, </w:t>
            </w:r>
            <w:r>
              <w:rPr>
                <w:rStyle w:val="CodeChar"/>
              </w:rPr>
              <w:t xml:space="preserve">p_breach_4</w:t>
            </w:r>
            <w:r>
              <w:t xml:space="preserve">, </w:t>
            </w:r>
            <w:r>
              <w:rPr>
                <w:rStyle w:val="CodeChar"/>
              </w:rPr>
              <w:t xml:space="preserve">covenant_gap</w:t>
            </w:r>
          </w:p>
        </w:tc>
        <w:tc>
          <w:tcPr>
            <w:tcW w:w="1583" w:type="dxa"/>
          </w:tcPr>
          <w:p>
            <w:pPr/>
            <w:r>
              <w:t xml:space="preserve">Pass; waiver with fee and tighter terms; acceleration, rare (p. 355)</w:t>
            </w:r>
          </w:p>
        </w:tc>
        <w:tc>
          <w:tcPr>
            <w:tcW w:w="2477" w:type="dxa"/>
          </w:tcPr>
          <w:p>
            <w:pPr/>
            <w:r>
              <w:t xml:space="preserve">Jump; a waiver raises interest cost and signals the lender has a seat at the table</w:t>
            </w:r>
          </w:p>
        </w:tc>
      </w:tr>
      <w:tr>
        <w:tc>
          <w:tcPr>
            <w:tcW w:w="1556" w:type="dxa"/>
          </w:tcPr>
          <w:p>
            <w:pPr/>
            <w:r>
              <w:t xml:space="preserve">Maturity and refinance window</w:t>
            </w:r>
          </w:p>
        </w:tc>
        <w:tc>
          <w:tcPr>
            <w:tcW w:w="1872" w:type="dxa"/>
          </w:tcPr>
          <w:p>
            <w:pPr/>
            <w:r>
              <w:rPr>
                <w:rStyle w:val="CodeChar"/>
              </w:rPr>
              <w:t xml:space="preserve">maturity_schedule</w:t>
            </w:r>
            <w:r>
              <w:t xml:space="preserve">, </w:t>
            </w:r>
            <w:r>
              <w:rPr>
                <w:rStyle w:val="CodeChar"/>
              </w:rPr>
              <w:t xml:space="preserve">wall_cover_h</w:t>
            </w:r>
          </w:p>
        </w:tc>
        <w:tc>
          <w:tcPr>
            <w:tcW w:w="1872" w:type="dxa"/>
          </w:tcPr>
          <w:p>
            <w:pPr/>
            <w:r>
              <w:rPr>
                <w:rStyle w:val="CodeChar"/>
              </w:rPr>
              <w:t xml:space="preserve">refi_access</w:t>
            </w:r>
            <w:r>
              <w:t xml:space="preserve">, </w:t>
            </w:r>
            <w:r>
              <w:rPr>
                <w:rStyle w:val="CodeChar"/>
              </w:rPr>
              <w:t xml:space="preserve">p_refi_4</w:t>
            </w:r>
            <w:r>
              <w:t xml:space="preserve">, </w:t>
            </w:r>
            <w:r>
              <w:rPr>
                <w:rStyle w:val="CodeChar"/>
              </w:rPr>
              <w:t xml:space="preserve">liquidity_L</w:t>
            </w:r>
          </w:p>
        </w:tc>
        <w:tc>
          <w:tcPr>
            <w:tcW w:w="1583" w:type="dxa"/>
          </w:tcPr>
          <w:p>
            <w:pPr/>
            <w:r>
              <w:t xml:space="preserve">Refinanced at market; extended by amendment; distressed exchange; default</w:t>
            </w:r>
          </w:p>
        </w:tc>
        <w:tc>
          <w:tcPr>
            <w:tcW w:w="2477" w:type="dxa"/>
          </w:tcPr>
          <w:p>
            <w:pPr/>
            <w:r>
              <w:t xml:space="preserve">New coupon equals the Treasury forecast plus the fair spread; FCF path moves</w:t>
            </w:r>
          </w:p>
        </w:tc>
      </w:tr>
      <w:tr>
        <w:tc>
          <w:tcPr>
            <w:tcW w:w="1556" w:type="dxa"/>
          </w:tcPr>
          <w:p>
            <w:pPr/>
            <w:r>
              <w:t xml:space="preserve">Call date or tender</w:t>
            </w:r>
          </w:p>
        </w:tc>
        <w:tc>
          <w:tcPr>
            <w:tcW w:w="1872" w:type="dxa"/>
          </w:tcPr>
          <w:p>
            <w:pPr/>
            <w:r>
              <w:rPr>
                <w:rStyle w:val="CodeChar"/>
              </w:rPr>
              <w:t xml:space="preserve">next_call_date</w:t>
            </w:r>
            <w:r>
              <w:t xml:space="preserve">, price against call</w:t>
            </w:r>
          </w:p>
        </w:tc>
        <w:tc>
          <w:tcPr>
            <w:tcW w:w="1872" w:type="dxa"/>
          </w:tcPr>
          <w:p>
            <w:pPr/>
            <w:r>
              <w:rPr>
                <w:rStyle w:val="CodeChar"/>
              </w:rPr>
              <w:t xml:space="preserve">p_refi</w:t>
            </w:r>
            <w:r>
              <w:t xml:space="preserve">, </w:t>
            </w:r>
            <w:r>
              <w:rPr>
                <w:rStyle w:val="CodeChar"/>
              </w:rPr>
              <w:t xml:space="preserve">kappa_t</w:t>
            </w:r>
          </w:p>
        </w:tc>
        <w:tc>
          <w:tcPr>
            <w:tcW w:w="1583" w:type="dxa"/>
          </w:tcPr>
          <w:p>
            <w:pPr/>
            <w:r>
              <w:t xml:space="preserve">Called at the schedule price; not called</w:t>
            </w:r>
          </w:p>
        </w:tc>
        <w:tc>
          <w:tcPr>
            <w:tcW w:w="2477" w:type="dxa"/>
          </w:tcPr>
          <w:p>
            <w:pPr/>
            <w:r>
              <w:t xml:space="preserve">Negative convexity; upside capped at the call price</w:t>
            </w:r>
          </w:p>
        </w:tc>
      </w:tr>
      <w:tr>
        <w:tc>
          <w:tcPr>
            <w:tcW w:w="1556" w:type="dxa"/>
          </w:tcPr>
          <w:p>
            <w:pPr/>
            <w:r>
              <w:t xml:space="preserve">Rating review</w:t>
            </w:r>
          </w:p>
        </w:tc>
        <w:tc>
          <w:tcPr>
            <w:tcW w:w="1872" w:type="dxa"/>
          </w:tcPr>
          <w:p>
            <w:pPr/>
            <w:r>
              <w:rPr>
                <w:rStyle w:val="CodeChar"/>
              </w:rPr>
              <w:t xml:space="preserve">outlook</w:t>
            </w:r>
            <w:r>
              <w:t xml:space="preserve">, </w:t>
            </w:r>
            <w:r>
              <w:rPr>
                <w:rStyle w:val="CodeChar"/>
              </w:rPr>
              <w:t xml:space="preserve">watch</w:t>
            </w:r>
          </w:p>
        </w:tc>
        <w:tc>
          <w:tcPr>
            <w:tcW w:w="1872" w:type="dxa"/>
          </w:tcPr>
          <w:p>
            <w:pPr/>
            <w:r>
              <w:rPr>
                <w:rStyle w:val="CodeChar"/>
              </w:rPr>
              <w:t xml:space="preserve">gap_rating</w:t>
            </w:r>
          </w:p>
        </w:tc>
        <w:tc>
          <w:tcPr>
            <w:tcW w:w="1583" w:type="dxa"/>
          </w:tcPr>
          <w:p>
            <w:pPr/>
            <w:r>
              <w:t xml:space="preserve">Upgrade, affirm, downgrade</w:t>
            </w:r>
          </w:p>
        </w:tc>
        <w:tc>
          <w:tcPr>
            <w:tcW w:w="2477" w:type="dxa"/>
          </w:tcPr>
          <w:p>
            <w:pPr/>
            <w:r>
              <w:t xml:space="preserve">Two steps: the move, then the forced flow (p. 418)</w:t>
            </w:r>
          </w:p>
        </w:tc>
      </w:tr>
      <w:tr>
        <w:tc>
          <w:tcPr>
            <w:tcW w:w="1556" w:type="dxa"/>
          </w:tcPr>
          <w:p>
            <w:pPr/>
            <w:r>
              <w:t xml:space="preserve">Index rebalance</w:t>
            </w:r>
          </w:p>
        </w:tc>
        <w:tc>
          <w:tcPr>
            <w:tcW w:w="1872" w:type="dxa"/>
          </w:tcPr>
          <w:p>
            <w:pPr/>
            <w:r>
              <w:t xml:space="preserve">Month end</w:t>
            </w:r>
          </w:p>
        </w:tc>
        <w:tc>
          <w:tcPr>
            <w:tcW w:w="1872" w:type="dxa"/>
          </w:tcPr>
          <w:p>
            <w:pPr/>
            <w:r>
              <w:rPr>
                <w:rStyle w:val="CodeChar"/>
              </w:rPr>
              <w:t xml:space="preserve">index_weight</w:t>
            </w:r>
            <w:r>
              <w:t xml:space="preserve">, </w:t>
            </w:r>
            <w:r>
              <w:rPr>
                <w:rStyle w:val="CodeChar"/>
              </w:rPr>
              <w:t xml:space="preserve">rating</w:t>
            </w:r>
          </w:p>
        </w:tc>
        <w:tc>
          <w:tcPr>
            <w:tcW w:w="1583" w:type="dxa"/>
          </w:tcPr>
          <w:p>
            <w:pPr/>
            <w:r>
              <w:t xml:space="preserve">In, out</w:t>
            </w:r>
          </w:p>
        </w:tc>
        <w:tc>
          <w:tcPr>
            <w:tcW w:w="2477" w:type="dxa"/>
          </w:tcPr>
          <w:p>
            <w:pPr/>
            <w:r>
              <w:t xml:space="preserve">Flow</w:t>
            </w:r>
          </w:p>
        </w:tc>
      </w:tr>
      <w:tr>
        <w:tc>
          <w:tcPr>
            <w:tcW w:w="1556" w:type="dxa"/>
          </w:tcPr>
          <w:p>
            <w:pPr/>
            <w:r>
              <w:t xml:space="preserve">M&amp;A or LBO</w:t>
            </w:r>
          </w:p>
        </w:tc>
        <w:tc>
          <w:tcPr>
            <w:tcW w:w="1872" w:type="dxa"/>
          </w:tcPr>
          <w:p>
            <w:pPr/>
            <w:r>
              <w:t xml:space="preserve">News, </w:t>
            </w:r>
            <w:r>
              <w:rPr>
                <w:rStyle w:val="CodeChar"/>
              </w:rPr>
              <w:t xml:space="preserve">p_LBO</w:t>
            </w:r>
          </w:p>
        </w:tc>
        <w:tc>
          <w:tcPr>
            <w:tcW w:w="1872" w:type="dxa"/>
          </w:tcPr>
          <w:p>
            <w:pPr/>
            <w:r>
              <w:rPr>
                <w:rStyle w:val="CodeChar"/>
              </w:rPr>
              <w:t xml:space="preserve">coc_put_price</w:t>
            </w:r>
            <w:r>
              <w:t xml:space="preserve">, debt capacity</w:t>
            </w:r>
          </w:p>
        </w:tc>
        <w:tc>
          <w:tcPr>
            <w:tcW w:w="1583" w:type="dxa"/>
          </w:tcPr>
          <w:p>
            <w:pPr/>
            <w:r>
              <w:t xml:space="preserve">Deal, no deal</w:t>
            </w:r>
          </w:p>
        </w:tc>
        <w:tc>
          <w:tcPr>
            <w:tcW w:w="2477" w:type="dxa"/>
          </w:tcPr>
          <w:p>
            <w:pPr/>
            <w:r>
              <w:t xml:space="preserve">Put value; leverage shock to the non-put bonds (p. 530)</w:t>
            </w:r>
          </w:p>
        </w:tc>
      </w:tr>
      <w:tr>
        <w:tc>
          <w:tcPr>
            <w:tcW w:w="1556" w:type="dxa"/>
          </w:tcPr>
          <w:p>
            <w:pPr/>
            <w:r>
              <w:t xml:space="preserve">Sponsor dividend or recap</w:t>
            </w:r>
          </w:p>
        </w:tc>
        <w:tc>
          <w:tcPr>
            <w:tcW w:w="1872" w:type="dxa"/>
          </w:tcPr>
          <w:p>
            <w:pPr/>
            <w:r>
              <w:rPr>
                <w:rStyle w:val="CodeChar"/>
              </w:rPr>
              <w:t xml:space="preserve">sponsor_behavior</w:t>
            </w:r>
            <w:r>
              <w:t xml:space="preserve">, </w:t>
            </w:r>
            <w:r>
              <w:rPr>
                <w:rStyle w:val="CodeChar"/>
              </w:rPr>
              <w:t xml:space="preserve">rp_capacity</w:t>
            </w:r>
          </w:p>
        </w:tc>
        <w:tc>
          <w:tcPr>
            <w:tcW w:w="1872" w:type="dxa"/>
          </w:tcPr>
          <w:p>
            <w:pPr/>
            <w:r>
              <w:t xml:space="preserve">Basket capacity</w:t>
            </w:r>
          </w:p>
        </w:tc>
        <w:tc>
          <w:tcPr>
            <w:tcW w:w="1583" w:type="dxa"/>
          </w:tcPr>
          <w:p>
            <w:pPr/>
            <w:r>
              <w:t xml:space="preserve">Done, not done</w:t>
            </w:r>
          </w:p>
        </w:tc>
        <w:tc>
          <w:tcPr>
            <w:tcW w:w="2477" w:type="dxa"/>
          </w:tcPr>
          <w:p>
            <w:pPr/>
            <w:r>
              <w:t xml:space="preserve">Leverage up, recovery down</w:t>
            </w:r>
          </w:p>
        </w:tc>
      </w:tr>
      <w:tr>
        <w:tc>
          <w:tcPr>
            <w:tcW w:w="1556" w:type="dxa"/>
          </w:tcPr>
          <w:p>
            <w:pPr/>
            <w:r>
              <w:t xml:space="preserve">Liability management</w:t>
            </w:r>
          </w:p>
        </w:tc>
        <w:tc>
          <w:tcPr>
            <w:tcW w:w="1872" w:type="dxa"/>
          </w:tcPr>
          <w:p>
            <w:pPr/>
            <w:r>
              <w:rPr>
                <w:rStyle w:val="CodeChar"/>
              </w:rPr>
              <w:t xml:space="preserve">lme_score_k</w:t>
            </w:r>
            <w:r>
              <w:t xml:space="preserve">, distress proximity</w:t>
            </w:r>
          </w:p>
        </w:tc>
        <w:tc>
          <w:tcPr>
            <w:tcW w:w="1872" w:type="dxa"/>
          </w:tcPr>
          <w:p>
            <w:pPr/>
            <w:r>
              <w:rPr>
                <w:rStyle w:val="CodeChar"/>
              </w:rPr>
              <w:t xml:space="preserve">unrestricted_sub_capacity</w:t>
            </w:r>
            <w:r>
              <w:t xml:space="preserve">, </w:t>
            </w:r>
            <w:r>
              <w:rPr>
                <w:rStyle w:val="CodeChar"/>
              </w:rPr>
              <w:t xml:space="preserve">required_lenders</w:t>
            </w:r>
          </w:p>
        </w:tc>
        <w:tc>
          <w:tcPr>
            <w:tcW w:w="1583" w:type="dxa"/>
          </w:tcPr>
          <w:p>
            <w:pPr/>
            <w:r>
              <w:t xml:space="preserve">Drop-down, uptier, exchange, none</w:t>
            </w:r>
          </w:p>
        </w:tc>
        <w:tc>
          <w:tcPr>
            <w:tcW w:w="2477" w:type="dxa"/>
          </w:tcPr>
          <w:p>
            <w:pPr/>
            <w:r>
              <w:t xml:space="preserve">Recovery shift (pp. 503–504)</w:t>
            </w:r>
          </w:p>
        </w:tc>
      </w:tr>
      <w:tr>
        <w:tc>
          <w:tcPr>
            <w:tcW w:w="1556" w:type="dxa"/>
          </w:tcPr>
          <w:p>
            <w:pPr/>
            <w:r>
              <w:t xml:space="preserve">Asset sale</w:t>
            </w:r>
          </w:p>
        </w:tc>
        <w:tc>
          <w:tcPr>
            <w:tcW w:w="1872" w:type="dxa"/>
          </w:tcPr>
          <w:p>
            <w:pPr/>
            <w:r>
              <w:rPr>
                <w:rStyle w:val="CodeChar"/>
              </w:rPr>
              <w:t xml:space="preserve">other_levers</w:t>
            </w:r>
          </w:p>
        </w:tc>
        <w:tc>
          <w:tcPr>
            <w:tcW w:w="1872" w:type="dxa"/>
          </w:tcPr>
          <w:p>
            <w:pPr/>
            <w:r>
              <w:t xml:space="preserve">Collateral share</w:t>
            </w:r>
          </w:p>
        </w:tc>
        <w:tc>
          <w:tcPr>
            <w:tcW w:w="1583" w:type="dxa"/>
          </w:tcPr>
          <w:p>
            <w:pPr/>
            <w:r>
              <w:t xml:space="preserve">Sold, not sold</w:t>
            </w:r>
          </w:p>
        </w:tc>
        <w:tc>
          <w:tcPr>
            <w:tcW w:w="2477" w:type="dxa"/>
          </w:tcPr>
          <w:p>
            <w:pPr/>
            <w:r>
              <w:t xml:space="preserve">Deleveraging, or collateral loss for the secured tranche</w:t>
            </w:r>
          </w:p>
        </w:tc>
      </w:tr>
      <w:tr>
        <w:tc>
          <w:tcPr>
            <w:tcW w:w="1556" w:type="dxa"/>
          </w:tcPr>
          <w:p>
            <w:pPr/>
            <w:r>
              <w:t xml:space="preserve">Litigation or regulation</w:t>
            </w:r>
          </w:p>
        </w:tc>
        <w:tc>
          <w:tcPr>
            <w:tcW w:w="1872" w:type="dxa"/>
          </w:tcPr>
          <w:p>
            <w:pPr/>
            <w:r>
              <w:rPr>
                <w:rStyle w:val="CodeChar"/>
              </w:rPr>
              <w:t xml:space="preserve">regulation</w:t>
            </w:r>
            <w:r>
              <w:t xml:space="preserve">, </w:t>
            </w:r>
            <w:r>
              <w:rPr>
                <w:rStyle w:val="CodeChar"/>
              </w:rPr>
              <w:t xml:space="preserve">contingent_liabilities</w:t>
            </w:r>
          </w:p>
        </w:tc>
        <w:tc>
          <w:tcPr>
            <w:tcW w:w="1872" w:type="dxa"/>
          </w:tcPr>
          <w:p>
            <w:pPr/>
            <w:r>
              <w:t xml:space="preserve">Flag score</w:t>
            </w:r>
          </w:p>
        </w:tc>
        <w:tc>
          <w:tcPr>
            <w:tcW w:w="1583" w:type="dxa"/>
          </w:tcPr>
          <w:p>
            <w:pPr/>
            <w:r>
              <w:t xml:space="preserve">Adverse, neutral</w:t>
            </w:r>
          </w:p>
        </w:tc>
        <w:tc>
          <w:tcPr>
            <w:tcW w:w="2477" w:type="dxa"/>
          </w:tcPr>
          <w:p>
            <w:pPr/>
            <w:r>
              <w:t xml:space="preserve">Contingent claim enters </w:t>
            </w:r>
            <w:r>
              <w:rPr>
                <w:rStyle w:val="CodeChar"/>
              </w:rPr>
              <w:t xml:space="preserve">S_k</w:t>
            </w:r>
          </w:p>
        </w:tc>
      </w:tr>
      <w:tr>
        <w:tc>
          <w:tcPr>
            <w:tcW w:w="1556" w:type="dxa"/>
          </w:tcPr>
          <w:p>
            <w:pPr/>
            <w:r>
              <w:t xml:space="preserve">Macro release</w:t>
            </w:r>
          </w:p>
        </w:tc>
        <w:tc>
          <w:tcPr>
            <w:tcW w:w="1872" w:type="dxa"/>
          </w:tcPr>
          <w:p>
            <w:pPr/>
            <w:r>
              <w:t xml:space="preserve">FOMC, CPI, payrolls, GDP dates</w:t>
            </w:r>
          </w:p>
        </w:tc>
        <w:tc>
          <w:tcPr>
            <w:tcW w:w="1872" w:type="dxa"/>
          </w:tcPr>
          <w:p>
            <w:pPr/>
            <w:r>
              <w:t xml:space="preserve">Rate and spread betas of Section 9.2</w:t>
            </w:r>
          </w:p>
        </w:tc>
        <w:tc>
          <w:tcPr>
            <w:tcW w:w="1583" w:type="dxa"/>
          </w:tcPr>
          <w:p>
            <w:pPr/>
            <w:r>
              <w:t xml:space="preserve">A path of the macro vector</w:t>
            </w:r>
          </w:p>
        </w:tc>
        <w:tc>
          <w:tcPr>
            <w:tcW w:w="2477" w:type="dxa"/>
          </w:tcPr>
          <w:p>
            <w:pPr/>
            <w:r>
              <w:t xml:space="preserve">Through the three channels</w:t>
            </w:r>
          </w:p>
        </w:tc>
      </w:tr>
      <w:tr>
        <w:tc>
          <w:tcPr>
            <w:tcW w:w="1556" w:type="dxa"/>
          </w:tcPr>
          <w:p>
            <w:pPr/>
            <w:r>
              <w:t xml:space="preserve">Sector shock</w:t>
            </w:r>
          </w:p>
        </w:tc>
        <w:tc>
          <w:tcPr>
            <w:tcW w:w="1872" w:type="dxa"/>
          </w:tcPr>
          <w:p>
            <w:pPr/>
            <w:r>
              <w:rPr>
                <w:rStyle w:val="CodeChar"/>
              </w:rPr>
              <w:t xml:space="preserve">sector_drivers[]</w:t>
            </w:r>
          </w:p>
        </w:tc>
        <w:tc>
          <w:tcPr>
            <w:tcW w:w="1872" w:type="dxa"/>
          </w:tcPr>
          <w:p>
            <w:pPr/>
            <w:r>
              <w:t xml:space="preserve">Commodity and regulatory flags (pp. 165, 172)</w:t>
            </w:r>
          </w:p>
        </w:tc>
        <w:tc>
          <w:tcPr>
            <w:tcW w:w="1583" w:type="dxa"/>
          </w:tcPr>
          <w:p>
            <w:pPr/>
            <w:r>
              <w:t xml:space="preserve">Driver path</w:t>
            </w:r>
          </w:p>
        </w:tc>
        <w:tc>
          <w:tcPr>
            <w:tcW w:w="2477" w:type="dxa"/>
          </w:tcPr>
          <w:p>
            <w:pPr/>
            <w:r>
              <w:t xml:space="preserve">Through </w:t>
            </w:r>
            <w:r>
              <w:rPr>
                <w:rStyle w:val="CodeChar"/>
              </w:rPr>
              <w:t xml:space="preserve">β_sector</w:t>
            </w:r>
            <w:r>
              <w:t xml:space="preserve"> and </w:t>
            </w:r>
            <w:r>
              <w:rPr>
                <w:rStyle w:val="CodeChar"/>
              </w:rPr>
              <w:t xml:space="preserve">η_sector</w:t>
            </w:r>
          </w:p>
        </w:tc>
      </w:tr>
      <w:tr>
        <w:tc>
          <w:tcPr>
            <w:tcW w:w="1556" w:type="dxa"/>
          </w:tcPr>
          <w:p>
            <w:pPr/>
            <w:r>
              <w:t xml:space="preserve">Bankruptcy filing</w:t>
            </w:r>
          </w:p>
        </w:tc>
        <w:tc>
          <w:tcPr>
            <w:tcW w:w="1872" w:type="dxa"/>
          </w:tcPr>
          <w:p>
            <w:pPr/>
            <w:r>
              <w:t xml:space="preserve">Court docket</w:t>
            </w:r>
          </w:p>
        </w:tc>
        <w:tc>
          <w:tcPr>
            <w:tcW w:w="1872" w:type="dxa"/>
          </w:tcPr>
          <w:p>
            <w:pPr/>
            <w:r>
              <w:rPr>
                <w:rStyle w:val="CodeChar"/>
              </w:rPr>
              <w:t xml:space="preserve">recovery_price_k</w:t>
            </w:r>
          </w:p>
        </w:tc>
        <w:tc>
          <w:tcPr>
            <w:tcW w:w="1583" w:type="dxa"/>
          </w:tcPr>
          <w:p>
            <w:pPr/>
            <w:r>
              <w:t xml:space="preserve">Filed</w:t>
            </w:r>
          </w:p>
        </w:tc>
        <w:tc>
          <w:tcPr>
            <w:tcW w:w="2477" w:type="dxa"/>
          </w:tcPr>
          <w:p>
            <w:pPr/>
            <w:r>
              <w:t xml:space="preserve">Price converges to recovery; equal-rank bonds converge together (p. 530); quotes go flat (p. 119)</w:t>
            </w:r>
          </w:p>
        </w:tc>
      </w:tr>
    </w:tbl>
    <w:p>
      <w:pPr>
        <w:pStyle w:val="Heading3"/>
      </w:pPr>
      <w:r>
        <w:t xml:space="preserve">9.2 Macro overlay: growth, Treasury yields, and the three channels</w:t>
      </w:r>
    </w:p>
    <w:p>
      <w:pPr/>
      <w:r>
        <w:t xml:space="preserve">Represent the macro forecast as a small set of paths, four to six, each with a probability. A path holds the 2-year and 10-year Treasury yields, the policy rate, GDP growth, PMI, the index spread, and the forecast default rate, by quarter for eight quarters. Take the probabilities from the dispersion of consensus forecasts, from market-implied rates and rate volatility, and from the desk's view. Name the paths: soft landing, recession, higher for longer, disinflation rally, stagflation.</w:t>
      </w:r>
    </w:p>
    <w:p>
      <w:pPr/>
      <w:r>
        <w:drawing>
          <wp:inline distT="0" distB="0" distL="0" distR="0">
            <wp:extent cx="5486400" cy="3404507"/>
            <wp:docPr id="2" name="image2" descr="macro transmission · one path, three channels, one P&amp;L"/>
            <a:graphic xmlns:a="http://schemas.openxmlformats.org/drawingml/2006/main">
              <a:graphicData uri="http://schemas.openxmlformats.org/drawingml/2006/picture">
                <pic:pic xmlns:pic="http://schemas.openxmlformats.org/drawingml/2006/picture">
                  <pic:nvPicPr>
                    <pic:cNvPr id="2" name="image2" descr="macro transmission · one path, three channels, one P&amp;L"/>
                    <pic:cNvPicPr/>
                  </pic:nvPicPr>
                  <pic:blipFill>
                    <a:blip r:embed="rId4"/>
                    <a:stretch>
                      <a:fillRect/>
                    </a:stretch>
                  </pic:blipFill>
                  <pic:spPr>
                    <a:xfrm>
                      <a:off x="0" y="0"/>
                      <a:ext cx="5486400" cy="3404507"/>
                    </a:xfrm>
                    <a:prstGeom prst="rect">
                      <a:avLst/>
                    </a:prstGeom>
                  </pic:spPr>
                </pic:pic>
              </a:graphicData>
            </a:graphic>
          </wp:inline>
        </w:drawing>
      </w:r>
    </w:p>
    <w:p>
      <w:pPr/>
      <w:r>
        <w:t xml:space="preserve">macro transmission · one path, three channels, one P&amp;L</w:t>
      </w:r>
    </w:p>
    <w:p>
      <w:pPr/>
      <w:r>
        <w:t xml:space="preserve">The macro path enters every channel at once. The event outcome enters through the fair spread re-evaluation, and the growth channel sets how likely each outcome is.</w:t>
      </w:r>
    </w:p>
    <w:p>
      <w:pPr/>
      <w:r>
        <w:rPr>
          <w:b/>
        </w:rPr>
        <w:t xml:space="preserve">Rate channel.</w:t>
      </w:r>
      <w:r>
        <w:t xml:space="preserve"> A Treasury move reaches a fixed coupon bond twice. The price effect is the book's duration rule, about 1% of price per year of duration per 1% of yield (p. 116). The cash effect runs through floating rate debt and through the coupon at which each maturity is refinanced; the 2022 cycle hit bonds through price and loans through interest cost (p. 99).</w:t>
      </w:r>
    </w:p>
    <w:p>
      <w:pPr>
        <w:pStyle w:val="Code"/>
      </w:pPr>
      <w:bookmarkStart w:id="31" w:name="bongo_lang_latex_31"/>
      <w:bookmarkEnd w:id="31"/>
      <w:r>
        <w:t xml:space="preserve">\frac{\Delta P_i}{P_i} \approx -D_i\,\Delta y(m) + \tfrac{1}{2} C_i\,\Delta y(m)^2, \qquad \Delta CashInt_h(m) = \phi_{float}\, D_{float}\, \Delta SOFR_h(m) + \sum_{\tau \le h} M_{\tau}\,\big[ y_T(m) + \hat{s}_i(m) - c_{old}\big]</w:t>
      </w:r>
    </w:p>
    <w:p>
      <w:pPr/>
      <w:r>
        <w:rPr>
          <w:rStyle w:val="CodeChar"/>
        </w:rPr>
        <w:t xml:space="preserve">φ_float</w:t>
      </w:r>
      <w:r>
        <w:t xml:space="preserve"> is the floating share of debt, </w:t>
      </w:r>
      <w:r>
        <w:rPr>
          <w:rStyle w:val="CodeChar"/>
        </w:rPr>
        <w:t xml:space="preserve">M_τ</w:t>
      </w:r>
      <w:r>
        <w:t xml:space="preserve"> the maturity in quarter </w:t>
      </w:r>
      <w:r>
        <w:rPr>
          <w:rStyle w:val="CodeChar"/>
        </w:rPr>
        <w:t xml:space="preserve">τ</w:t>
      </w:r>
      <w:r>
        <w:t xml:space="preserve">, and </w:t>
      </w:r>
      <w:r>
        <w:rPr>
          <w:rStyle w:val="CodeChar"/>
        </w:rPr>
        <w:t xml:space="preserve">c_old</w:t>
      </w:r>
      <w:r>
        <w:t xml:space="preserve"> its old coupon. The second term feeds the FCF recursion in Section 5.1, so a higher yield forecast raises leverage and </w:t>
      </w:r>
      <w:r>
        <w:rPr>
          <w:rStyle w:val="CodeChar"/>
        </w:rPr>
        <w:t xml:space="preserve">p_refi</w:t>
      </w:r>
      <w:r>
        <w:t xml:space="preserve"> before any spread moves.</w:t>
      </w:r>
    </w:p>
    <w:p>
      <w:pPr/>
      <w:r>
        <w:rPr>
          <w:b/>
        </w:rPr>
        <w:t xml:space="preserve">Growth channel.</w:t>
      </w:r>
      <w:r>
        <w:t xml:space="preserve"> Growth shifts each sector's revenue driver and the scenario weights. EBITDA, leverage, covenant headroom, and liquidity move together, so PD and LGD move together. A recession lowers the distressed multiple at the same time as it raises the probability of default, which is wrong-way risk for a junior tranche.</w:t>
      </w:r>
    </w:p>
    <w:p>
      <w:pPr>
        <w:pStyle w:val="Code"/>
      </w:pPr>
      <w:bookmarkStart w:id="32" w:name="bongo_lang_latex_32"/>
      <w:bookmarkEnd w:id="32"/>
      <w:r>
        <w:t xml:space="preserve">g^{s}_{h}(m) = g^{s}_{h} + \beta_{sector}\,\big(G_h(m) - \bar{G}\big), \qquad w_s(m) \ \text{from Section 5.2}, \qquad PD_i(m),\ LGD_i(m) \ \text{by re-evaluation}</w:t>
      </w:r>
    </w:p>
    <w:p>
      <w:pPr/>
      <w:r>
        <w:rPr>
          <w:b/>
        </w:rPr>
        <w:t xml:space="preserve">Spread channel.</w:t>
      </w:r>
      <w:r>
        <w:t xml:space="preserve"> The same macro state sets the market price of risk and the sector effect. Fit </w:t>
      </w:r>
      <w:r>
        <w:rPr>
          <w:rStyle w:val="CodeChar"/>
        </w:rPr>
        <w:t xml:space="preserve">log κ_t</w:t>
      </w:r>
      <w:r>
        <w:t xml:space="preserve"> and </w:t>
      </w:r>
      <w:r>
        <w:rPr>
          <w:rStyle w:val="CodeChar"/>
        </w:rPr>
        <w:t xml:space="preserve">η_sector,t</w:t>
      </w:r>
      <w:r>
        <w:t xml:space="preserve"> on the macro vector over at least one cycle. The 2020 episode moved single-B spreads from 335 bp to 1,189 bp (p. 518); the model must reproduce moves of that size from the macro inputs.</w:t>
      </w:r>
    </w:p>
    <w:p>
      <w:pPr/>
      <w:r>
        <w:rPr>
          <w:b/>
        </w:rPr>
        <w:t xml:space="preserve">The Treasury forecast needs a split.</w:t>
      </w:r>
      <w:r>
        <w:t xml:space="preserve"> The sign of the spread response depends on why yields move. Decompose each path's yield change into a growth part and a policy part, and give them separate betas:</w:t>
      </w:r>
    </w:p>
    <w:p>
      <w:pPr>
        <w:pStyle w:val="Code"/>
      </w:pPr>
      <w:bookmarkStart w:id="33" w:name="bongo_lang_latex_33"/>
      <w:bookmarkEnd w:id="33"/>
      <w:r>
        <w:t xml:space="preserve">\Delta y(m) = \Delta y^{growth}(m) + \Delta y^{policy}(m), \qquad \Delta s^{sys}(m) = \beta_g\,\Delta y^{growth}(m) + \beta_p\,\Delta y^{policy}(m), \quad \beta_g &lt; 0,\ \beta_p &gt; 0</w:t>
      </w:r>
    </w:p>
    <w:p>
      <w:pPr/>
      <w:r>
        <w:t xml:space="preserve">Identify the two parts with a two-factor regression of the yield change on the change in the growth forecast and the change in the expected policy rate, by rating bucket and sector. The effective rate duration of a high yield bond is then </w:t>
      </w:r>
      <w:r>
        <w:rPr>
          <w:rStyle w:val="CodeChar"/>
        </w:rPr>
        <w:t xml:space="preserve">D_i + D_i^s β</w:t>
      </w:r>
      <w:r>
        <w:t xml:space="preserve">, which is shorter than its modified duration in a growth-driven move and longer in a policy-driven move. Use the effective value for the rate hedge.</w:t>
      </w:r>
    </w:p>
    <w:p>
      <w:pPr/>
      <w:r>
        <w:rPr>
          <w:b/>
        </w:rPr>
        <w:t xml:space="preserve">Position P&amp;L under an event outcome and a macro path.</w:t>
      </w:r>
      <w:r>
        <w:t xml:space="preserve"> The same model that gives the fair spread gives the event sensitivity: change the features to what the outcome implies and re-evaluate.</w:t>
      </w:r>
    </w:p>
    <w:p>
      <w:pPr>
        <w:pStyle w:val="Code"/>
      </w:pPr>
      <w:bookmarkStart w:id="34" w:name="bongo_lang_latex_34"/>
      <w:bookmarkEnd w:id="34"/>
      <w:r>
        <w:t xml:space="preserve">\Delta P_i(o,m) \approx -D_i\,\Delta y(m) - D^{s}_i\,\big[\Delta s^{sys}(m) + \hat{s}_i(x_i(o,m)) - \hat{s}_i(x_i)\big] + carry_h - \mathbb{1}\{default\}\,\big(P_i - 100\,R^{adj}_i(m)\big)</w:t>
      </w:r>
    </w:p>
    <w:p/>
    <w:p>
      <w:pPr>
        <w:pStyle w:val="Code"/>
      </w:pPr>
      <w:bookmarkStart w:id="35" w:name="bongo_lang_latex_35"/>
      <w:bookmarkEnd w:id="35"/>
      <w:r>
        <w:t xml:space="preserve">E[\Delta P_i \mid e] = \sum_{m} p(m) \sum_{o} P(o \mid e, m)\, \Delta P_i(o,m), \qquad EventVaR_{\alpha} = \text{Quantile}_{\alpha}\{\Delta P_i(o,m)\}</w:t>
      </w:r>
    </w:p>
    <w:p>
      <w:pPr/>
      <w:r>
        <w:t xml:space="preserve">The outcome probabilities come from the scenario engine conditioned on the path: a miss has probability </w:t>
      </w:r>
      <w:r>
        <w:rPr>
          <w:rStyle w:val="CodeChar"/>
        </w:rPr>
        <w:t xml:space="preserve">w_down(m)</w:t>
      </w:r>
      <w:r>
        <w:t xml:space="preserve">; a breach has </w:t>
      </w:r>
      <w:r>
        <w:rPr>
          <w:rStyle w:val="CodeChar"/>
        </w:rPr>
        <w:t xml:space="preserve">p_breach(m)</w:t>
      </w:r>
      <w:r>
        <w:t xml:space="preserve">; a failed refinance has </w:t>
      </w:r>
      <w:r>
        <w:rPr>
          <w:rStyle w:val="CodeChar"/>
        </w:rPr>
        <w:t xml:space="preserve">p_refi(m)</w:t>
      </w:r>
      <w:r>
        <w:t xml:space="preserve"> times one minus </w:t>
      </w:r>
      <w:r>
        <w:rPr>
          <w:rStyle w:val="CodeChar"/>
        </w:rPr>
        <w:t xml:space="preserve">refi_access(m)</w:t>
      </w:r>
      <w:r>
        <w:t xml:space="preserve">, where access falls when </w:t>
      </w:r>
      <w:r>
        <w:rPr>
          <w:rStyle w:val="CodeChar"/>
        </w:rPr>
        <w:t xml:space="preserve">κ_t</w:t>
      </w:r>
      <w:r>
        <w:t xml:space="preserve"> is high and the primary market is shut. The matrix of </w:t>
      </w:r>
      <w:r>
        <w:rPr>
          <w:rStyle w:val="CodeChar"/>
        </w:rPr>
        <w:t xml:space="preserve">ΔP_i(o, m)</w:t>
      </w:r>
      <w:r>
        <w:t xml:space="preserve"> over positions, events, outcomes, and paths is the event matrix in Section 10.</w:t>
      </w:r>
    </w:p>
    <w:p>
      <w:pPr>
        <w:pStyle w:val="Heading3"/>
      </w:pPr>
      <w:r>
        <w:t xml:space="preserve">9.3 Position risk measures</w:t>
      </w:r>
    </w:p>
    <w:tbl>
      <w:tblPr>
        <w:tblStyle w:val="TableGrid"/>
        <w:tblW w:w="0" w:type="auto"/>
        <w:tblLayout w:type="fixed"/>
        <w:tblLook w:val="04A0" w:firstRow="1" w:lastRow="0" w:firstColumn="0" w:lastColumn="0" w:noHBand="0" w:noVBand="1"/>
      </w:tblPr>
      <w:tblGrid>
        <w:gridCol w:w="1664"/>
        <w:gridCol w:w="4248"/>
        <w:gridCol w:w="3447"/>
      </w:tblGrid>
      <w:tr>
        <w:trPr>
          <w:tblHeader/>
        </w:trPr>
        <w:tc>
          <w:tcPr>
            <w:tcW w:w="1664" w:type="dxa"/>
            <w:shd w:val="clear" w:color="auto" w:fill="F2F2F2"/>
          </w:tcPr>
          <w:p>
            <w:pPr/>
            <w:r>
              <w:t xml:space="preserve">Measure</w:t>
            </w:r>
          </w:p>
        </w:tc>
        <w:tc>
          <w:tcPr>
            <w:tcW w:w="4248" w:type="dxa"/>
            <w:shd w:val="clear" w:color="auto" w:fill="F2F2F2"/>
          </w:tcPr>
          <w:p>
            <w:pPr/>
            <w:r>
              <w:t xml:space="preserve">Formula</w:t>
            </w:r>
          </w:p>
        </w:tc>
        <w:tc>
          <w:tcPr>
            <w:tcW w:w="3447" w:type="dxa"/>
            <w:shd w:val="clear" w:color="auto" w:fill="F2F2F2"/>
          </w:tcPr>
          <w:p>
            <w:pPr/>
            <w:r>
              <w:t xml:space="preserve">Note</w:t>
            </w:r>
          </w:p>
        </w:tc>
      </w:tr>
      <w:tr>
        <w:tc>
          <w:tcPr>
            <w:tcW w:w="1664" w:type="dxa"/>
          </w:tcPr>
          <w:p>
            <w:pPr/>
            <w:r>
              <w:t xml:space="preserve">Spread DV01</w:t>
            </w:r>
          </w:p>
        </w:tc>
        <w:tc>
          <w:tcPr>
            <w:tcW w:w="4248" w:type="dxa"/>
          </w:tcPr>
          <w:p>
            <w:pPr/>
            <w:r>
              <w:rPr>
                <w:rStyle w:val="CodeChar"/>
              </w:rPr>
              <w:t xml:space="preserve">sdv01 = spread_duration × price × notional / 10,000</w:t>
            </w:r>
          </w:p>
        </w:tc>
        <w:tc>
          <w:tcPr>
            <w:tcW w:w="3447" w:type="dxa"/>
          </w:tcPr>
          <w:p>
            <w:pPr/>
            <w:r>
              <w:t xml:space="preserve">Per bond and per hedge</w:t>
            </w:r>
          </w:p>
        </w:tc>
      </w:tr>
      <w:tr>
        <w:tc>
          <w:tcPr>
            <w:tcW w:w="1664" w:type="dxa"/>
          </w:tcPr>
          <w:p>
            <w:pPr/>
            <w:r>
              <w:t xml:space="preserve">Rate DV01, effective</w:t>
            </w:r>
          </w:p>
        </w:tc>
        <w:tc>
          <w:tcPr>
            <w:tcW w:w="4248" w:type="dxa"/>
          </w:tcPr>
          <w:p>
            <w:pPr/>
            <w:r>
              <w:rPr>
                <w:rStyle w:val="CodeChar"/>
              </w:rPr>
              <w:t xml:space="preserve">rdv01_eff = (mod_duration + spread_duration × β) × price × notional / 10,000</w:t>
            </w:r>
          </w:p>
        </w:tc>
        <w:tc>
          <w:tcPr>
            <w:tcW w:w="3447" w:type="dxa"/>
          </w:tcPr>
          <w:p>
            <w:pPr/>
            <w:r>
              <w:rPr>
                <w:rStyle w:val="CodeChar"/>
              </w:rPr>
              <w:t xml:space="preserve">β</w:t>
            </w:r>
            <w:r>
              <w:t xml:space="preserve"> from the growth or policy split</w:t>
            </w:r>
          </w:p>
        </w:tc>
      </w:tr>
      <w:tr>
        <w:tc>
          <w:tcPr>
            <w:tcW w:w="1664" w:type="dxa"/>
          </w:tcPr>
          <w:p>
            <w:pPr/>
            <w:r>
              <w:t xml:space="preserve">Jump-to-default</w:t>
            </w:r>
          </w:p>
        </w:tc>
        <w:tc>
          <w:tcPr>
            <w:tcW w:w="4248" w:type="dxa"/>
          </w:tcPr>
          <w:p>
            <w:pPr/>
            <w:r>
              <w:rPr>
                <w:rStyle w:val="CodeChar"/>
              </w:rPr>
              <w:t xml:space="preserve">jtd = notional × (price - 100 × recovery_k_adj) / 100</w:t>
            </w:r>
          </w:p>
        </w:tc>
        <w:tc>
          <w:tcPr>
            <w:tcW w:w="3447" w:type="dxa"/>
          </w:tcPr>
          <w:p>
            <w:pPr/>
            <w:r>
              <w:t xml:space="preserve">Model recovery, not a flat assumption; Section 6</w:t>
            </w:r>
          </w:p>
        </w:tc>
      </w:tr>
      <w:tr>
        <w:tc>
          <w:tcPr>
            <w:tcW w:w="1664" w:type="dxa"/>
          </w:tcPr>
          <w:p>
            <w:pPr/>
            <w:r>
              <w:t xml:space="preserve">Expected loss to horizon</w:t>
            </w:r>
          </w:p>
        </w:tc>
        <w:tc>
          <w:tcPr>
            <w:tcW w:w="4248" w:type="dxa"/>
          </w:tcPr>
          <w:p>
            <w:pPr/>
            <w:r>
              <w:rPr>
                <w:rStyle w:val="CodeChar"/>
              </w:rPr>
              <w:t xml:space="preserve">el_h = pd_h × lgd_k_adj × notional</w:t>
            </w:r>
          </w:p>
        </w:tc>
        <w:tc>
          <w:tcPr>
            <w:tcW w:w="3447" w:type="dxa"/>
          </w:tcPr>
          <w:p>
            <w:pPr/>
            <w:r>
              <w:t xml:space="preserve">From Section 7.1</w:t>
            </w:r>
          </w:p>
        </w:tc>
      </w:tr>
      <w:tr>
        <w:tc>
          <w:tcPr>
            <w:tcW w:w="1664" w:type="dxa"/>
          </w:tcPr>
          <w:p>
            <w:pPr/>
            <w:r>
              <w:t xml:space="preserve">Carry</w:t>
            </w:r>
          </w:p>
        </w:tc>
        <w:tc>
          <w:tcPr>
            <w:tcW w:w="4248" w:type="dxa"/>
          </w:tcPr>
          <w:p>
            <w:pPr/>
            <w:r>
              <w:t xml:space="preserve">Coupon accrual plus roll-down minus financing or borrow cost</w:t>
            </w:r>
          </w:p>
        </w:tc>
        <w:tc>
          <w:tcPr>
            <w:tcW w:w="3447" w:type="dxa"/>
          </w:tcPr>
          <w:p>
            <w:pPr/>
            <w:r>
              <w:t xml:space="preserve">Pairs can carry negative (p. 530)</w:t>
            </w:r>
          </w:p>
        </w:tc>
      </w:tr>
      <w:tr>
        <w:tc>
          <w:tcPr>
            <w:tcW w:w="1664" w:type="dxa"/>
          </w:tcPr>
          <w:p>
            <w:pPr/>
            <w:r>
              <w:t xml:space="preserve">Exit cost and days</w:t>
            </w:r>
          </w:p>
        </w:tc>
        <w:tc>
          <w:tcPr>
            <w:tcW w:w="4248" w:type="dxa"/>
          </w:tcPr>
          <w:p>
            <w:pPr/>
            <w:r>
              <w:rPr>
                <w:rStyle w:val="CodeChar"/>
              </w:rPr>
              <w:t xml:space="preserve">bid_ask_bp × sdv01</w:t>
            </w:r>
            <w:r>
              <w:t xml:space="preserve">; </w:t>
            </w:r>
            <w:r>
              <w:rPr>
                <w:rStyle w:val="CodeChar"/>
              </w:rPr>
              <w:t xml:space="preserve">notional / (k × ADV)</w:t>
            </w:r>
          </w:p>
        </w:tc>
        <w:tc>
          <w:tcPr>
            <w:tcW w:w="3447" w:type="dxa"/>
          </w:tcPr>
          <w:p>
            <w:pPr/>
            <w:r>
              <w:t xml:space="preserve">Bid-ask widens in stress (p. 117)</w:t>
            </w:r>
          </w:p>
        </w:tc>
      </w:tr>
      <w:tr>
        <w:tc>
          <w:tcPr>
            <w:tcW w:w="1664" w:type="dxa"/>
          </w:tcPr>
          <w:p>
            <w:pPr/>
            <w:r>
              <w:t xml:space="preserve">Pair sizing by jump-to-default</w:t>
            </w:r>
          </w:p>
        </w:tc>
        <w:tc>
          <w:tcPr>
            <w:tcW w:w="4248" w:type="dxa"/>
          </w:tcPr>
          <w:p>
            <w:pPr/>
            <w:r>
              <w:rPr>
                <w:rStyle w:val="CodeChar"/>
              </w:rPr>
              <w:t xml:space="preserve">N_j / N_k = (P_k - 100 R_k) / (P_j - 100 R_j)</w:t>
            </w:r>
          </w:p>
        </w:tc>
        <w:tc>
          <w:tcPr>
            <w:tcW w:w="3447" w:type="dxa"/>
          </w:tcPr>
          <w:p>
            <w:pPr/>
            <w:r>
              <w:t xml:space="preserve">A DV01-neutral curve trade is not default-neutral; both legs converge to recovery (p. 530)</w:t>
            </w:r>
          </w:p>
        </w:tc>
      </w:tr>
      <w:tr>
        <w:tc>
          <w:tcPr>
            <w:tcW w:w="1664" w:type="dxa"/>
          </w:tcPr>
          <w:p>
            <w:pPr/>
            <w:r>
              <w:t xml:space="preserve">Systematic hedge ratio</w:t>
            </w:r>
          </w:p>
        </w:tc>
        <w:tc>
          <w:tcPr>
            <w:tcW w:w="4248" w:type="dxa"/>
          </w:tcPr>
          <w:p>
            <w:pPr/>
            <w:r>
              <w:rPr>
                <w:rStyle w:val="CodeChar"/>
              </w:rPr>
              <w:t xml:space="preserve">h_i = sdv01_i × ∂s_i / ∂s_mkt</w:t>
            </w:r>
          </w:p>
        </w:tc>
        <w:tc>
          <w:tcPr>
            <w:tcW w:w="3447" w:type="dxa"/>
          </w:tcPr>
          <w:p>
            <w:pPr/>
            <w:r>
              <w:t xml:space="preserve">Pass-through of </w:t>
            </w:r>
            <w:r>
              <w:rPr>
                <w:rStyle w:val="CodeChar"/>
              </w:rPr>
              <w:t xml:space="preserve">κ_t</w:t>
            </w:r>
            <w:r>
              <w:t xml:space="preserve"> from the model; hedge with CDX HY or a sector basket</w:t>
            </w:r>
          </w:p>
        </w:tc>
      </w:tr>
    </w:tbl>
    <w:p>
      <w:pPr>
        <w:pStyle w:val="Heading3"/>
      </w:pPr>
      <w:r>
        <w:t xml:space="preserve">9.4 Event-conditional limits and hedges</w:t>
      </w:r>
    </w:p>
    <w:tbl>
      <w:tblPr>
        <w:tblStyle w:val="TableGrid"/>
        <w:tblW w:w="0" w:type="auto"/>
        <w:tblLayout w:type="fixed"/>
        <w:tblLook w:val="04A0" w:firstRow="1" w:lastRow="0" w:firstColumn="0" w:lastColumn="0" w:noHBand="0" w:noVBand="1"/>
      </w:tblPr>
      <w:tblGrid>
        <w:gridCol w:w="1384"/>
        <w:gridCol w:w="4870"/>
        <w:gridCol w:w="3106"/>
      </w:tblGrid>
      <w:tr>
        <w:trPr>
          <w:tblHeader/>
        </w:trPr>
        <w:tc>
          <w:tcPr>
            <w:tcW w:w="1384" w:type="dxa"/>
            <w:shd w:val="clear" w:color="auto" w:fill="F2F2F2"/>
          </w:tcPr>
          <w:p>
            <w:pPr/>
            <w:r>
              <w:t xml:space="preserve">Rule</w:t>
            </w:r>
          </w:p>
        </w:tc>
        <w:tc>
          <w:tcPr>
            <w:tcW w:w="4870" w:type="dxa"/>
            <w:shd w:val="clear" w:color="auto" w:fill="F2F2F2"/>
          </w:tcPr>
          <w:p>
            <w:pPr/>
            <w:r>
              <w:t xml:space="preserve">Formula</w:t>
            </w:r>
          </w:p>
        </w:tc>
        <w:tc>
          <w:tcPr>
            <w:tcW w:w="3106" w:type="dxa"/>
            <w:shd w:val="clear" w:color="auto" w:fill="F2F2F2"/>
          </w:tcPr>
          <w:p>
            <w:pPr/>
            <w:r>
              <w:t xml:space="preserve">Intuition</w:t>
            </w:r>
          </w:p>
        </w:tc>
      </w:tr>
      <w:tr>
        <w:tc>
          <w:tcPr>
            <w:tcW w:w="1384" w:type="dxa"/>
          </w:tcPr>
          <w:p>
            <w:pPr/>
            <w:r>
              <w:t xml:space="preserve">Band gating</w:t>
            </w:r>
          </w:p>
        </w:tc>
        <w:tc>
          <w:tcPr>
            <w:tcW w:w="4870" w:type="dxa"/>
          </w:tcPr>
          <w:p>
            <w:pPr/>
            <w:r>
              <w:t xml:space="preserve">Position scale proportional to </w:t>
            </w:r>
            <w:r>
              <w:rPr>
                <w:rStyle w:val="CodeChar"/>
              </w:rPr>
              <w:t xml:space="preserve">1 / (q_alpha_t × sigma_x)</w:t>
            </w:r>
          </w:p>
        </w:tc>
        <w:tc>
          <w:tcPr>
            <w:tcW w:w="3106" w:type="dxa"/>
          </w:tcPr>
          <w:p>
            <w:pPr/>
            <w:r>
              <w:t xml:space="preserve">A wide conformal band means the model knows less; size less</w:t>
            </w:r>
          </w:p>
        </w:tc>
      </w:tr>
      <w:tr>
        <w:tc>
          <w:tcPr>
            <w:tcW w:w="1384" w:type="dxa"/>
          </w:tcPr>
          <w:p>
            <w:pPr/>
            <w:r>
              <w:t xml:space="preserve">Pre-event cap</w:t>
            </w:r>
          </w:p>
        </w:tc>
        <w:tc>
          <w:tcPr>
            <w:tcW w:w="4870" w:type="dxa"/>
          </w:tcPr>
          <w:p>
            <w:pPr/>
            <w:r>
              <w:t xml:space="preserve">For an event inside five days, cap notional so that the worst </w:t>
            </w:r>
            <w:r>
              <w:rPr>
                <w:rStyle w:val="CodeChar"/>
              </w:rPr>
              <w:t xml:space="preserve">ΔP_i(o, m)</w:t>
            </w:r>
            <w:r>
              <w:t xml:space="preserve"> stays inside the event budget</w:t>
            </w:r>
          </w:p>
        </w:tc>
        <w:tc>
          <w:tcPr>
            <w:tcW w:w="3106" w:type="dxa"/>
          </w:tcPr>
          <w:p>
            <w:pPr/>
            <w:r>
              <w:t xml:space="preserve">The budget is a fraction of </w:t>
            </w:r>
            <w:r>
              <w:rPr>
                <w:rStyle w:val="CodeChar"/>
              </w:rPr>
              <w:t xml:space="preserve">exp_conv_ret_h</w:t>
            </w:r>
          </w:p>
        </w:tc>
      </w:tr>
      <w:tr>
        <w:tc>
          <w:tcPr>
            <w:tcW w:w="1384" w:type="dxa"/>
          </w:tcPr>
          <w:p>
            <w:pPr/>
            <w:r>
              <w:t xml:space="preserve">Regime limit on jump-to-default</w:t>
            </w:r>
          </w:p>
        </w:tc>
        <w:tc>
          <w:tcPr>
            <w:tcW w:w="4870" w:type="dxa"/>
          </w:tcPr>
          <w:p>
            <w:pPr/>
            <w:r>
              <w:rPr>
                <w:rStyle w:val="CodeChar"/>
              </w:rPr>
              <w:t xml:space="preserve">jtd_limit = jtd_base × g(w_down(m_t))</w:t>
            </w:r>
            <w:r>
              <w:t xml:space="preserve">, with </w:t>
            </w:r>
            <w:r>
              <w:rPr>
                <w:rStyle w:val="CodeChar"/>
              </w:rPr>
              <w:t xml:space="preserve">g</w:t>
            </w:r>
            <w:r>
              <w:t xml:space="preserve"> decreasing</w:t>
            </w:r>
          </w:p>
        </w:tc>
        <w:tc>
          <w:tcPr>
            <w:tcW w:w="3106" w:type="dxa"/>
          </w:tcPr>
          <w:p>
            <w:pPr/>
            <w:r>
              <w:t xml:space="preserve">Cut single-name default exposure as the downside weight rises</w:t>
            </w:r>
          </w:p>
        </w:tc>
      </w:tr>
      <w:tr>
        <w:tc>
          <w:tcPr>
            <w:tcW w:w="1384" w:type="dxa"/>
          </w:tcPr>
          <w:p>
            <w:pPr/>
            <w:r>
              <w:t xml:space="preserve">Wall limit</w:t>
            </w:r>
          </w:p>
        </w:tc>
        <w:tc>
          <w:tcPr>
            <w:tcW w:w="4870" w:type="dxa"/>
          </w:tcPr>
          <w:p>
            <w:pPr/>
            <w:r>
              <w:t xml:space="preserve">Cap gross exposure to issuers with </w:t>
            </w:r>
            <w:r>
              <w:rPr>
                <w:rStyle w:val="CodeChar"/>
              </w:rPr>
              <w:t xml:space="preserve">wall_cover_4 &lt; 1</w:t>
            </w:r>
            <w:r>
              <w:t xml:space="preserve"> by the share of paths in which the primary market is open</w:t>
            </w:r>
          </w:p>
        </w:tc>
        <w:tc>
          <w:tcPr>
            <w:tcW w:w="3106" w:type="dxa"/>
          </w:tcPr>
          <w:p>
            <w:pPr/>
            <w:r>
              <w:t xml:space="preserve">Refinance risk is macro risk</w:t>
            </w:r>
          </w:p>
        </w:tc>
      </w:tr>
      <w:tr>
        <w:tc>
          <w:tcPr>
            <w:tcW w:w="1384" w:type="dxa"/>
          </w:tcPr>
          <w:p>
            <w:pPr/>
            <w:r>
              <w:t xml:space="preserve">Correlated-event limit</w:t>
            </w:r>
          </w:p>
        </w:tc>
        <w:tc>
          <w:tcPr>
            <w:tcW w:w="4870" w:type="dxa"/>
          </w:tcPr>
          <w:p>
            <w:pPr/>
            <w:r>
              <w:t xml:space="preserve">Cap the sum of </w:t>
            </w:r>
            <w:r>
              <w:rPr>
                <w:rStyle w:val="CodeChar"/>
              </w:rPr>
              <w:t xml:space="preserve">jtd</w:t>
            </w:r>
            <w:r>
              <w:t xml:space="preserve"> across issuers that share a sector driver</w:t>
            </w:r>
          </w:p>
        </w:tc>
        <w:tc>
          <w:tcPr>
            <w:tcW w:w="3106" w:type="dxa"/>
          </w:tcPr>
          <w:p>
            <w:pPr/>
            <w:r>
              <w:t xml:space="preserve">One commodity path hits them together</w:t>
            </w:r>
          </w:p>
        </w:tc>
      </w:tr>
      <w:tr>
        <w:tc>
          <w:tcPr>
            <w:tcW w:w="1384" w:type="dxa"/>
          </w:tcPr>
          <w:p>
            <w:pPr/>
            <w:r>
              <w:t xml:space="preserve">Hedge book</w:t>
            </w:r>
          </w:p>
        </w:tc>
        <w:tc>
          <w:tcPr>
            <w:tcW w:w="4870" w:type="dxa"/>
          </w:tcPr>
          <w:p>
            <w:pPr/>
            <w:r>
              <w:t xml:space="preserve">Rate hedge by </w:t>
            </w:r>
            <w:r>
              <w:rPr>
                <w:rStyle w:val="CodeChar"/>
              </w:rPr>
              <w:t xml:space="preserve">rdv01_eff</w:t>
            </w:r>
            <w:r>
              <w:t xml:space="preserve">; spread hedge by </w:t>
            </w:r>
            <w:r>
              <w:rPr>
                <w:rStyle w:val="CodeChar"/>
              </w:rPr>
              <w:t xml:space="preserve">h_i</w:t>
            </w:r>
            <w:r>
              <w:t xml:space="preserve">; residual basis reported</w:t>
            </w:r>
          </w:p>
        </w:tc>
        <w:tc>
          <w:tcPr>
            <w:tcW w:w="3106" w:type="dxa"/>
          </w:tcPr>
          <w:p>
            <w:pPr/>
            <w:r>
              <w:t xml:space="preserve">The residual is the only risk the signal pays for</w:t>
            </w:r>
          </w:p>
        </w:tc>
      </w:tr>
    </w:tbl>
    <w:p>
      <w:pPr>
        <w:pStyle w:val="Heading3"/>
      </w:pPr>
      <w:r>
        <w:t xml:space="preserve">9.5 Post-event update</w:t>
      </w:r>
    </w:p>
    <w:p>
      <w:pPr/>
      <w:r>
        <w:t xml:space="preserve">After the outcome, refresh the features, recompute the fair spread, and clear </w:t>
      </w:r>
      <w:r>
        <w:rPr>
          <w:rStyle w:val="CodeChar"/>
        </w:rPr>
        <w:t xml:space="preserve">event_contaminated</w:t>
      </w:r>
      <w:r>
        <w:t xml:space="preserve"> after five days. Record the realised spread change against the predicted distribution; Section 11 uses the pairs to calibrate </w:t>
      </w:r>
      <w:r>
        <w:rPr>
          <w:rStyle w:val="CodeChar"/>
        </w:rPr>
        <w:t xml:space="preserve">P(o | e, m)</w:t>
      </w:r>
      <w:r>
        <w:t xml:space="preserve"> and the outcome sensitivities. A position whose signal came from S1 re-enters the band test with the new state; a position whose catalyst has passed exits.</w:t>
      </w:r>
    </w:p>
    <w:p>
      <w:pPr>
        <w:pStyle w:val="Heading2"/>
      </w:pPr>
      <w:r>
        <w:t xml:space="preserve">10. Output schemas</w:t>
      </w:r>
    </w:p>
    <w:p>
      <w:pPr/>
      <w:r>
        <w:t xml:space="preserve">Five tables carry the outputs. Every row carries </w:t>
      </w:r>
      <w:r>
        <w:rPr>
          <w:rStyle w:val="CodeChar"/>
        </w:rPr>
        <w:t xml:space="preserve">date</w:t>
      </w:r>
      <w:r>
        <w:t xml:space="preserve"> and </w:t>
      </w:r>
      <w:r>
        <w:rPr>
          <w:rStyle w:val="CodeChar"/>
        </w:rPr>
        <w:t xml:space="preserve">available_at</w:t>
      </w:r>
      <w:r>
        <w:t xml:space="preserve">. Field names match the sections above so a reader can trace each number to its formula.</w:t>
      </w:r>
    </w:p>
    <w:p>
      <w:pPr>
        <w:pStyle w:val="Heading3"/>
      </w:pPr>
      <w:r>
        <w:t xml:space="preserve">10.1 </w:t>
      </w:r>
      <w:r>
        <w:rPr>
          <w:rStyle w:val="CodeChar"/>
        </w:rPr>
        <w:t xml:space="preserve">bond_daily</w:t>
      </w:r>
      <w:r>
        <w:t xml:space="preserve"> (one row per bond per day)</w:t>
      </w:r>
    </w:p>
    <w:tbl>
      <w:tblPr>
        <w:tblStyle w:val="TableGrid"/>
        <w:tblW w:w="0" w:type="auto"/>
        <w:tblLayout w:type="fixed"/>
        <w:tblLook w:val="04A0" w:firstRow="1" w:lastRow="0" w:firstColumn="0" w:lastColumn="0" w:noHBand="0" w:noVBand="1"/>
      </w:tblPr>
      <w:tblGrid>
        <w:gridCol w:w="2277"/>
        <w:gridCol w:w="7082"/>
      </w:tblGrid>
      <w:tr>
        <w:trPr>
          <w:tblHeader/>
        </w:trPr>
        <w:tc>
          <w:tcPr>
            <w:tcW w:w="2277" w:type="dxa"/>
            <w:shd w:val="clear" w:color="auto" w:fill="F2F2F2"/>
          </w:tcPr>
          <w:p>
            <w:pPr/>
            <w:r>
              <w:t xml:space="preserve">Group</w:t>
            </w:r>
          </w:p>
        </w:tc>
        <w:tc>
          <w:tcPr>
            <w:tcW w:w="7082" w:type="dxa"/>
            <w:shd w:val="clear" w:color="auto" w:fill="F2F2F2"/>
          </w:tcPr>
          <w:p>
            <w:pPr/>
            <w:r>
              <w:t xml:space="preserve">Fields</w:t>
            </w:r>
          </w:p>
        </w:tc>
      </w:tr>
      <w:tr>
        <w:tc>
          <w:tcPr>
            <w:tcW w:w="2277" w:type="dxa"/>
          </w:tcPr>
          <w:p>
            <w:pPr/>
            <w:r>
              <w:t xml:space="preserve">Keys</w:t>
            </w:r>
          </w:p>
        </w:tc>
        <w:tc>
          <w:tcPr>
            <w:tcW w:w="7082" w:type="dxa"/>
          </w:tcPr>
          <w:p>
            <w:pPr/>
            <w:r>
              <w:rPr>
                <w:rStyle w:val="CodeChar"/>
              </w:rPr>
              <w:t xml:space="preserve">date</w:t>
            </w:r>
            <w:r>
              <w:t xml:space="preserve">, </w:t>
            </w:r>
            <w:r>
              <w:rPr>
                <w:rStyle w:val="CodeChar"/>
              </w:rPr>
              <w:t xml:space="preserve">cusip</w:t>
            </w:r>
            <w:r>
              <w:t xml:space="preserve">, </w:t>
            </w:r>
            <w:r>
              <w:rPr>
                <w:rStyle w:val="CodeChar"/>
              </w:rPr>
              <w:t xml:space="preserve">issuer_id</w:t>
            </w:r>
            <w:r>
              <w:t xml:space="preserve">, </w:t>
            </w:r>
            <w:r>
              <w:rPr>
                <w:rStyle w:val="CodeChar"/>
              </w:rPr>
              <w:t xml:space="preserve">tranche_id</w:t>
            </w:r>
          </w:p>
        </w:tc>
      </w:tr>
      <w:tr>
        <w:tc>
          <w:tcPr>
            <w:tcW w:w="2277" w:type="dxa"/>
          </w:tcPr>
          <w:p>
            <w:pPr/>
            <w:r>
              <w:t xml:space="preserve">Market</w:t>
            </w:r>
          </w:p>
        </w:tc>
        <w:tc>
          <w:tcPr>
            <w:tcW w:w="7082" w:type="dxa"/>
          </w:tcPr>
          <w:p>
            <w:pPr/>
            <w:r>
              <w:rPr>
                <w:rStyle w:val="CodeChar"/>
              </w:rPr>
              <w:t xml:space="preserve">price_mid</w:t>
            </w:r>
            <w:r>
              <w:t xml:space="preserve">, </w:t>
            </w:r>
            <w:r>
              <w:rPr>
                <w:rStyle w:val="CodeChar"/>
              </w:rPr>
              <w:t xml:space="preserve">oas</w:t>
            </w:r>
            <w:r>
              <w:t xml:space="preserve">, </w:t>
            </w:r>
            <w:r>
              <w:rPr>
                <w:rStyle w:val="CodeChar"/>
              </w:rPr>
              <w:t xml:space="preserve">ytw</w:t>
            </w:r>
            <w:r>
              <w:t xml:space="preserve">, </w:t>
            </w:r>
            <w:r>
              <w:rPr>
                <w:rStyle w:val="CodeChar"/>
              </w:rPr>
              <w:t xml:space="preserve">spread_duration</w:t>
            </w:r>
            <w:r>
              <w:t xml:space="preserve">, </w:t>
            </w:r>
            <w:r>
              <w:rPr>
                <w:rStyle w:val="CodeChar"/>
              </w:rPr>
              <w:t xml:space="preserve">mod_duration</w:t>
            </w:r>
            <w:r>
              <w:t xml:space="preserve">, </w:t>
            </w:r>
            <w:r>
              <w:rPr>
                <w:rStyle w:val="CodeChar"/>
              </w:rPr>
              <w:t xml:space="preserve">bid_ask_bp</w:t>
            </w:r>
            <w:r>
              <w:t xml:space="preserve">, </w:t>
            </w:r>
            <w:r>
              <w:rPr>
                <w:rStyle w:val="CodeChar"/>
              </w:rPr>
              <w:t xml:space="preserve">adv</w:t>
            </w:r>
          </w:p>
        </w:tc>
      </w:tr>
      <w:tr>
        <w:tc>
          <w:tcPr>
            <w:tcW w:w="2277" w:type="dxa"/>
          </w:tcPr>
          <w:p>
            <w:pPr/>
            <w:r>
              <w:t xml:space="preserve">Fair spread</w:t>
            </w:r>
          </w:p>
        </w:tc>
        <w:tc>
          <w:tcPr>
            <w:tcW w:w="7082" w:type="dxa"/>
          </w:tcPr>
          <w:p>
            <w:pPr/>
            <w:r>
              <w:rPr>
                <w:rStyle w:val="CodeChar"/>
              </w:rPr>
              <w:t xml:space="preserve">s_el</w:t>
            </w:r>
            <w:r>
              <w:t xml:space="preserve">, </w:t>
            </w:r>
            <w:r>
              <w:rPr>
                <w:rStyle w:val="CodeChar"/>
              </w:rPr>
              <w:t xml:space="preserve">kappa_t</w:t>
            </w:r>
            <w:r>
              <w:t xml:space="preserve">, </w:t>
            </w:r>
            <w:r>
              <w:rPr>
                <w:rStyle w:val="CodeChar"/>
              </w:rPr>
              <w:t xml:space="preserve">s_anchor</w:t>
            </w:r>
            <w:r>
              <w:t xml:space="preserve">, </w:t>
            </w:r>
            <w:r>
              <w:rPr>
                <w:rStyle w:val="CodeChar"/>
              </w:rPr>
              <w:t xml:space="preserve">eta_sector_t</w:t>
            </w:r>
            <w:r>
              <w:t xml:space="preserve">, </w:t>
            </w:r>
            <w:r>
              <w:rPr>
                <w:rStyle w:val="CodeChar"/>
              </w:rPr>
              <w:t xml:space="preserve">s_fair</w:t>
            </w:r>
          </w:p>
        </w:tc>
      </w:tr>
      <w:tr>
        <w:tc>
          <w:tcPr>
            <w:tcW w:w="2277" w:type="dxa"/>
          </w:tcPr>
          <w:p>
            <w:pPr/>
            <w:r>
              <w:t xml:space="preserve">Mispricing</w:t>
            </w:r>
          </w:p>
        </w:tc>
        <w:tc>
          <w:tcPr>
            <w:tcW w:w="7082" w:type="dxa"/>
          </w:tcPr>
          <w:p>
            <w:pPr/>
            <w:r>
              <w:rPr>
                <w:rStyle w:val="CodeChar"/>
              </w:rPr>
              <w:t xml:space="preserve">resid_bp</w:t>
            </w:r>
            <w:r>
              <w:t xml:space="preserve">, </w:t>
            </w:r>
            <w:r>
              <w:rPr>
                <w:rStyle w:val="CodeChar"/>
              </w:rPr>
              <w:t xml:space="preserve">resid_log</w:t>
            </w:r>
            <w:r>
              <w:t xml:space="preserve">, </w:t>
            </w:r>
            <w:r>
              <w:rPr>
                <w:rStyle w:val="CodeChar"/>
              </w:rPr>
              <w:t xml:space="preserve">sigma_x</w:t>
            </w:r>
            <w:r>
              <w:t xml:space="preserve">, </w:t>
            </w:r>
            <w:r>
              <w:rPr>
                <w:rStyle w:val="CodeChar"/>
              </w:rPr>
              <w:t xml:space="preserve">z</w:t>
            </w:r>
            <w:r>
              <w:t xml:space="preserve">, </w:t>
            </w:r>
            <w:r>
              <w:rPr>
                <w:rStyle w:val="CodeChar"/>
              </w:rPr>
              <w:t xml:space="preserve">q_alpha_t</w:t>
            </w:r>
            <w:r>
              <w:t xml:space="preserve">, </w:t>
            </w:r>
            <w:r>
              <w:rPr>
                <w:rStyle w:val="CodeChar"/>
              </w:rPr>
              <w:t xml:space="preserve">flag_cheap</w:t>
            </w:r>
            <w:r>
              <w:t xml:space="preserve">, </w:t>
            </w:r>
            <w:r>
              <w:rPr>
                <w:rStyle w:val="CodeChar"/>
              </w:rPr>
              <w:t xml:space="preserve">flag_rich</w:t>
            </w:r>
            <w:r>
              <w:t xml:space="preserve">, </w:t>
            </w:r>
            <w:r>
              <w:rPr>
                <w:rStyle w:val="CodeChar"/>
              </w:rPr>
              <w:t xml:space="preserve">rho</w:t>
            </w:r>
            <w:r>
              <w:t xml:space="preserve">, </w:t>
            </w:r>
            <w:r>
              <w:rPr>
                <w:rStyle w:val="CodeChar"/>
              </w:rPr>
              <w:t xml:space="preserve">half_life</w:t>
            </w:r>
            <w:r>
              <w:t xml:space="preserve">, </w:t>
            </w:r>
            <w:r>
              <w:rPr>
                <w:rStyle w:val="CodeChar"/>
              </w:rPr>
              <w:t xml:space="preserve">exp_conv_ret_h</w:t>
            </w:r>
            <w:r>
              <w:t xml:space="preserve">, </w:t>
            </w:r>
            <w:r>
              <w:rPr>
                <w:rStyle w:val="CodeChar"/>
              </w:rPr>
              <w:t xml:space="preserve">event_contaminated</w:t>
            </w:r>
          </w:p>
        </w:tc>
      </w:tr>
      <w:tr>
        <w:tc>
          <w:tcPr>
            <w:tcW w:w="2277" w:type="dxa"/>
          </w:tcPr>
          <w:p>
            <w:pPr/>
            <w:r>
              <w:t xml:space="preserve">Signals</w:t>
            </w:r>
          </w:p>
        </w:tc>
        <w:tc>
          <w:tcPr>
            <w:tcW w:w="7082" w:type="dxa"/>
          </w:tcPr>
          <w:p>
            <w:pPr/>
            <w:r>
              <w:rPr>
                <w:rStyle w:val="CodeChar"/>
              </w:rPr>
              <w:t xml:space="preserve">s1</w:t>
            </w:r>
            <w:r>
              <w:t xml:space="preserve"> to </w:t>
            </w:r>
            <w:r>
              <w:rPr>
                <w:rStyle w:val="CodeChar"/>
              </w:rPr>
              <w:t xml:space="preserve">s7</w:t>
            </w:r>
            <w:r>
              <w:t xml:space="preserve">, </w:t>
            </w:r>
            <w:r>
              <w:rPr>
                <w:rStyle w:val="CodeChar"/>
              </w:rPr>
              <w:t xml:space="preserve">composite</w:t>
            </w:r>
            <w:r>
              <w:t xml:space="preserve">, </w:t>
            </w:r>
            <w:r>
              <w:rPr>
                <w:rStyle w:val="CodeChar"/>
              </w:rPr>
              <w:t xml:space="preserve">force_rank</w:t>
            </w:r>
            <w:r>
              <w:t xml:space="preserve">, </w:t>
            </w:r>
            <w:r>
              <w:rPr>
                <w:rStyle w:val="CodeChar"/>
              </w:rPr>
              <w:t xml:space="preserve">replaces_position</w:t>
            </w:r>
          </w:p>
        </w:tc>
      </w:tr>
      <w:tr>
        <w:tc>
          <w:tcPr>
            <w:tcW w:w="2277" w:type="dxa"/>
          </w:tcPr>
          <w:p>
            <w:pPr/>
            <w:r>
              <w:t xml:space="preserve">Sensitivities</w:t>
            </w:r>
          </w:p>
        </w:tc>
        <w:tc>
          <w:tcPr>
            <w:tcW w:w="7082" w:type="dxa"/>
          </w:tcPr>
          <w:p>
            <w:pPr/>
            <w:r>
              <w:rPr>
                <w:rStyle w:val="CodeChar"/>
              </w:rPr>
              <w:t xml:space="preserve">beta_mkt</w:t>
            </w:r>
            <w:r>
              <w:t xml:space="preserve">, </w:t>
            </w:r>
            <w:r>
              <w:rPr>
                <w:rStyle w:val="CodeChar"/>
              </w:rPr>
              <w:t xml:space="preserve">beta_g</w:t>
            </w:r>
            <w:r>
              <w:t xml:space="preserve">, </w:t>
            </w:r>
            <w:r>
              <w:rPr>
                <w:rStyle w:val="CodeChar"/>
              </w:rPr>
              <w:t xml:space="preserve">beta_p</w:t>
            </w:r>
            <w:r>
              <w:t xml:space="preserve">, </w:t>
            </w:r>
            <w:r>
              <w:rPr>
                <w:rStyle w:val="CodeChar"/>
              </w:rPr>
              <w:t xml:space="preserve">sdv01_per_mm</w:t>
            </w:r>
            <w:r>
              <w:t xml:space="preserve">, </w:t>
            </w:r>
            <w:r>
              <w:rPr>
                <w:rStyle w:val="CodeChar"/>
              </w:rPr>
              <w:t xml:space="preserve">rdv01_eff_per_mm</w:t>
            </w:r>
          </w:p>
        </w:tc>
      </w:tr>
      <w:tr>
        <w:tc>
          <w:tcPr>
            <w:tcW w:w="2277" w:type="dxa"/>
          </w:tcPr>
          <w:p>
            <w:pPr/>
            <w:r>
              <w:t xml:space="preserve">Default risk</w:t>
            </w:r>
          </w:p>
        </w:tc>
        <w:tc>
          <w:tcPr>
            <w:tcW w:w="7082" w:type="dxa"/>
          </w:tcPr>
          <w:p>
            <w:pPr/>
            <w:r>
              <w:rPr>
                <w:rStyle w:val="CodeChar"/>
              </w:rPr>
              <w:t xml:space="preserve">pd_12m</w:t>
            </w:r>
            <w:r>
              <w:t xml:space="preserve">, </w:t>
            </w:r>
            <w:r>
              <w:rPr>
                <w:rStyle w:val="CodeChar"/>
              </w:rPr>
              <w:t xml:space="preserve">pd_5y</w:t>
            </w:r>
            <w:r>
              <w:t xml:space="preserve">, </w:t>
            </w:r>
            <w:r>
              <w:rPr>
                <w:rStyle w:val="CodeChar"/>
              </w:rPr>
              <w:t xml:space="preserve">lgd_k_adj</w:t>
            </w:r>
            <w:r>
              <w:t xml:space="preserve">, </w:t>
            </w:r>
            <w:r>
              <w:rPr>
                <w:rStyle w:val="CodeChar"/>
              </w:rPr>
              <w:t xml:space="preserve">recovery_price_k</w:t>
            </w:r>
            <w:r>
              <w:t xml:space="preserve">, </w:t>
            </w:r>
            <w:r>
              <w:rPr>
                <w:rStyle w:val="CodeChar"/>
              </w:rPr>
              <w:t xml:space="preserve">jtd_per_mm</w:t>
            </w:r>
            <w:r>
              <w:t xml:space="preserve">, </w:t>
            </w:r>
            <w:r>
              <w:rPr>
                <w:rStyle w:val="CodeChar"/>
              </w:rPr>
              <w:t xml:space="preserve">el_h</w:t>
            </w:r>
          </w:p>
        </w:tc>
      </w:tr>
      <w:tr>
        <w:tc>
          <w:tcPr>
            <w:tcW w:w="2277" w:type="dxa"/>
          </w:tcPr>
          <w:p>
            <w:pPr/>
            <w:r>
              <w:t xml:space="preserve">Next event</w:t>
            </w:r>
          </w:p>
        </w:tc>
        <w:tc>
          <w:tcPr>
            <w:tcW w:w="7082" w:type="dxa"/>
          </w:tcPr>
          <w:p>
            <w:pPr/>
            <w:r>
              <w:rPr>
                <w:rStyle w:val="CodeChar"/>
              </w:rPr>
              <w:t xml:space="preserve">next_event_type</w:t>
            </w:r>
            <w:r>
              <w:t xml:space="preserve">, </w:t>
            </w:r>
            <w:r>
              <w:rPr>
                <w:rStyle w:val="CodeChar"/>
              </w:rPr>
              <w:t xml:space="preserve">next_event_date</w:t>
            </w:r>
            <w:r>
              <w:t xml:space="preserve">, </w:t>
            </w:r>
            <w:r>
              <w:rPr>
                <w:rStyle w:val="CodeChar"/>
              </w:rPr>
              <w:t xml:space="preserve">event_var_alpha</w:t>
            </w:r>
            <w:r>
              <w:t xml:space="preserve">, </w:t>
            </w:r>
            <w:r>
              <w:rPr>
                <w:rStyle w:val="CodeChar"/>
              </w:rPr>
              <w:t xml:space="preserve">worst_outcome_pnl</w:t>
            </w:r>
          </w:p>
        </w:tc>
      </w:tr>
    </w:tbl>
    <w:p>
      <w:pPr>
        <w:pStyle w:val="Heading3"/>
      </w:pPr>
      <w:r>
        <w:t xml:space="preserve">10.2 </w:t>
      </w:r>
      <w:r>
        <w:rPr>
          <w:rStyle w:val="CodeChar"/>
        </w:rPr>
        <w:t xml:space="preserve">issuer_state</w:t>
      </w:r>
      <w:r>
        <w:t xml:space="preserve"> (one row per issuer per filing or re-estimate)</w:t>
      </w:r>
    </w:p>
    <w:tbl>
      <w:tblPr>
        <w:tblStyle w:val="TableGrid"/>
        <w:tblW w:w="0" w:type="auto"/>
        <w:tblLayout w:type="fixed"/>
        <w:tblLook w:val="04A0" w:firstRow="1" w:lastRow="0" w:firstColumn="0" w:lastColumn="0" w:noHBand="0" w:noVBand="1"/>
      </w:tblPr>
      <w:tblGrid>
        <w:gridCol w:w="3213"/>
        <w:gridCol w:w="6146"/>
      </w:tblGrid>
      <w:tr>
        <w:trPr>
          <w:tblHeader/>
        </w:trPr>
        <w:tc>
          <w:tcPr>
            <w:tcW w:w="3213" w:type="dxa"/>
            <w:shd w:val="clear" w:color="auto" w:fill="F2F2F2"/>
          </w:tcPr>
          <w:p>
            <w:pPr/>
            <w:r>
              <w:t xml:space="preserve">Group</w:t>
            </w:r>
          </w:p>
        </w:tc>
        <w:tc>
          <w:tcPr>
            <w:tcW w:w="6146" w:type="dxa"/>
            <w:shd w:val="clear" w:color="auto" w:fill="F2F2F2"/>
          </w:tcPr>
          <w:p>
            <w:pPr/>
            <w:r>
              <w:t xml:space="preserve">Fields</w:t>
            </w:r>
          </w:p>
        </w:tc>
      </w:tr>
      <w:tr>
        <w:tc>
          <w:tcPr>
            <w:tcW w:w="3213" w:type="dxa"/>
          </w:tcPr>
          <w:p>
            <w:pPr/>
            <w:r>
              <w:t xml:space="preserve">Keys</w:t>
            </w:r>
          </w:p>
        </w:tc>
        <w:tc>
          <w:tcPr>
            <w:tcW w:w="6146" w:type="dxa"/>
          </w:tcPr>
          <w:p>
            <w:pPr/>
            <w:r>
              <w:rPr>
                <w:rStyle w:val="CodeChar"/>
              </w:rPr>
              <w:t xml:space="preserve">date</w:t>
            </w:r>
            <w:r>
              <w:t xml:space="preserve">, </w:t>
            </w:r>
            <w:r>
              <w:rPr>
                <w:rStyle w:val="CodeChar"/>
              </w:rPr>
              <w:t xml:space="preserve">issuer_id</w:t>
            </w:r>
            <w:r>
              <w:t xml:space="preserve">, </w:t>
            </w:r>
            <w:r>
              <w:rPr>
                <w:rStyle w:val="CodeChar"/>
              </w:rPr>
              <w:t xml:space="preserve">filing_date</w:t>
            </w:r>
            <w:r>
              <w:t xml:space="preserve">, </w:t>
            </w:r>
            <w:r>
              <w:rPr>
                <w:rStyle w:val="CodeChar"/>
              </w:rPr>
              <w:t xml:space="preserve">available_at</w:t>
            </w:r>
            <w:r>
              <w:t xml:space="preserve">, </w:t>
            </w:r>
            <w:r>
              <w:rPr>
                <w:rStyle w:val="CodeChar"/>
              </w:rPr>
              <w:t xml:space="preserve">forecast_source</w:t>
            </w:r>
          </w:p>
        </w:tc>
      </w:tr>
      <w:tr>
        <w:tc>
          <w:tcPr>
            <w:tcW w:w="3213" w:type="dxa"/>
          </w:tcPr>
          <w:p>
            <w:pPr/>
            <w:r>
              <w:t xml:space="preserve">Profitability</w:t>
            </w:r>
          </w:p>
        </w:tc>
        <w:tc>
          <w:tcPr>
            <w:tcW w:w="6146" w:type="dxa"/>
          </w:tcPr>
          <w:p>
            <w:pPr/>
            <w:r>
              <w:rPr>
                <w:rStyle w:val="CodeChar"/>
              </w:rPr>
              <w:t xml:space="preserve">ebitda_adj_analyst</w:t>
            </w:r>
            <w:r>
              <w:t xml:space="preserve">, </w:t>
            </w:r>
            <w:r>
              <w:rPr>
                <w:rStyle w:val="CodeChar"/>
              </w:rPr>
              <w:t xml:space="preserve">addback_gap</w:t>
            </w:r>
            <w:r>
              <w:t xml:space="preserve">, </w:t>
            </w:r>
            <w:r>
              <w:rPr>
                <w:rStyle w:val="CodeChar"/>
              </w:rPr>
              <w:t xml:space="preserve">covenant_gap</w:t>
            </w:r>
            <w:r>
              <w:t xml:space="preserve">, </w:t>
            </w:r>
            <w:r>
              <w:rPr>
                <w:rStyle w:val="CodeChar"/>
              </w:rPr>
              <w:t xml:space="preserve">margin</w:t>
            </w:r>
            <w:r>
              <w:t xml:space="preserve">, </w:t>
            </w:r>
            <w:r>
              <w:rPr>
                <w:rStyle w:val="CodeChar"/>
              </w:rPr>
              <w:t xml:space="preserve">margin_trend</w:t>
            </w:r>
            <w:r>
              <w:t xml:space="preserve">, </w:t>
            </w:r>
            <w:r>
              <w:rPr>
                <w:rStyle w:val="CodeChar"/>
              </w:rPr>
              <w:t xml:space="preserve">margin_peer_gap</w:t>
            </w:r>
            <w:r>
              <w:t xml:space="preserve">, </w:t>
            </w:r>
            <w:r>
              <w:rPr>
                <w:rStyle w:val="CodeChar"/>
              </w:rPr>
              <w:t xml:space="preserve">organic_growth</w:t>
            </w:r>
            <w:r>
              <w:t xml:space="preserve">, </w:t>
            </w:r>
            <w:r>
              <w:rPr>
                <w:rStyle w:val="CodeChar"/>
              </w:rPr>
              <w:t xml:space="preserve">book_to_bill</w:t>
            </w:r>
            <w:r>
              <w:t xml:space="preserve">, </w:t>
            </w:r>
            <w:r>
              <w:rPr>
                <w:rStyle w:val="CodeChar"/>
              </w:rPr>
              <w:t xml:space="preserve">surprise</w:t>
            </w:r>
            <w:r>
              <w:t xml:space="preserve">, </w:t>
            </w:r>
            <w:r>
              <w:rPr>
                <w:rStyle w:val="CodeChar"/>
              </w:rPr>
              <w:t xml:space="preserve">eq_flags_sum</w:t>
            </w:r>
          </w:p>
        </w:tc>
      </w:tr>
      <w:tr>
        <w:tc>
          <w:tcPr>
            <w:tcW w:w="3213" w:type="dxa"/>
          </w:tcPr>
          <w:p>
            <w:pPr/>
            <w:r>
              <w:t xml:space="preserve">Cash and liquidity</w:t>
            </w:r>
          </w:p>
        </w:tc>
        <w:tc>
          <w:tcPr>
            <w:tcW w:w="6146" w:type="dxa"/>
          </w:tcPr>
          <w:p>
            <w:pPr/>
            <w:r>
              <w:rPr>
                <w:rStyle w:val="CodeChar"/>
              </w:rPr>
              <w:t xml:space="preserve">fcf</w:t>
            </w:r>
            <w:r>
              <w:t xml:space="preserve">, </w:t>
            </w:r>
            <w:r>
              <w:rPr>
                <w:rStyle w:val="CodeChar"/>
              </w:rPr>
              <w:t xml:space="preserve">fcf_conversion</w:t>
            </w:r>
            <w:r>
              <w:t xml:space="preserve">, </w:t>
            </w:r>
            <w:r>
              <w:rPr>
                <w:rStyle w:val="CodeChar"/>
              </w:rPr>
              <w:t xml:space="preserve">fcf_to_debt</w:t>
            </w:r>
            <w:r>
              <w:t xml:space="preserve">, </w:t>
            </w:r>
            <w:r>
              <w:rPr>
                <w:rStyle w:val="CodeChar"/>
              </w:rPr>
              <w:t xml:space="preserve">cash_cycle</w:t>
            </w:r>
            <w:r>
              <w:t xml:space="preserve">, </w:t>
            </w:r>
            <w:r>
              <w:rPr>
                <w:rStyle w:val="CodeChar"/>
              </w:rPr>
              <w:t xml:space="preserve">payable_days_trend</w:t>
            </w:r>
            <w:r>
              <w:t xml:space="preserve">, </w:t>
            </w:r>
            <w:r>
              <w:rPr>
                <w:rStyle w:val="CodeChar"/>
              </w:rPr>
              <w:t xml:space="preserve">liquidity_L</w:t>
            </w:r>
            <w:r>
              <w:t xml:space="preserve">, </w:t>
            </w:r>
            <w:r>
              <w:rPr>
                <w:rStyle w:val="CodeChar"/>
              </w:rPr>
              <w:t xml:space="preserve">runway_q</w:t>
            </w:r>
            <w:r>
              <w:t xml:space="preserve">, </w:t>
            </w:r>
            <w:r>
              <w:rPr>
                <w:rStyle w:val="CodeChar"/>
              </w:rPr>
              <w:t xml:space="preserve">wall_cover_4</w:t>
            </w:r>
            <w:r>
              <w:t xml:space="preserve">, </w:t>
            </w:r>
            <w:r>
              <w:rPr>
                <w:rStyle w:val="CodeChar"/>
              </w:rPr>
              <w:t xml:space="preserve">wall_cover_8</w:t>
            </w:r>
            <w:r>
              <w:t xml:space="preserve">, </w:t>
            </w:r>
            <w:r>
              <w:rPr>
                <w:rStyle w:val="CodeChar"/>
              </w:rPr>
              <w:t xml:space="preserve">capex_flex</w:t>
            </w:r>
            <w:r>
              <w:t xml:space="preserve">, </w:t>
            </w:r>
            <w:r>
              <w:rPr>
                <w:rStyle w:val="CodeChar"/>
              </w:rPr>
              <w:t xml:space="preserve">refi_access</w:t>
            </w:r>
          </w:p>
        </w:tc>
      </w:tr>
      <w:tr>
        <w:tc>
          <w:tcPr>
            <w:tcW w:w="3213" w:type="dxa"/>
          </w:tcPr>
          <w:p>
            <w:pPr/>
            <w:r>
              <w:t xml:space="preserve">Capital structure</w:t>
            </w:r>
          </w:p>
        </w:tc>
        <w:tc>
          <w:tcPr>
            <w:tcW w:w="6146" w:type="dxa"/>
          </w:tcPr>
          <w:p>
            <w:pPr/>
            <w:r>
              <w:rPr>
                <w:rStyle w:val="CodeChar"/>
              </w:rPr>
              <w:t xml:space="preserve">lev_adj_total</w:t>
            </w:r>
            <w:r>
              <w:t xml:space="preserve">, </w:t>
            </w:r>
            <w:r>
              <w:rPr>
                <w:rStyle w:val="CodeChar"/>
              </w:rPr>
              <w:t xml:space="preserve">net_lev</w:t>
            </w:r>
            <w:r>
              <w:t xml:space="preserve">, </w:t>
            </w:r>
            <w:r>
              <w:rPr>
                <w:rStyle w:val="CodeChar"/>
              </w:rPr>
              <w:t xml:space="preserve">coverage</w:t>
            </w:r>
            <w:r>
              <w:t xml:space="preserve">, </w:t>
            </w:r>
            <w:r>
              <w:rPr>
                <w:rStyle w:val="CodeChar"/>
              </w:rPr>
              <w:t xml:space="preserve">lev_lease_adj</w:t>
            </w:r>
            <w:r>
              <w:t xml:space="preserve">, </w:t>
            </w:r>
            <w:r>
              <w:rPr>
                <w:rStyle w:val="CodeChar"/>
              </w:rPr>
              <w:t xml:space="preserve">debt_adj</w:t>
            </w:r>
          </w:p>
        </w:tc>
      </w:tr>
      <w:tr>
        <w:tc>
          <w:tcPr>
            <w:tcW w:w="3213" w:type="dxa"/>
          </w:tcPr>
          <w:p>
            <w:pPr/>
            <w:r>
              <w:t xml:space="preserve">Qualitative</w:t>
            </w:r>
          </w:p>
        </w:tc>
        <w:tc>
          <w:tcPr>
            <w:tcW w:w="6146" w:type="dxa"/>
          </w:tcPr>
          <w:p>
            <w:pPr/>
            <w:r>
              <w:rPr>
                <w:rStyle w:val="CodeChar"/>
              </w:rPr>
              <w:t xml:space="preserve">q_vector[10]</w:t>
            </w:r>
            <w:r>
              <w:t xml:space="preserve">, </w:t>
            </w:r>
            <w:r>
              <w:rPr>
                <w:rStyle w:val="CodeChar"/>
              </w:rPr>
              <w:t xml:space="preserve">q_score</w:t>
            </w:r>
            <w:r>
              <w:t xml:space="preserve">, </w:t>
            </w:r>
            <w:r>
              <w:rPr>
                <w:rStyle w:val="CodeChar"/>
              </w:rPr>
              <w:t xml:space="preserve">mgmt_change</w:t>
            </w:r>
            <w:r>
              <w:t xml:space="preserve">, </w:t>
            </w:r>
            <w:r>
              <w:rPr>
                <w:rStyle w:val="CodeChar"/>
              </w:rPr>
              <w:t xml:space="preserve">sponsor_behavior</w:t>
            </w:r>
          </w:p>
        </w:tc>
      </w:tr>
      <w:tr>
        <w:tc>
          <w:tcPr>
            <w:tcW w:w="3213" w:type="dxa"/>
          </w:tcPr>
          <w:p>
            <w:pPr/>
            <w:r>
              <w:t xml:space="preserve">Ratings and covenants</w:t>
            </w:r>
          </w:p>
        </w:tc>
        <w:tc>
          <w:tcPr>
            <w:tcW w:w="6146" w:type="dxa"/>
          </w:tcPr>
          <w:p>
            <w:pPr/>
            <w:r>
              <w:rPr>
                <w:rStyle w:val="CodeChar"/>
              </w:rPr>
              <w:t xml:space="preserve">rating_agency</w:t>
            </w:r>
            <w:r>
              <w:t xml:space="preserve">, </w:t>
            </w:r>
            <w:r>
              <w:rPr>
                <w:rStyle w:val="CodeChar"/>
              </w:rPr>
              <w:t xml:space="preserve">rating_model</w:t>
            </w:r>
            <w:r>
              <w:t xml:space="preserve">, </w:t>
            </w:r>
            <w:r>
              <w:rPr>
                <w:rStyle w:val="CodeChar"/>
              </w:rPr>
              <w:t xml:space="preserve">gap_rating</w:t>
            </w:r>
            <w:r>
              <w:t xml:space="preserve">, </w:t>
            </w:r>
            <w:r>
              <w:rPr>
                <w:rStyle w:val="CodeChar"/>
              </w:rPr>
              <w:t xml:space="preserve">H_t</w:t>
            </w:r>
            <w:r>
              <w:t xml:space="preserve">, </w:t>
            </w:r>
            <w:r>
              <w:rPr>
                <w:rStyle w:val="CodeChar"/>
              </w:rPr>
              <w:t xml:space="preserve">test_date</w:t>
            </w:r>
            <w:r>
              <w:t xml:space="preserve">, </w:t>
            </w:r>
            <w:r>
              <w:rPr>
                <w:rStyle w:val="CodeChar"/>
              </w:rPr>
              <w:t xml:space="preserve">rp_capacity</w:t>
            </w:r>
            <w:r>
              <w:t xml:space="preserve">, </w:t>
            </w:r>
            <w:r>
              <w:rPr>
                <w:rStyle w:val="CodeChar"/>
              </w:rPr>
              <w:t xml:space="preserve">debt_capacity</w:t>
            </w:r>
            <w:r>
              <w:t xml:space="preserve">, </w:t>
            </w:r>
            <w:r>
              <w:rPr>
                <w:rStyle w:val="CodeChar"/>
              </w:rPr>
              <w:t xml:space="preserve">lien_capacity</w:t>
            </w:r>
            <w:r>
              <w:t xml:space="preserve">, </w:t>
            </w:r>
            <w:r>
              <w:rPr>
                <w:rStyle w:val="CodeChar"/>
              </w:rPr>
              <w:t xml:space="preserve">investment_capacity</w:t>
            </w:r>
          </w:p>
        </w:tc>
      </w:tr>
      <w:tr>
        <w:tc>
          <w:tcPr>
            <w:tcW w:w="3213" w:type="dxa"/>
          </w:tcPr>
          <w:p>
            <w:pPr/>
            <w:r>
              <w:t xml:space="preserve">Forward</w:t>
            </w:r>
          </w:p>
        </w:tc>
        <w:tc>
          <w:tcPr>
            <w:tcW w:w="6146" w:type="dxa"/>
          </w:tcPr>
          <w:p>
            <w:pPr/>
            <w:r>
              <w:rPr>
                <w:rStyle w:val="CodeChar"/>
              </w:rPr>
              <w:t xml:space="preserve">lev_fwd_4</w:t>
            </w:r>
            <w:r>
              <w:t xml:space="preserve">, </w:t>
            </w:r>
            <w:r>
              <w:rPr>
                <w:rStyle w:val="CodeChar"/>
              </w:rPr>
              <w:t xml:space="preserve">lev_fwd_8</w:t>
            </w:r>
            <w:r>
              <w:t xml:space="preserve">, </w:t>
            </w:r>
            <w:r>
              <w:rPr>
                <w:rStyle w:val="CodeChar"/>
              </w:rPr>
              <w:t xml:space="preserve">delev_4</w:t>
            </w:r>
            <w:r>
              <w:t xml:space="preserve">, </w:t>
            </w:r>
            <w:r>
              <w:rPr>
                <w:rStyle w:val="CodeChar"/>
              </w:rPr>
              <w:t xml:space="preserve">lev_fwd_sd_4</w:t>
            </w:r>
            <w:r>
              <w:t xml:space="preserve">, </w:t>
            </w:r>
            <w:r>
              <w:rPr>
                <w:rStyle w:val="CodeChar"/>
              </w:rPr>
              <w:t xml:space="preserve">lev_peak_down</w:t>
            </w:r>
            <w:r>
              <w:t xml:space="preserve">, </w:t>
            </w:r>
            <w:r>
              <w:rPr>
                <w:rStyle w:val="CodeChar"/>
              </w:rPr>
              <w:t xml:space="preserve">liq_min_down</w:t>
            </w:r>
            <w:r>
              <w:t xml:space="preserve">, </w:t>
            </w:r>
            <w:r>
              <w:rPr>
                <w:rStyle w:val="CodeChar"/>
              </w:rPr>
              <w:t xml:space="preserve">p_breach_4</w:t>
            </w:r>
            <w:r>
              <w:t xml:space="preserve">, </w:t>
            </w:r>
            <w:r>
              <w:rPr>
                <w:rStyle w:val="CodeChar"/>
              </w:rPr>
              <w:t xml:space="preserve">p_liq_short_8</w:t>
            </w:r>
            <w:r>
              <w:t xml:space="preserve">, </w:t>
            </w:r>
            <w:r>
              <w:rPr>
                <w:rStyle w:val="CodeChar"/>
              </w:rPr>
              <w:t xml:space="preserve">p_refi_4</w:t>
            </w:r>
            <w:r>
              <w:t xml:space="preserve">, </w:t>
            </w:r>
            <w:r>
              <w:rPr>
                <w:rStyle w:val="CodeChar"/>
              </w:rPr>
              <w:t xml:space="preserve">fcf_debt_fwd</w:t>
            </w:r>
            <w:r>
              <w:t xml:space="preserve">, </w:t>
            </w:r>
            <w:r>
              <w:rPr>
                <w:rStyle w:val="CodeChar"/>
              </w:rPr>
              <w:t xml:space="preserve">cov_fwd_4</w:t>
            </w:r>
            <w:r>
              <w:t xml:space="preserve">, </w:t>
            </w:r>
            <w:r>
              <w:rPr>
                <w:rStyle w:val="CodeChar"/>
              </w:rPr>
              <w:t xml:space="preserve">rev_lev</w:t>
            </w:r>
            <w:r>
              <w:t xml:space="preserve">, </w:t>
            </w:r>
            <w:r>
              <w:rPr>
                <w:rStyle w:val="CodeChar"/>
              </w:rPr>
              <w:t xml:space="preserve">gap_consensus</w:t>
            </w:r>
            <w:r>
              <w:t xml:space="preserve">, </w:t>
            </w:r>
            <w:r>
              <w:rPr>
                <w:rStyle w:val="CodeChar"/>
              </w:rPr>
              <w:t xml:space="preserve">gap_mgmt</w:t>
            </w:r>
            <w:r>
              <w:t xml:space="preserve">, </w:t>
            </w:r>
            <w:r>
              <w:rPr>
                <w:rStyle w:val="CodeChar"/>
              </w:rPr>
              <w:t xml:space="preserve">w_down</w:t>
            </w:r>
          </w:p>
        </w:tc>
      </w:tr>
      <w:tr>
        <w:tc>
          <w:tcPr>
            <w:tcW w:w="3213" w:type="dxa"/>
          </w:tcPr>
          <w:p>
            <w:pPr/>
            <w:r>
              <w:t xml:space="preserve">Valuation</w:t>
            </w:r>
          </w:p>
        </w:tc>
        <w:tc>
          <w:tcPr>
            <w:tcW w:w="6146" w:type="dxa"/>
          </w:tcPr>
          <w:p>
            <w:pPr/>
            <w:r>
              <w:rPr>
                <w:rStyle w:val="CodeChar"/>
              </w:rPr>
              <w:t xml:space="preserve">tev_low</w:t>
            </w:r>
            <w:r>
              <w:t xml:space="preserve">, </w:t>
            </w:r>
            <w:r>
              <w:rPr>
                <w:rStyle w:val="CodeChar"/>
              </w:rPr>
              <w:t xml:space="preserve">tev_mid</w:t>
            </w:r>
            <w:r>
              <w:t xml:space="preserve">, </w:t>
            </w:r>
            <w:r>
              <w:rPr>
                <w:rStyle w:val="CodeChar"/>
              </w:rPr>
              <w:t xml:space="preserve">tev_high</w:t>
            </w:r>
            <w:r>
              <w:t xml:space="preserve">, </w:t>
            </w:r>
            <w:r>
              <w:rPr>
                <w:rStyle w:val="CodeChar"/>
              </w:rPr>
              <w:t xml:space="preserve">tev_default</w:t>
            </w:r>
            <w:r>
              <w:t xml:space="preserve">, </w:t>
            </w:r>
            <w:r>
              <w:rPr>
                <w:rStyle w:val="CodeChar"/>
              </w:rPr>
              <w:t xml:space="preserve">v_sigma</w:t>
            </w:r>
            <w:r>
              <w:t xml:space="preserve">, </w:t>
            </w:r>
            <w:r>
              <w:rPr>
                <w:rStyle w:val="CodeChar"/>
              </w:rPr>
              <w:t xml:space="preserve">lme_score</w:t>
            </w:r>
            <w:r>
              <w:t xml:space="preserve">, </w:t>
            </w:r>
            <w:r>
              <w:rPr>
                <w:rStyle w:val="CodeChar"/>
              </w:rPr>
              <w:t xml:space="preserve">pi_lme</w:t>
            </w:r>
          </w:p>
        </w:tc>
      </w:tr>
    </w:tbl>
    <w:p>
      <w:pPr>
        <w:pStyle w:val="Heading3"/>
      </w:pPr>
      <w:r>
        <w:t xml:space="preserve">10.3 </w:t>
      </w:r>
      <w:r>
        <w:rPr>
          <w:rStyle w:val="CodeChar"/>
        </w:rPr>
        <w:t xml:space="preserve">tranche_state</w:t>
      </w:r>
      <w:r>
        <w:t xml:space="preserve"> (one row per tranche per issuer update)</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Field</w:t>
            </w:r>
          </w:p>
        </w:tc>
        <w:tc>
          <w:tcPr>
            <w:tcW w:w="4440" w:type="dxa"/>
            <w:shd w:val="clear" w:color="auto" w:fill="F2F2F2"/>
          </w:tcPr>
          <w:p>
            <w:pPr/>
            <w:r>
              <w:t xml:space="preserve">Definition</w:t>
            </w:r>
          </w:p>
        </w:tc>
      </w:tr>
      <w:tr>
        <w:tc>
          <w:tcPr>
            <w:tcW w:w="4920" w:type="dxa"/>
          </w:tcPr>
          <w:p>
            <w:pPr/>
            <w:r>
              <w:rPr>
                <w:rStyle w:val="CodeChar"/>
              </w:rPr>
              <w:t xml:space="preserve">tranche_id</w:t>
            </w:r>
            <w:r>
              <w:t xml:space="preserve">, </w:t>
            </w:r>
            <w:r>
              <w:rPr>
                <w:rStyle w:val="CodeChar"/>
              </w:rPr>
              <w:t xml:space="preserve">rank</w:t>
            </w:r>
            <w:r>
              <w:t xml:space="preserve">, </w:t>
            </w:r>
            <w:r>
              <w:rPr>
                <w:rStyle w:val="CodeChar"/>
              </w:rPr>
              <w:t xml:space="preserve">tranche_type</w:t>
            </w:r>
            <w:r>
              <w:t xml:space="preserve">, </w:t>
            </w:r>
            <w:r>
              <w:rPr>
                <w:rStyle w:val="CodeChar"/>
              </w:rPr>
              <w:t xml:space="preserve">issuer_entity</w:t>
            </w:r>
          </w:p>
        </w:tc>
        <w:tc>
          <w:tcPr>
            <w:tcW w:w="4440" w:type="dxa"/>
          </w:tcPr>
          <w:p>
            <w:pPr/>
            <w:r>
              <w:t xml:space="preserve">Identity and priority</w:t>
            </w:r>
          </w:p>
        </w:tc>
      </w:tr>
      <w:tr>
        <w:tc>
          <w:tcPr>
            <w:tcW w:w="4920" w:type="dxa"/>
          </w:tcPr>
          <w:p>
            <w:pPr/>
            <w:r>
              <w:rPr>
                <w:rStyle w:val="CodeChar"/>
              </w:rPr>
              <w:t xml:space="preserve">lev_face_k</w:t>
            </w:r>
            <w:r>
              <w:t xml:space="preserve">, </w:t>
            </w:r>
            <w:r>
              <w:rPr>
                <w:rStyle w:val="CodeChar"/>
              </w:rPr>
              <w:t xml:space="preserve">lev_mkt_k</w:t>
            </w:r>
            <w:r>
              <w:t xml:space="preserve">, </w:t>
            </w:r>
            <w:r>
              <w:rPr>
                <w:rStyle w:val="CodeChar"/>
              </w:rPr>
              <w:t xml:space="preserve">ltv_k_low</w:t>
            </w:r>
            <w:r>
              <w:t xml:space="preserve">, </w:t>
            </w:r>
            <w:r>
              <w:rPr>
                <w:rStyle w:val="CodeChar"/>
              </w:rPr>
              <w:t xml:space="preserve">ltv_k_mid</w:t>
            </w:r>
            <w:r>
              <w:t xml:space="preserve">, </w:t>
            </w:r>
            <w:r>
              <w:rPr>
                <w:rStyle w:val="CodeChar"/>
              </w:rPr>
              <w:t xml:space="preserve">ltv_k_high</w:t>
            </w:r>
          </w:p>
        </w:tc>
        <w:tc>
          <w:tcPr>
            <w:tcW w:w="4440" w:type="dxa"/>
          </w:tcPr>
          <w:p>
            <w:pPr/>
            <w:r>
              <w:t xml:space="preserve">Section 4.3 and Section 6</w:t>
            </w:r>
          </w:p>
        </w:tc>
      </w:tr>
      <w:tr>
        <w:tc>
          <w:tcPr>
            <w:tcW w:w="4920" w:type="dxa"/>
          </w:tcPr>
          <w:p>
            <w:pPr/>
            <w:r>
              <w:rPr>
                <w:rStyle w:val="CodeChar"/>
              </w:rPr>
              <w:t xml:space="preserve">recovery_k</w:t>
            </w:r>
            <w:r>
              <w:t xml:space="preserve">, </w:t>
            </w:r>
            <w:r>
              <w:rPr>
                <w:rStyle w:val="CodeChar"/>
              </w:rPr>
              <w:t xml:space="preserve">recovery_k_adj</w:t>
            </w:r>
            <w:r>
              <w:t xml:space="preserve">, </w:t>
            </w:r>
            <w:r>
              <w:rPr>
                <w:rStyle w:val="CodeChar"/>
              </w:rPr>
              <w:t xml:space="preserve">lgd_k_adj</w:t>
            </w:r>
            <w:r>
              <w:t xml:space="preserve">, </w:t>
            </w:r>
            <w:r>
              <w:rPr>
                <w:rStyle w:val="CodeChar"/>
              </w:rPr>
              <w:t xml:space="preserve">recovery_price_k</w:t>
            </w:r>
          </w:p>
        </w:tc>
        <w:tc>
          <w:tcPr>
            <w:tcW w:w="4440" w:type="dxa"/>
          </w:tcPr>
          <w:p>
            <w:pPr/>
            <w:r>
              <w:t xml:space="preserve">Section 6</w:t>
            </w:r>
          </w:p>
        </w:tc>
      </w:tr>
      <w:tr>
        <w:tc>
          <w:tcPr>
            <w:tcW w:w="4920" w:type="dxa"/>
          </w:tcPr>
          <w:p>
            <w:pPr/>
            <w:r>
              <w:rPr>
                <w:rStyle w:val="CodeChar"/>
              </w:rPr>
              <w:t xml:space="preserve">spt_observed[]</w:t>
            </w:r>
            <w:r>
              <w:t xml:space="preserve">, </w:t>
            </w:r>
            <w:r>
              <w:rPr>
                <w:rStyle w:val="CodeChar"/>
              </w:rPr>
              <w:t xml:space="preserve">spt_model[]</w:t>
            </w:r>
            <w:r>
              <w:t xml:space="preserve">, </w:t>
            </w:r>
            <w:r>
              <w:rPr>
                <w:rStyle w:val="CodeChar"/>
              </w:rPr>
              <w:t xml:space="preserve">s4_pairs[]</w:t>
            </w:r>
          </w:p>
        </w:tc>
        <w:tc>
          <w:tcPr>
            <w:tcW w:w="4440" w:type="dxa"/>
          </w:tcPr>
          <w:p>
            <w:pPr/>
            <w:r>
              <w:t xml:space="preserve">Spread per turn for each pair and the S4 score</w:t>
            </w:r>
          </w:p>
        </w:tc>
      </w:tr>
      <w:tr>
        <w:tc>
          <w:tcPr>
            <w:tcW w:w="4920" w:type="dxa"/>
          </w:tcPr>
          <w:p>
            <w:pPr/>
            <w:r>
              <w:rPr>
                <w:rStyle w:val="CodeChar"/>
              </w:rPr>
              <w:t xml:space="preserve">coc_put_price</w:t>
            </w:r>
            <w:r>
              <w:t xml:space="preserve">, </w:t>
            </w:r>
            <w:r>
              <w:rPr>
                <w:rStyle w:val="CodeChar"/>
              </w:rPr>
              <w:t xml:space="preserve">coc_fall_away</w:t>
            </w:r>
            <w:r>
              <w:t xml:space="preserve">, </w:t>
            </w:r>
            <w:r>
              <w:rPr>
                <w:rStyle w:val="CodeChar"/>
              </w:rPr>
              <w:t xml:space="preserve">call_state</w:t>
            </w:r>
            <w:r>
              <w:t xml:space="preserve">, </w:t>
            </w:r>
            <w:r>
              <w:rPr>
                <w:rStyle w:val="CodeChar"/>
              </w:rPr>
              <w:t xml:space="preserve">lme_score_k</w:t>
            </w:r>
          </w:p>
        </w:tc>
        <w:tc>
          <w:tcPr>
            <w:tcW w:w="4440" w:type="dxa"/>
          </w:tcPr>
          <w:p>
            <w:pPr/>
            <w:r>
              <w:t xml:space="preserve">Document state</w:t>
            </w:r>
          </w:p>
        </w:tc>
      </w:tr>
    </w:tbl>
    <w:p>
      <w:pPr>
        <w:pStyle w:val="Heading3"/>
      </w:pPr>
      <w:r>
        <w:t xml:space="preserve">10.4 </w:t>
      </w:r>
      <w:r>
        <w:rPr>
          <w:rStyle w:val="CodeChar"/>
        </w:rPr>
        <w:t xml:space="preserve">event_matrix</w:t>
      </w:r>
      <w:r>
        <w:t xml:space="preserve"> (long table, one row per position, event, outcome, and macro path)</w:t>
      </w:r>
    </w:p>
    <w:tbl>
      <w:tblPr>
        <w:tblStyle w:val="TableGrid"/>
        <w:tblW w:w="0" w:type="auto"/>
        <w:tblLayout w:type="fixed"/>
        <w:tblLook w:val="04A0" w:firstRow="1" w:lastRow="0" w:firstColumn="0" w:lastColumn="0" w:noHBand="0" w:noVBand="1"/>
      </w:tblPr>
      <w:tblGrid>
        <w:gridCol w:w="4515"/>
        <w:gridCol w:w="4844"/>
      </w:tblGrid>
      <w:tr>
        <w:trPr>
          <w:tblHeader/>
        </w:trPr>
        <w:tc>
          <w:tcPr>
            <w:tcW w:w="4515" w:type="dxa"/>
            <w:shd w:val="clear" w:color="auto" w:fill="F2F2F2"/>
          </w:tcPr>
          <w:p>
            <w:pPr/>
            <w:r>
              <w:t xml:space="preserve">Field</w:t>
            </w:r>
          </w:p>
        </w:tc>
        <w:tc>
          <w:tcPr>
            <w:tcW w:w="4844" w:type="dxa"/>
            <w:shd w:val="clear" w:color="auto" w:fill="F2F2F2"/>
          </w:tcPr>
          <w:p>
            <w:pPr/>
            <w:r>
              <w:t xml:space="preserve">Definition</w:t>
            </w:r>
          </w:p>
        </w:tc>
      </w:tr>
      <w:tr>
        <w:tc>
          <w:tcPr>
            <w:tcW w:w="4515" w:type="dxa"/>
          </w:tcPr>
          <w:p>
            <w:pPr/>
            <w:r>
              <w:rPr>
                <w:rStyle w:val="CodeChar"/>
              </w:rPr>
              <w:t xml:space="preserve">date</w:t>
            </w:r>
            <w:r>
              <w:t xml:space="preserve">, </w:t>
            </w:r>
            <w:r>
              <w:rPr>
                <w:rStyle w:val="CodeChar"/>
              </w:rPr>
              <w:t xml:space="preserve">position_id</w:t>
            </w:r>
            <w:r>
              <w:t xml:space="preserve">, </w:t>
            </w:r>
            <w:r>
              <w:rPr>
                <w:rStyle w:val="CodeChar"/>
              </w:rPr>
              <w:t xml:space="preserve">cusip</w:t>
            </w:r>
          </w:p>
        </w:tc>
        <w:tc>
          <w:tcPr>
            <w:tcW w:w="4844" w:type="dxa"/>
          </w:tcPr>
          <w:p>
            <w:pPr/>
            <w:r>
              <w:t xml:space="preserve">Keys</w:t>
            </w:r>
          </w:p>
        </w:tc>
      </w:tr>
      <w:tr>
        <w:tc>
          <w:tcPr>
            <w:tcW w:w="4515" w:type="dxa"/>
          </w:tcPr>
          <w:p>
            <w:pPr/>
            <w:r>
              <w:rPr>
                <w:rStyle w:val="CodeChar"/>
              </w:rPr>
              <w:t xml:space="preserve">event_id</w:t>
            </w:r>
            <w:r>
              <w:t xml:space="preserve">, </w:t>
            </w:r>
            <w:r>
              <w:rPr>
                <w:rStyle w:val="CodeChar"/>
              </w:rPr>
              <w:t xml:space="preserve">event_type</w:t>
            </w:r>
            <w:r>
              <w:t xml:space="preserve">, </w:t>
            </w:r>
            <w:r>
              <w:rPr>
                <w:rStyle w:val="CodeChar"/>
              </w:rPr>
              <w:t xml:space="preserve">event_date</w:t>
            </w:r>
            <w:r>
              <w:t xml:space="preserve">, </w:t>
            </w:r>
            <w:r>
              <w:rPr>
                <w:rStyle w:val="CodeChar"/>
              </w:rPr>
              <w:t xml:space="preserve">date_confirmed</w:t>
            </w:r>
          </w:p>
        </w:tc>
        <w:tc>
          <w:tcPr>
            <w:tcW w:w="4844" w:type="dxa"/>
          </w:tcPr>
          <w:p>
            <w:pPr/>
            <w:r>
              <w:t xml:space="preserve">From the calendar</w:t>
            </w:r>
          </w:p>
        </w:tc>
      </w:tr>
      <w:tr>
        <w:tc>
          <w:tcPr>
            <w:tcW w:w="4515" w:type="dxa"/>
          </w:tcPr>
          <w:p>
            <w:pPr/>
            <w:r>
              <w:rPr>
                <w:rStyle w:val="CodeChar"/>
              </w:rPr>
              <w:t xml:space="preserve">outcome</w:t>
            </w:r>
            <w:r>
              <w:t xml:space="preserve">, </w:t>
            </w:r>
            <w:r>
              <w:rPr>
                <w:rStyle w:val="CodeChar"/>
              </w:rPr>
              <w:t xml:space="preserve">macro_path</w:t>
            </w:r>
          </w:p>
        </w:tc>
        <w:tc>
          <w:tcPr>
            <w:tcW w:w="4844" w:type="dxa"/>
          </w:tcPr>
          <w:p>
            <w:pPr/>
            <w:r>
              <w:t xml:space="preserve">The pair that the row prices</w:t>
            </w:r>
          </w:p>
        </w:tc>
      </w:tr>
      <w:tr>
        <w:tc>
          <w:tcPr>
            <w:tcW w:w="4515" w:type="dxa"/>
          </w:tcPr>
          <w:p>
            <w:pPr/>
            <w:r>
              <w:rPr>
                <w:rStyle w:val="CodeChar"/>
              </w:rPr>
              <w:t xml:space="preserve">p_path</w:t>
            </w:r>
            <w:r>
              <w:t xml:space="preserve">, </w:t>
            </w:r>
            <w:r>
              <w:rPr>
                <w:rStyle w:val="CodeChar"/>
              </w:rPr>
              <w:t xml:space="preserve">p_outcome_given_path</w:t>
            </w:r>
          </w:p>
        </w:tc>
        <w:tc>
          <w:tcPr>
            <w:tcW w:w="4844" w:type="dxa"/>
          </w:tcPr>
          <w:p>
            <w:pPr/>
            <w:r>
              <w:t xml:space="preserve">Probabilities from Section 9.2</w:t>
            </w:r>
          </w:p>
        </w:tc>
      </w:tr>
      <w:tr>
        <w:tc>
          <w:tcPr>
            <w:tcW w:w="4515" w:type="dxa"/>
          </w:tcPr>
          <w:p>
            <w:pPr/>
            <w:r>
              <w:rPr>
                <w:rStyle w:val="CodeChar"/>
              </w:rPr>
              <w:t xml:space="preserve">dspread_bp</w:t>
            </w:r>
            <w:r>
              <w:t xml:space="preserve">, </w:t>
            </w:r>
            <w:r>
              <w:rPr>
                <w:rStyle w:val="CodeChar"/>
              </w:rPr>
              <w:t xml:space="preserve">dpnl</w:t>
            </w:r>
          </w:p>
        </w:tc>
        <w:tc>
          <w:tcPr>
            <w:tcW w:w="4844" w:type="dxa"/>
          </w:tcPr>
          <w:p>
            <w:pPr/>
            <w:r>
              <w:t xml:space="preserve">Spread change and P&amp;L for the pair</w:t>
            </w:r>
          </w:p>
        </w:tc>
      </w:tr>
      <w:tr>
        <w:tc>
          <w:tcPr>
            <w:tcW w:w="4515" w:type="dxa"/>
          </w:tcPr>
          <w:p>
            <w:pPr/>
            <w:r>
              <w:rPr>
                <w:rStyle w:val="CodeChar"/>
              </w:rPr>
              <w:t xml:space="preserve">features_delta</w:t>
            </w:r>
          </w:p>
        </w:tc>
        <w:tc>
          <w:tcPr>
            <w:tcW w:w="4844" w:type="dxa"/>
          </w:tcPr>
          <w:p>
            <w:pPr/>
            <w:r>
              <w:t xml:space="preserve">The feature changes that produced </w:t>
            </w:r>
            <w:r>
              <w:rPr>
                <w:rStyle w:val="CodeChar"/>
              </w:rPr>
              <w:t xml:space="preserve">dspread_bp</w:t>
            </w:r>
            <w:r>
              <w:t xml:space="preserve">, for audit</w:t>
            </w:r>
          </w:p>
        </w:tc>
      </w:tr>
    </w:tbl>
    <w:p>
      <w:pPr>
        <w:pStyle w:val="Heading3"/>
      </w:pPr>
      <w:r>
        <w:t xml:space="preserve">10.5 </w:t>
      </w:r>
      <w:r>
        <w:rPr>
          <w:rStyle w:val="CodeChar"/>
        </w:rPr>
        <w:t xml:space="preserve">portfolio_risk</w:t>
      </w:r>
      <w:r>
        <w:t xml:space="preserve"> (one row per day)</w:t>
      </w:r>
    </w:p>
    <w:tbl>
      <w:tblPr>
        <w:tblStyle w:val="TableGrid"/>
        <w:tblW w:w="0" w:type="auto"/>
        <w:tblLayout w:type="fixed"/>
        <w:tblLook w:val="04A0" w:firstRow="1" w:lastRow="0" w:firstColumn="0" w:lastColumn="0" w:noHBand="0" w:noVBand="1"/>
      </w:tblPr>
      <w:tblGrid>
        <w:gridCol w:w="1914"/>
        <w:gridCol w:w="7445"/>
      </w:tblGrid>
      <w:tr>
        <w:trPr>
          <w:tblHeader/>
        </w:trPr>
        <w:tc>
          <w:tcPr>
            <w:tcW w:w="1914" w:type="dxa"/>
            <w:shd w:val="clear" w:color="auto" w:fill="F2F2F2"/>
          </w:tcPr>
          <w:p>
            <w:pPr/>
            <w:r>
              <w:t xml:space="preserve">Group</w:t>
            </w:r>
          </w:p>
        </w:tc>
        <w:tc>
          <w:tcPr>
            <w:tcW w:w="7445" w:type="dxa"/>
            <w:shd w:val="clear" w:color="auto" w:fill="F2F2F2"/>
          </w:tcPr>
          <w:p>
            <w:pPr/>
            <w:r>
              <w:t xml:space="preserve">Fields</w:t>
            </w:r>
          </w:p>
        </w:tc>
      </w:tr>
      <w:tr>
        <w:tc>
          <w:tcPr>
            <w:tcW w:w="1914" w:type="dxa"/>
          </w:tcPr>
          <w:p>
            <w:pPr/>
            <w:r>
              <w:t xml:space="preserve">Exposure</w:t>
            </w:r>
          </w:p>
        </w:tc>
        <w:tc>
          <w:tcPr>
            <w:tcW w:w="7445" w:type="dxa"/>
          </w:tcPr>
          <w:p>
            <w:pPr/>
            <w:r>
              <w:rPr>
                <w:rStyle w:val="CodeChar"/>
              </w:rPr>
              <w:t xml:space="preserve">gross</w:t>
            </w:r>
            <w:r>
              <w:t xml:space="preserve">, </w:t>
            </w:r>
            <w:r>
              <w:rPr>
                <w:rStyle w:val="CodeChar"/>
              </w:rPr>
              <w:t xml:space="preserve">net</w:t>
            </w:r>
            <w:r>
              <w:t xml:space="preserve">, </w:t>
            </w:r>
            <w:r>
              <w:rPr>
                <w:rStyle w:val="CodeChar"/>
              </w:rPr>
              <w:t xml:space="preserve">sdv01_total</w:t>
            </w:r>
            <w:r>
              <w:t xml:space="preserve">, </w:t>
            </w:r>
            <w:r>
              <w:rPr>
                <w:rStyle w:val="CodeChar"/>
              </w:rPr>
              <w:t xml:space="preserve">rdv01_eff_total</w:t>
            </w:r>
            <w:r>
              <w:t xml:space="preserve">, </w:t>
            </w:r>
            <w:r>
              <w:rPr>
                <w:rStyle w:val="CodeChar"/>
              </w:rPr>
              <w:t xml:space="preserve">beta_mkt_net</w:t>
            </w:r>
          </w:p>
        </w:tc>
      </w:tr>
      <w:tr>
        <w:tc>
          <w:tcPr>
            <w:tcW w:w="1914" w:type="dxa"/>
          </w:tcPr>
          <w:p>
            <w:pPr/>
            <w:r>
              <w:t xml:space="preserve">Default</w:t>
            </w:r>
          </w:p>
        </w:tc>
        <w:tc>
          <w:tcPr>
            <w:tcW w:w="7445" w:type="dxa"/>
          </w:tcPr>
          <w:p>
            <w:pPr/>
            <w:r>
              <w:rPr>
                <w:rStyle w:val="CodeChar"/>
              </w:rPr>
              <w:t xml:space="preserve">jtd_by_issuer[]</w:t>
            </w:r>
            <w:r>
              <w:t xml:space="preserve">, </w:t>
            </w:r>
            <w:r>
              <w:rPr>
                <w:rStyle w:val="CodeChar"/>
              </w:rPr>
              <w:t xml:space="preserve">jtd_by_sector_driver[]</w:t>
            </w:r>
            <w:r>
              <w:t xml:space="preserve">, </w:t>
            </w:r>
            <w:r>
              <w:rPr>
                <w:rStyle w:val="CodeChar"/>
              </w:rPr>
              <w:t xml:space="preserve">el_h_total</w:t>
            </w:r>
          </w:p>
        </w:tc>
      </w:tr>
      <w:tr>
        <w:tc>
          <w:tcPr>
            <w:tcW w:w="1914" w:type="dxa"/>
          </w:tcPr>
          <w:p>
            <w:pPr/>
            <w:r>
              <w:t xml:space="preserve">Scenarios</w:t>
            </w:r>
          </w:p>
        </w:tc>
        <w:tc>
          <w:tcPr>
            <w:tcW w:w="7445" w:type="dxa"/>
          </w:tcPr>
          <w:p>
            <w:pPr/>
            <w:r>
              <w:rPr>
                <w:rStyle w:val="CodeChar"/>
              </w:rPr>
              <w:t xml:space="preserve">pnl_by_macro_path[]</w:t>
            </w:r>
            <w:r>
              <w:t xml:space="preserve">, </w:t>
            </w:r>
            <w:r>
              <w:rPr>
                <w:rStyle w:val="CodeChar"/>
              </w:rPr>
              <w:t xml:space="preserve">event_var_alpha</w:t>
            </w:r>
            <w:r>
              <w:t xml:space="preserve">, </w:t>
            </w:r>
            <w:r>
              <w:rPr>
                <w:rStyle w:val="CodeChar"/>
              </w:rPr>
              <w:t xml:space="preserve">worst_event_pnl</w:t>
            </w:r>
            <w:r>
              <w:t xml:space="preserve">, </w:t>
            </w:r>
            <w:r>
              <w:rPr>
                <w:rStyle w:val="CodeChar"/>
              </w:rPr>
              <w:t xml:space="preserve">worst_event_id</w:t>
            </w:r>
          </w:p>
        </w:tc>
      </w:tr>
      <w:tr>
        <w:tc>
          <w:tcPr>
            <w:tcW w:w="1914" w:type="dxa"/>
          </w:tcPr>
          <w:p>
            <w:pPr/>
            <w:r>
              <w:t xml:space="preserve">Hedges</w:t>
            </w:r>
          </w:p>
        </w:tc>
        <w:tc>
          <w:tcPr>
            <w:tcW w:w="7445" w:type="dxa"/>
          </w:tcPr>
          <w:p>
            <w:pPr/>
            <w:r>
              <w:rPr>
                <w:rStyle w:val="CodeChar"/>
              </w:rPr>
              <w:t xml:space="preserve">cdx_notional</w:t>
            </w:r>
            <w:r>
              <w:t xml:space="preserve">, </w:t>
            </w:r>
            <w:r>
              <w:rPr>
                <w:rStyle w:val="CodeChar"/>
              </w:rPr>
              <w:t xml:space="preserve">sector_basket_notional[]</w:t>
            </w:r>
            <w:r>
              <w:t xml:space="preserve">, </w:t>
            </w:r>
            <w:r>
              <w:rPr>
                <w:rStyle w:val="CodeChar"/>
              </w:rPr>
              <w:t xml:space="preserve">tsy_futures_dv01</w:t>
            </w:r>
            <w:r>
              <w:t xml:space="preserve">, </w:t>
            </w:r>
            <w:r>
              <w:rPr>
                <w:rStyle w:val="CodeChar"/>
              </w:rPr>
              <w:t xml:space="preserve">residual_basis</w:t>
            </w:r>
          </w:p>
        </w:tc>
      </w:tr>
      <w:tr>
        <w:tc>
          <w:tcPr>
            <w:tcW w:w="1914" w:type="dxa"/>
          </w:tcPr>
          <w:p>
            <w:pPr/>
            <w:r>
              <w:t xml:space="preserve">Limits</w:t>
            </w:r>
          </w:p>
        </w:tc>
        <w:tc>
          <w:tcPr>
            <w:tcW w:w="7445" w:type="dxa"/>
          </w:tcPr>
          <w:p>
            <w:pPr/>
            <w:r>
              <w:rPr>
                <w:rStyle w:val="CodeChar"/>
              </w:rPr>
              <w:t xml:space="preserve">jtd_limit_utilisation</w:t>
            </w:r>
            <w:r>
              <w:t xml:space="preserve">, </w:t>
            </w:r>
            <w:r>
              <w:rPr>
                <w:rStyle w:val="CodeChar"/>
              </w:rPr>
              <w:t xml:space="preserve">wall_limit_utilisation</w:t>
            </w:r>
            <w:r>
              <w:t xml:space="preserve">, </w:t>
            </w:r>
            <w:r>
              <w:rPr>
                <w:rStyle w:val="CodeChar"/>
              </w:rPr>
              <w:t xml:space="preserve">correlated_event_utilisation</w:t>
            </w:r>
            <w:r>
              <w:t xml:space="preserve">, </w:t>
            </w:r>
            <w:r>
              <w:rPr>
                <w:rStyle w:val="CodeChar"/>
              </w:rPr>
              <w:t xml:space="preserve">band_gate_scale</w:t>
            </w:r>
          </w:p>
        </w:tc>
      </w:tr>
      <w:tr>
        <w:tc>
          <w:tcPr>
            <w:tcW w:w="1914" w:type="dxa"/>
          </w:tcPr>
          <w:p>
            <w:pPr/>
            <w:r>
              <w:t xml:space="preserve">Regime</w:t>
            </w:r>
          </w:p>
        </w:tc>
        <w:tc>
          <w:tcPr>
            <w:tcW w:w="7445" w:type="dxa"/>
          </w:tcPr>
          <w:p>
            <w:pPr/>
            <w:r>
              <w:rPr>
                <w:rStyle w:val="CodeChar"/>
              </w:rPr>
              <w:t xml:space="preserve">cycle_phase</w:t>
            </w:r>
            <w:r>
              <w:t xml:space="preserve">, </w:t>
            </w:r>
            <w:r>
              <w:rPr>
                <w:rStyle w:val="CodeChar"/>
              </w:rPr>
              <w:t xml:space="preserve">w_down_universe_mean</w:t>
            </w:r>
            <w:r>
              <w:t xml:space="preserve">, </w:t>
            </w:r>
            <w:r>
              <w:rPr>
                <w:rStyle w:val="CodeChar"/>
              </w:rPr>
              <w:t xml:space="preserve">kappa_t</w:t>
            </w:r>
            <w:r>
              <w:t xml:space="preserve">, </w:t>
            </w:r>
            <w:r>
              <w:rPr>
                <w:rStyle w:val="CodeChar"/>
              </w:rPr>
              <w:t xml:space="preserve">q_alpha_t_mean</w:t>
            </w:r>
          </w:p>
        </w:tc>
      </w:tr>
    </w:tbl>
    <w:p>
      <w:pPr>
        <w:pStyle w:val="Heading2"/>
      </w:pPr>
      <w:r>
        <w:t xml:space="preserve">11. Validation, calibration, and known gaps</w:t>
      </w:r>
    </w:p>
    <w:p>
      <w:pPr/>
      <w:r>
        <w:t xml:space="preserve">Each layer has one test that can fail it. Run the tests on a rolling basis and publish the results beside the signals, so a reader sees the model's own record before the rank.</w:t>
      </w:r>
    </w:p>
    <w:tbl>
      <w:tblPr>
        <w:tblStyle w:val="TableGrid"/>
        <w:tblW w:w="0" w:type="auto"/>
        <w:tblLayout w:type="fixed"/>
        <w:tblLook w:val="04A0" w:firstRow="1" w:lastRow="0" w:firstColumn="0" w:lastColumn="0" w:noHBand="0" w:noVBand="1"/>
      </w:tblPr>
      <w:tblGrid>
        <w:gridCol w:w="1866"/>
        <w:gridCol w:w="4698"/>
        <w:gridCol w:w="2796"/>
      </w:tblGrid>
      <w:tr>
        <w:trPr>
          <w:tblHeader/>
        </w:trPr>
        <w:tc>
          <w:tcPr>
            <w:tcW w:w="1866" w:type="dxa"/>
            <w:shd w:val="clear" w:color="auto" w:fill="F2F2F2"/>
          </w:tcPr>
          <w:p>
            <w:pPr/>
            <w:r>
              <w:t xml:space="preserve">Layer</w:t>
            </w:r>
          </w:p>
        </w:tc>
        <w:tc>
          <w:tcPr>
            <w:tcW w:w="4698" w:type="dxa"/>
            <w:shd w:val="clear" w:color="auto" w:fill="F2F2F2"/>
          </w:tcPr>
          <w:p>
            <w:pPr/>
            <w:r>
              <w:t xml:space="preserve">Test</w:t>
            </w:r>
          </w:p>
        </w:tc>
        <w:tc>
          <w:tcPr>
            <w:tcW w:w="2796" w:type="dxa"/>
            <w:shd w:val="clear" w:color="auto" w:fill="F2F2F2"/>
          </w:tcPr>
          <w:p>
            <w:pPr/>
            <w:r>
              <w:t xml:space="preserve">Pass condition</w:t>
            </w:r>
          </w:p>
        </w:tc>
      </w:tr>
      <w:tr>
        <w:tc>
          <w:tcPr>
            <w:tcW w:w="1866" w:type="dxa"/>
          </w:tcPr>
          <w:p>
            <w:pPr/>
            <w:r>
              <w:t xml:space="preserve">Inputs</w:t>
            </w:r>
          </w:p>
        </w:tc>
        <w:tc>
          <w:tcPr>
            <w:tcW w:w="4698" w:type="dxa"/>
          </w:tcPr>
          <w:p>
            <w:pPr/>
            <w:r>
              <w:t xml:space="preserve">Point-in-time replay: rebuild every feature with </w:t>
            </w:r>
            <w:r>
              <w:rPr>
                <w:rStyle w:val="CodeChar"/>
              </w:rPr>
              <w:t xml:space="preserve">available_at</w:t>
            </w:r>
            <w:r>
              <w:t xml:space="preserve"> and compare with the live values</w:t>
            </w:r>
          </w:p>
        </w:tc>
        <w:tc>
          <w:tcPr>
            <w:tcW w:w="2796" w:type="dxa"/>
          </w:tcPr>
          <w:p>
            <w:pPr/>
            <w:r>
              <w:t xml:space="preserve">No feature uses a later filing, estimate, or rating</w:t>
            </w:r>
          </w:p>
        </w:tc>
      </w:tr>
      <w:tr>
        <w:tc>
          <w:tcPr>
            <w:tcW w:w="1866" w:type="dxa"/>
          </w:tcPr>
          <w:p>
            <w:pPr/>
            <w:r>
              <w:t xml:space="preserve">Issuer state</w:t>
            </w:r>
          </w:p>
        </w:tc>
        <w:tc>
          <w:tcPr>
            <w:tcW w:w="4698" w:type="dxa"/>
          </w:tcPr>
          <w:p>
            <w:pPr/>
            <w:r>
              <w:t xml:space="preserve">Restatement audit: recompute after each restatement</w:t>
            </w:r>
          </w:p>
        </w:tc>
        <w:tc>
          <w:tcPr>
            <w:tcW w:w="2796" w:type="dxa"/>
          </w:tcPr>
          <w:p>
            <w:pPr/>
            <w:r>
              <w:t xml:space="preserve">Adjusted EBITDA changes by less than the add-back gap</w:t>
            </w:r>
          </w:p>
        </w:tc>
      </w:tr>
      <w:tr>
        <w:tc>
          <w:tcPr>
            <w:tcW w:w="1866" w:type="dxa"/>
          </w:tcPr>
          <w:p>
            <w:pPr/>
            <w:r>
              <w:t xml:space="preserve">Forward</w:t>
            </w:r>
          </w:p>
        </w:tc>
        <w:tc>
          <w:tcPr>
            <w:tcW w:w="4698" w:type="dxa"/>
          </w:tcPr>
          <w:p>
            <w:pPr/>
            <w:r>
              <w:t xml:space="preserve">Reliability of </w:t>
            </w:r>
            <w:r>
              <w:rPr>
                <w:rStyle w:val="CodeChar"/>
              </w:rPr>
              <w:t xml:space="preserve">w_down(m)</w:t>
            </w:r>
            <w:r>
              <w:t xml:space="preserve">: bin by predicted weight, compare with the realised share of large EBITDA declines</w:t>
            </w:r>
          </w:p>
        </w:tc>
        <w:tc>
          <w:tcPr>
            <w:tcW w:w="2796" w:type="dxa"/>
          </w:tcPr>
          <w:p>
            <w:pPr/>
            <w:r>
              <w:t xml:space="preserve">Calibration curve inside its binomial band</w:t>
            </w:r>
          </w:p>
        </w:tc>
      </w:tr>
      <w:tr>
        <w:tc>
          <w:tcPr>
            <w:tcW w:w="1866" w:type="dxa"/>
          </w:tcPr>
          <w:p>
            <w:pPr/>
            <w:r>
              <w:t xml:space="preserve">Recovery</w:t>
            </w:r>
          </w:p>
        </w:tc>
        <w:tc>
          <w:tcPr>
            <w:tcW w:w="4698" w:type="dxa"/>
          </w:tcPr>
          <w:p>
            <w:pPr/>
            <w:r>
              <w:t xml:space="preserve">Realised recovery against </w:t>
            </w:r>
            <w:r>
              <w:rPr>
                <w:rStyle w:val="CodeChar"/>
              </w:rPr>
              <w:t xml:space="preserve">recovery_k_adj</w:t>
            </w:r>
            <w:r>
              <w:t xml:space="preserve"> by rank, with the liability management cases since 2015</w:t>
            </w:r>
          </w:p>
        </w:tc>
        <w:tc>
          <w:tcPr>
            <w:tcW w:w="2796" w:type="dxa"/>
          </w:tcPr>
          <w:p>
            <w:pPr/>
            <w:r>
              <w:t xml:space="preserve">No bias by rank; LME cases inside the adjusted range</w:t>
            </w:r>
          </w:p>
        </w:tc>
      </w:tr>
      <w:tr>
        <w:tc>
          <w:tcPr>
            <w:tcW w:w="1866" w:type="dxa"/>
          </w:tcPr>
          <w:p>
            <w:pPr/>
            <w:r>
              <w:t xml:space="preserve">PD</w:t>
            </w:r>
          </w:p>
        </w:tc>
        <w:tc>
          <w:tcPr>
            <w:tcW w:w="4698" w:type="dxa"/>
          </w:tcPr>
          <w:p>
            <w:pPr/>
            <w:r>
              <w:t xml:space="preserve">Reliability by rating against the agency table, 3.60% at one year and 14.16% at five years for speculative grade (p. 274); Brier score and AUC by cycle phase</w:t>
            </w:r>
          </w:p>
        </w:tc>
        <w:tc>
          <w:tcPr>
            <w:tcW w:w="2796" w:type="dxa"/>
          </w:tcPr>
          <w:p>
            <w:pPr/>
            <w:r>
              <w:t xml:space="preserve">Calibrated within each phase, not only on average</w:t>
            </w:r>
          </w:p>
        </w:tc>
      </w:tr>
      <w:tr>
        <w:tc>
          <w:tcPr>
            <w:tcW w:w="1866" w:type="dxa"/>
          </w:tcPr>
          <w:p>
            <w:pPr/>
            <w:r>
              <w:t xml:space="preserve">Fair spread</w:t>
            </w:r>
          </w:p>
        </w:tc>
        <w:tc>
          <w:tcPr>
            <w:tcW w:w="4698" w:type="dxa"/>
          </w:tcPr>
          <w:p>
            <w:pPr/>
            <w:r>
              <w:t xml:space="preserve">Out-of-sample residual variance by rating and liquidity cell; sign of each monotone effect</w:t>
            </w:r>
          </w:p>
        </w:tc>
        <w:tc>
          <w:tcPr>
            <w:tcW w:w="2796" w:type="dxa"/>
          </w:tcPr>
          <w:p>
            <w:pPr/>
            <w:r>
              <w:t xml:space="preserve">Residual variance stable; no constraint binds at the boundary</w:t>
            </w:r>
          </w:p>
        </w:tc>
      </w:tr>
      <w:tr>
        <w:tc>
          <w:tcPr>
            <w:tcW w:w="1866" w:type="dxa"/>
          </w:tcPr>
          <w:p>
            <w:pPr/>
            <w:r>
              <w:t xml:space="preserve">Conformal band</w:t>
            </w:r>
          </w:p>
        </w:tc>
        <w:tc>
          <w:tcPr>
            <w:tcW w:w="4698" w:type="dxa"/>
          </w:tcPr>
          <w:p>
            <w:pPr/>
            <w:r>
              <w:t xml:space="preserve">Realised coverage against </w:t>
            </w:r>
            <w:r>
              <w:rPr>
                <w:rStyle w:val="CodeChar"/>
              </w:rPr>
              <w:t xml:space="preserve">1 - α</w:t>
            </w:r>
            <w:r>
              <w:t xml:space="preserve"> per Mondrian cell; the trace of </w:t>
            </w:r>
            <w:r>
              <w:rPr>
                <w:rStyle w:val="CodeChar"/>
              </w:rPr>
              <w:t xml:space="preserve">α_t</w:t>
            </w:r>
          </w:p>
        </w:tc>
        <w:tc>
          <w:tcPr>
            <w:tcW w:w="2796" w:type="dxa"/>
          </w:tcPr>
          <w:p>
            <w:pPr/>
            <w:r>
              <w:t xml:space="preserve">Coverage within two standard errors of target in every cell</w:t>
            </w:r>
          </w:p>
        </w:tc>
      </w:tr>
      <w:tr>
        <w:tc>
          <w:tcPr>
            <w:tcW w:w="1866" w:type="dxa"/>
          </w:tcPr>
          <w:p>
            <w:pPr/>
            <w:r>
              <w:t xml:space="preserve">Signals</w:t>
            </w:r>
          </w:p>
        </w:tc>
        <w:tc>
          <w:tcPr>
            <w:tcW w:w="4698" w:type="dxa"/>
          </w:tcPr>
          <w:p>
            <w:pPr/>
            <w:r>
              <w:t xml:space="preserve">Rank information coefficient per signal, per cycle phase, with transaction costs from </w:t>
            </w:r>
            <w:r>
              <w:rPr>
                <w:rStyle w:val="CodeChar"/>
              </w:rPr>
              <w:t xml:space="preserve">bid_ask_bp</w:t>
            </w:r>
            <w:r>
              <w:t xml:space="preserve"> and turnover</w:t>
            </w:r>
          </w:p>
        </w:tc>
        <w:tc>
          <w:tcPr>
            <w:tcW w:w="2796" w:type="dxa"/>
          </w:tcPr>
          <w:p>
            <w:pPr/>
            <w:r>
              <w:t xml:space="preserve">Positive after costs in at least three of the four cycles 2008, 2015, 2020, 2022</w:t>
            </w:r>
          </w:p>
        </w:tc>
      </w:tr>
      <w:tr>
        <w:tc>
          <w:tcPr>
            <w:tcW w:w="1866" w:type="dxa"/>
          </w:tcPr>
          <w:p>
            <w:pPr/>
            <w:r>
              <w:t xml:space="preserve">Event model</w:t>
            </w:r>
          </w:p>
        </w:tc>
        <w:tc>
          <w:tcPr>
            <w:tcW w:w="4698" w:type="dxa"/>
          </w:tcPr>
          <w:p>
            <w:pPr/>
            <w:r>
              <w:t xml:space="preserve">Realised spread change on event days against the predicted distribution; `P(o</w:t>
            </w:r>
          </w:p>
        </w:tc>
        <w:tc>
          <w:tcPr>
            <w:tcW w:w="2796" w:type="dxa"/>
          </w:tcPr>
          <w:p>
            <w:pPr/>
            <w:r>
              <w:t xml:space="preserve">e, m)` reliability</w:t>
            </w:r>
          </w:p>
        </w:tc>
      </w:tr>
      <w:tr>
        <w:tc>
          <w:tcPr>
            <w:tcW w:w="1866" w:type="dxa"/>
          </w:tcPr>
          <w:p>
            <w:pPr/>
            <w:r>
              <w:t xml:space="preserve">Spread split</w:t>
            </w:r>
          </w:p>
        </w:tc>
        <w:tc>
          <w:tcPr>
            <w:tcW w:w="4698" w:type="dxa"/>
          </w:tcPr>
          <w:p>
            <w:pPr/>
            <w:r>
              <w:t xml:space="preserve">Re-estimate </w:t>
            </w:r>
            <w:r>
              <w:rPr>
                <w:rStyle w:val="CodeChar"/>
              </w:rPr>
              <w:t xml:space="preserve">β_g</w:t>
            </w:r>
            <w:r>
              <w:t xml:space="preserve"> and </w:t>
            </w:r>
            <w:r>
              <w:rPr>
                <w:rStyle w:val="CodeChar"/>
              </w:rPr>
              <w:t xml:space="preserve">β_p</w:t>
            </w:r>
            <w:r>
              <w:t xml:space="preserve"> each quarter</w:t>
            </w:r>
          </w:p>
        </w:tc>
        <w:tc>
          <w:tcPr>
            <w:tcW w:w="2796" w:type="dxa"/>
          </w:tcPr>
          <w:p>
            <w:pPr/>
            <w:r>
              <w:t xml:space="preserve">Signs hold; magnitudes move slowly</w:t>
            </w:r>
          </w:p>
        </w:tc>
      </w:tr>
    </w:tbl>
    <w:p>
      <w:pPr>
        <w:pStyle w:val="Heading3"/>
      </w:pPr>
      <w:r>
        <w:t xml:space="preserve">Backtest design</w:t>
      </w:r>
    </w:p>
    <w:p>
      <w:pPr>
        <w:pStyle w:val="ListParagraph"/>
        <w:numPr>
          <w:ilvl w:val="0"/>
          <w:numId w:val="3"/>
        </w:numPr>
      </w:pPr>
      <w:r>
        <w:t xml:space="preserve">Universe with defaulted and delisted bonds kept in, priced at recovery after the filing. Survivorship bias flatters every credit signal.</w:t>
      </w:r>
    </w:p>
    <w:p>
      <w:pPr>
        <w:pStyle w:val="ListParagraph"/>
        <w:numPr>
          <w:ilvl w:val="0"/>
          <w:numId w:val="3"/>
        </w:numPr>
      </w:pPr>
      <w:r>
        <w:t xml:space="preserve">Monthly rebalance into deciles of the composite and of each signal; report the long-short spread return, the hit rate, and the maximum drawdown by cycle phase.</w:t>
      </w:r>
    </w:p>
    <w:p>
      <w:pPr>
        <w:pStyle w:val="ListParagraph"/>
        <w:numPr>
          <w:ilvl w:val="0"/>
          <w:numId w:val="3"/>
        </w:numPr>
      </w:pPr>
      <w:r>
        <w:t xml:space="preserve">Costs from the quoted bid-ask, widened in stress months (p. 117), plus a capacity cap at a multiple of average daily volume.</w:t>
      </w:r>
    </w:p>
    <w:p>
      <w:pPr>
        <w:pStyle w:val="ListParagraph"/>
        <w:numPr>
          <w:ilvl w:val="0"/>
          <w:numId w:val="3"/>
        </w:numPr>
      </w:pPr>
      <w:r>
        <w:t xml:space="preserve">Benchmarks: the index and the rating-matched index. The book's HCA postmortem is the template: 10% annualised against 8.9% for the index, and a trough at 77 against 55 for the index (p. 414). Record the same two numbers, excess return and relative trough, for every closed position.</w:t>
      </w:r>
    </w:p>
    <w:p>
      <w:pPr>
        <w:pStyle w:val="Heading3"/>
      </w:pPr>
      <w:r>
        <w:t xml:space="preserve">Known gaps in the source and where to fill them</w:t>
      </w:r>
    </w:p>
    <w:tbl>
      <w:tblPr>
        <w:tblStyle w:val="TableGrid"/>
        <w:tblW w:w="0" w:type="auto"/>
        <w:tblLayout w:type="fixed"/>
        <w:tblLook w:val="04A0" w:firstRow="1" w:lastRow="0" w:firstColumn="0" w:lastColumn="0" w:noHBand="0" w:noVBand="1"/>
      </w:tblPr>
      <w:tblGrid>
        <w:gridCol w:w="2309"/>
        <w:gridCol w:w="3390"/>
        <w:gridCol w:w="3661"/>
      </w:tblGrid>
      <w:tr>
        <w:trPr>
          <w:tblHeader/>
        </w:trPr>
        <w:tc>
          <w:tcPr>
            <w:tcW w:w="2309" w:type="dxa"/>
            <w:shd w:val="clear" w:color="auto" w:fill="F2F2F2"/>
          </w:tcPr>
          <w:p>
            <w:pPr/>
            <w:r>
              <w:t xml:space="preserve">Gap</w:t>
            </w:r>
          </w:p>
        </w:tc>
        <w:tc>
          <w:tcPr>
            <w:tcW w:w="3390" w:type="dxa"/>
            <w:shd w:val="clear" w:color="auto" w:fill="F2F2F2"/>
          </w:tcPr>
          <w:p>
            <w:pPr/>
            <w:r>
              <w:t xml:space="preserve">Why it matters</w:t>
            </w:r>
          </w:p>
        </w:tc>
        <w:tc>
          <w:tcPr>
            <w:tcW w:w="3661" w:type="dxa"/>
            <w:shd w:val="clear" w:color="auto" w:fill="F2F2F2"/>
          </w:tcPr>
          <w:p>
            <w:pPr/>
            <w:r>
              <w:t xml:space="preserve">Fill</w:t>
            </w:r>
          </w:p>
        </w:tc>
      </w:tr>
      <w:tr>
        <w:tc>
          <w:tcPr>
            <w:tcW w:w="2309" w:type="dxa"/>
          </w:tcPr>
          <w:p>
            <w:pPr/>
            <w:r>
              <w:t xml:space="preserve">No option-adjusted spread or callable pricing (p. 116 defers to Fabozzi)</w:t>
            </w:r>
          </w:p>
        </w:tc>
        <w:tc>
          <w:tcPr>
            <w:tcW w:w="3390" w:type="dxa"/>
          </w:tcPr>
          <w:p>
            <w:pPr/>
            <w:r>
              <w:t xml:space="preserve">Most high yield bonds are callable; yield to worst understates the option</w:t>
            </w:r>
          </w:p>
        </w:tc>
        <w:tc>
          <w:tcPr>
            <w:tcW w:w="3661" w:type="dxa"/>
          </w:tcPr>
          <w:p>
            <w:pPr/>
            <w:r>
              <w:t xml:space="preserve">Use OAS from a lattice model for </w:t>
            </w:r>
            <w:r>
              <w:rPr>
                <w:rStyle w:val="CodeChar"/>
              </w:rPr>
              <w:t xml:space="preserve">s</w:t>
            </w:r>
            <w:r>
              <w:t xml:space="preserve"> and </w:t>
            </w:r>
            <w:r>
              <w:rPr>
                <w:rStyle w:val="CodeChar"/>
              </w:rPr>
              <w:t xml:space="preserve">spread_duration</w:t>
            </w:r>
          </w:p>
        </w:tc>
      </w:tr>
      <w:tr>
        <w:tc>
          <w:tcPr>
            <w:tcW w:w="2309" w:type="dxa"/>
          </w:tcPr>
          <w:p>
            <w:pPr/>
            <w:r>
              <w:t xml:space="preserve">No bond-CDS basis</w:t>
            </w:r>
          </w:p>
        </w:tc>
        <w:tc>
          <w:tcPr>
            <w:tcW w:w="3390" w:type="dxa"/>
          </w:tcPr>
          <w:p>
            <w:pPr/>
            <w:r>
              <w:t xml:space="preserve">Basis moves hide or exaggerate a residual</w:t>
            </w:r>
          </w:p>
        </w:tc>
        <w:tc>
          <w:tcPr>
            <w:tcW w:w="3661" w:type="dxa"/>
          </w:tcPr>
          <w:p>
            <w:pPr/>
            <w:r>
              <w:t xml:space="preserve">Add </w:t>
            </w:r>
            <w:r>
              <w:rPr>
                <w:rStyle w:val="CodeChar"/>
              </w:rPr>
              <w:t xml:space="preserve">cds_5y</w:t>
            </w:r>
            <w:r>
              <w:t xml:space="preserve"> and a basis feature; hedge single names where CDS trades</w:t>
            </w:r>
          </w:p>
        </w:tc>
      </w:tr>
      <w:tr>
        <w:tc>
          <w:tcPr>
            <w:tcW w:w="2309" w:type="dxa"/>
          </w:tcPr>
          <w:p>
            <w:pPr/>
            <w:r>
              <w:t xml:space="preserve">No liquidity model</w:t>
            </w:r>
          </w:p>
        </w:tc>
        <w:tc>
          <w:tcPr>
            <w:tcW w:w="3390" w:type="dxa"/>
          </w:tcPr>
          <w:p>
            <w:pPr/>
            <w:r>
              <w:t xml:space="preserve">Illiquid bonds look cheap by construction</w:t>
            </w:r>
          </w:p>
        </w:tc>
        <w:tc>
          <w:tcPr>
            <w:tcW w:w="3661" w:type="dxa"/>
          </w:tcPr>
          <w:p>
            <w:pPr/>
            <w:r>
              <w:t xml:space="preserve">The liquidity block in Section 7.2 and the volume cap</w:t>
            </w:r>
          </w:p>
        </w:tc>
      </w:tr>
      <w:tr>
        <w:tc>
          <w:tcPr>
            <w:tcW w:w="2309" w:type="dxa"/>
          </w:tcPr>
          <w:p>
            <w:pPr/>
            <w:r>
              <w:t xml:space="preserve">No statistical model of spread on fundamentals</w:t>
            </w:r>
          </w:p>
        </w:tc>
        <w:tc>
          <w:tcPr>
            <w:tcW w:w="3390" w:type="dxa"/>
          </w:tcPr>
          <w:p>
            <w:pPr/>
            <w:r>
              <w:t xml:space="preserve">The book ranks by judgement</w:t>
            </w:r>
          </w:p>
        </w:tc>
        <w:tc>
          <w:tcPr>
            <w:tcW w:w="3661" w:type="dxa"/>
          </w:tcPr>
          <w:p>
            <w:pPr/>
            <w:r>
              <w:t xml:space="preserve">Sections 7 and 8</w:t>
            </w:r>
          </w:p>
        </w:tc>
      </w:tr>
      <w:tr>
        <w:tc>
          <w:tcPr>
            <w:tcW w:w="2309" w:type="dxa"/>
          </w:tcPr>
          <w:p>
            <w:pPr/>
            <w:r>
              <w:t xml:space="preserve">No macro forecast sources</w:t>
            </w:r>
          </w:p>
        </w:tc>
        <w:tc>
          <w:tcPr>
            <w:tcW w:w="3390" w:type="dxa"/>
          </w:tcPr>
          <w:p>
            <w:pPr/>
            <w:r>
              <w:t xml:space="preserve">The book describes cycles after the fact (Chapter 2)</w:t>
            </w:r>
          </w:p>
        </w:tc>
        <w:tc>
          <w:tcPr>
            <w:tcW w:w="3661" w:type="dxa"/>
          </w:tcPr>
          <w:p>
            <w:pPr/>
            <w:r>
              <w:t xml:space="preserve">Consensus surveys, market-implied rates, and the desk view, with vintages</w:t>
            </w:r>
          </w:p>
        </w:tc>
      </w:tr>
      <w:tr>
        <w:tc>
          <w:tcPr>
            <w:tcW w:w="2309" w:type="dxa"/>
          </w:tcPr>
          <w:p>
            <w:pPr/>
            <w:r>
              <w:t xml:space="preserve">No flows data</w:t>
            </w:r>
          </w:p>
        </w:tc>
        <w:tc>
          <w:tcPr>
            <w:tcW w:w="3390" w:type="dxa"/>
          </w:tcPr>
          <w:p>
            <w:pPr/>
            <w:r>
              <w:t xml:space="preserve">Forced selling is described (p. 418) but not measured</w:t>
            </w:r>
          </w:p>
        </w:tc>
        <w:tc>
          <w:tcPr>
            <w:tcW w:w="3661" w:type="dxa"/>
          </w:tcPr>
          <w:p>
            <w:pPr/>
            <w:r>
              <w:t xml:space="preserve">Fund flows and index membership from Section 3.6</w:t>
            </w:r>
          </w:p>
        </w:tc>
      </w:tr>
    </w:tbl>
    <w:p>
      <w:pPr>
        <w:pStyle w:val="Heading3"/>
      </w:pPr>
      <w:r>
        <w:t xml:space="preserve">Who supplies what</w:t>
      </w:r>
    </w:p>
    <w:p>
      <w:pPr/>
      <w:r>
        <w:t xml:space="preserve">The analyst supplies the adjustments, the cases, the qualitative scores, and the document fields. The system computes everything else. The book's rule that the analyst must rank the idea against every other position (p. 369) survives as the </w:t>
      </w:r>
      <w:r>
        <w:rPr>
          <w:rStyle w:val="CodeChar"/>
        </w:rPr>
        <w:t xml:space="preserve">replaces_position</w:t>
      </w:r>
      <w:r>
        <w:t xml:space="preserve"> field: no new position enters the book without it.</w:t>
      </w:r>
    </w:p>
    <w:p>
      <w:pPr>
        <w:pStyle w:val="Heading2"/>
      </w:pPr>
      <w:r>
        <w:t xml:space="preserve">12. Appendix: map from the book to the pipeline</w:t>
      </w:r>
    </w:p>
    <w:p>
      <w:pPr/>
      <w:r>
        <w:t xml:space="preserve">Page numbers are PDF pages of Gatto, </w:t>
      </w:r>
      <w:r>
        <w:rPr>
          <w:i/>
        </w:rPr>
        <w:t xml:space="preserve">The Credit Investor's Handbook</w:t>
      </w:r>
      <w:r>
        <w:t xml:space="preserve"> (Wiley, 2023), as supplied.</w:t>
      </w:r>
    </w:p>
    <w:tbl>
      <w:tblPr>
        <w:tblStyle w:val="TableGrid"/>
        <w:tblW w:w="0" w:type="auto"/>
        <w:tblLayout w:type="fixed"/>
        <w:tblLook w:val="04A0" w:firstRow="1" w:lastRow="0" w:firstColumn="0" w:lastColumn="0" w:noHBand="0" w:noVBand="1"/>
      </w:tblPr>
      <w:tblGrid>
        <w:gridCol w:w="1805"/>
        <w:gridCol w:w="1068"/>
        <w:gridCol w:w="1566"/>
        <w:gridCol w:w="4920"/>
      </w:tblGrid>
      <w:tr>
        <w:trPr>
          <w:tblHeader/>
        </w:trPr>
        <w:tc>
          <w:tcPr>
            <w:tcW w:w="1805" w:type="dxa"/>
            <w:shd w:val="clear" w:color="auto" w:fill="F2F2F2"/>
          </w:tcPr>
          <w:p>
            <w:pPr/>
            <w:r>
              <w:t xml:space="preserve">Book chapter</w:t>
            </w:r>
          </w:p>
        </w:tc>
        <w:tc>
          <w:tcPr>
            <w:tcW w:w="1068" w:type="dxa"/>
            <w:shd w:val="clear" w:color="auto" w:fill="F2F2F2"/>
          </w:tcPr>
          <w:p>
            <w:pPr/>
            <w:r>
              <w:t xml:space="preserve">Pages</w:t>
            </w:r>
          </w:p>
        </w:tc>
        <w:tc>
          <w:tcPr>
            <w:tcW w:w="1566" w:type="dxa"/>
            <w:shd w:val="clear" w:color="auto" w:fill="F2F2F2"/>
          </w:tcPr>
          <w:p>
            <w:pPr/>
            <w:r>
              <w:t xml:space="preserve">Pipeline component</w:t>
            </w:r>
          </w:p>
        </w:tc>
        <w:tc>
          <w:tcPr>
            <w:tcW w:w="4920" w:type="dxa"/>
            <w:shd w:val="clear" w:color="auto" w:fill="F2F2F2"/>
          </w:tcPr>
          <w:p>
            <w:pPr/>
            <w:r>
              <w:t xml:space="preserve">What is taken</w:t>
            </w:r>
          </w:p>
        </w:tc>
      </w:tr>
      <w:tr>
        <w:tc>
          <w:tcPr>
            <w:tcW w:w="1805" w:type="dxa"/>
          </w:tcPr>
          <w:p>
            <w:pPr/>
            <w:r>
              <w:t xml:space="preserve">2. Credit cycles</w:t>
            </w:r>
          </w:p>
        </w:tc>
        <w:tc>
          <w:tcPr>
            <w:tcW w:w="1068" w:type="dxa"/>
          </w:tcPr>
          <w:p>
            <w:pPr/>
            <w:r>
              <w:t xml:space="preserve">60–101</w:t>
            </w:r>
          </w:p>
        </w:tc>
        <w:tc>
          <w:tcPr>
            <w:tcW w:w="1566" w:type="dxa"/>
          </w:tcPr>
          <w:p>
            <w:pPr/>
            <w:r>
              <w:t xml:space="preserve">Section 3.6 macro feed; Section 9.2</w:t>
            </w:r>
          </w:p>
        </w:tc>
        <w:tc>
          <w:tcPr>
            <w:tcW w:w="4920" w:type="dxa"/>
          </w:tcPr>
          <w:p>
            <w:pPr/>
            <w:r>
              <w:t xml:space="preserve">Cycle phases; the 2022 cycle as rate-driven, loans against bonds (p. 99); the 2020 recovery (p. 98)</w:t>
            </w:r>
          </w:p>
        </w:tc>
      </w:tr>
      <w:tr>
        <w:tc>
          <w:tcPr>
            <w:tcW w:w="1805" w:type="dxa"/>
          </w:tcPr>
          <w:p>
            <w:pPr/>
            <w:r>
              <w:t xml:space="preserve">3. Trading terminology</w:t>
            </w:r>
          </w:p>
        </w:tc>
        <w:tc>
          <w:tcPr>
            <w:tcW w:w="1068" w:type="dxa"/>
          </w:tcPr>
          <w:p>
            <w:pPr/>
            <w:r>
              <w:t xml:space="preserve">103–122</w:t>
            </w:r>
          </w:p>
        </w:tc>
        <w:tc>
          <w:tcPr>
            <w:tcW w:w="1566" w:type="dxa"/>
          </w:tcPr>
          <w:p>
            <w:pPr/>
            <w:r>
              <w:t xml:space="preserve">Sections 1, 3.1, 7.2</w:t>
            </w:r>
          </w:p>
        </w:tc>
        <w:tc>
          <w:tcPr>
            <w:tcW w:w="4920" w:type="dxa"/>
          </w:tcPr>
          <w:p>
            <w:pPr/>
            <w:r>
              <w:t xml:space="preserve">Three price drivers (p. 113); duration rule (p. 116); price, yield, spread (p. 117); bid-ask and flat quotes (pp. 117–119); risk as PD times LGD (p. 119); spread quotes stop above 1,000 bp (p. 122)</w:t>
            </w:r>
          </w:p>
        </w:tc>
      </w:tr>
      <w:tr>
        <w:tc>
          <w:tcPr>
            <w:tcW w:w="1805" w:type="dxa"/>
          </w:tcPr>
          <w:p>
            <w:pPr/>
            <w:r>
              <w:t xml:space="preserve">6. Qualitative analysis</w:t>
            </w:r>
          </w:p>
        </w:tc>
        <w:tc>
          <w:tcPr>
            <w:tcW w:w="1068" w:type="dxa"/>
          </w:tcPr>
          <w:p>
            <w:pPr/>
            <w:r>
              <w:t xml:space="preserve">140–186</w:t>
            </w:r>
          </w:p>
        </w:tc>
        <w:tc>
          <w:tcPr>
            <w:tcW w:w="1566" w:type="dxa"/>
          </w:tcPr>
          <w:p>
            <w:pPr/>
            <w:r>
              <w:t xml:space="preserve">Section 4.4</w:t>
            </w:r>
          </w:p>
        </w:tc>
        <w:tc>
          <w:tcPr>
            <w:tcW w:w="4920" w:type="dxa"/>
          </w:tcPr>
          <w:p>
            <w:pPr/>
            <w:r>
              <w:t xml:space="preserve">Eight risks (Figure 6.2, p. 158); cyclicality types (p. 163); concentration questions (pp. 166–169); management change case (p. 184)</w:t>
            </w:r>
          </w:p>
        </w:tc>
      </w:tr>
      <w:tr>
        <w:tc>
          <w:tcPr>
            <w:tcW w:w="1805" w:type="dxa"/>
          </w:tcPr>
          <w:p>
            <w:pPr/>
            <w:r>
              <w:t xml:space="preserve">7. Profitability</w:t>
            </w:r>
          </w:p>
        </w:tc>
        <w:tc>
          <w:tcPr>
            <w:tcW w:w="1068" w:type="dxa"/>
          </w:tcPr>
          <w:p>
            <w:pPr/>
            <w:r>
              <w:t xml:space="preserve">187–223</w:t>
            </w:r>
          </w:p>
        </w:tc>
        <w:tc>
          <w:tcPr>
            <w:tcW w:w="1566" w:type="dxa"/>
          </w:tcPr>
          <w:p>
            <w:pPr/>
            <w:r>
              <w:t xml:space="preserve">Section 4.1</w:t>
            </w:r>
          </w:p>
        </w:tc>
        <w:tc>
          <w:tcPr>
            <w:tcW w:w="4920" w:type="dxa"/>
          </w:tcPr>
          <w:p>
            <w:pPr/>
            <w:r>
              <w:t xml:space="preserve">Six sub-steps (p. 191); nonrecurring items (p. 192); accounting concerns (p. 202); sales red flags (p. 211); book-to-bill (p. 207)</w:t>
            </w:r>
          </w:p>
        </w:tc>
      </w:tr>
      <w:tr>
        <w:tc>
          <w:tcPr>
            <w:tcW w:w="1805" w:type="dxa"/>
          </w:tcPr>
          <w:p>
            <w:pPr/>
            <w:r>
              <w:t xml:space="preserve">8. Cash flow and liquidity</w:t>
            </w:r>
          </w:p>
        </w:tc>
        <w:tc>
          <w:tcPr>
            <w:tcW w:w="1068" w:type="dxa"/>
          </w:tcPr>
          <w:p>
            <w:pPr/>
            <w:r>
              <w:t xml:space="preserve">224–254</w:t>
            </w:r>
          </w:p>
        </w:tc>
        <w:tc>
          <w:tcPr>
            <w:tcW w:w="1566" w:type="dxa"/>
          </w:tcPr>
          <w:p>
            <w:pPr/>
            <w:r>
              <w:t xml:space="preserve">Section 4.2</w:t>
            </w:r>
          </w:p>
        </w:tc>
        <w:tc>
          <w:tcPr>
            <w:tcW w:w="4920" w:type="dxa"/>
          </w:tcPr>
          <w:p>
            <w:pPr/>
            <w:r>
              <w:t xml:space="preserve">Ten sub-steps (p. 228); static liquidity (p. 229); maturity schedule (p. 229); FCF (p. 230); cash cycle (p. 230); refinance access and levers (p. 231); days formulas (pp. 240–242)</w:t>
            </w:r>
          </w:p>
        </w:tc>
      </w:tr>
      <w:tr>
        <w:tc>
          <w:tcPr>
            <w:tcW w:w="1805" w:type="dxa"/>
          </w:tcPr>
          <w:p>
            <w:pPr/>
            <w:r>
              <w:t xml:space="preserve">9. Capital structure</w:t>
            </w:r>
          </w:p>
        </w:tc>
        <w:tc>
          <w:tcPr>
            <w:tcW w:w="1068" w:type="dxa"/>
          </w:tcPr>
          <w:p>
            <w:pPr/>
            <w:r>
              <w:t xml:space="preserve">255–282</w:t>
            </w:r>
          </w:p>
        </w:tc>
        <w:tc>
          <w:tcPr>
            <w:tcW w:w="1566" w:type="dxa"/>
          </w:tcPr>
          <w:p>
            <w:pPr/>
            <w:r>
              <w:t xml:space="preserve">Sections 3.3, 4.3, 4.5</w:t>
            </w:r>
          </w:p>
        </w:tc>
        <w:tc>
          <w:tcPr>
            <w:tcW w:w="4920" w:type="dxa"/>
          </w:tcPr>
          <w:p>
            <w:pPr/>
            <w:r>
              <w:t xml:space="preserve">Capital structure table (p. 261); three ratios (p. 262); market-based leverage (pp. 264–265); LTV (p. 265); leases (pp. 267–268); guarantees (p. 273); default table (p. 274)</w:t>
            </w:r>
          </w:p>
        </w:tc>
      </w:tr>
      <w:tr>
        <w:tc>
          <w:tcPr>
            <w:tcW w:w="1805" w:type="dxa"/>
          </w:tcPr>
          <w:p>
            <w:pPr/>
            <w:r>
              <w:t xml:space="preserve">10. Forecasting</w:t>
            </w:r>
          </w:p>
        </w:tc>
        <w:tc>
          <w:tcPr>
            <w:tcW w:w="1068" w:type="dxa"/>
          </w:tcPr>
          <w:p>
            <w:pPr/>
            <w:r>
              <w:t xml:space="preserve">283–318</w:t>
            </w:r>
          </w:p>
        </w:tc>
        <w:tc>
          <w:tcPr>
            <w:tcW w:w="1566" w:type="dxa"/>
          </w:tcPr>
          <w:p>
            <w:pPr/>
            <w:r>
              <w:t xml:space="preserve">Section 5</w:t>
            </w:r>
          </w:p>
        </w:tc>
        <w:tc>
          <w:tcPr>
            <w:tcW w:w="4920" w:type="dxa"/>
          </w:tcPr>
          <w:p>
            <w:pPr/>
            <w:r>
              <w:t xml:space="preserve">Three cases (p. 285); eight sub-steps (p. 286); recession drivers (pp. 290, 306); downside summary (p. 309); probabilities (p. 311)</w:t>
            </w:r>
          </w:p>
        </w:tc>
      </w:tr>
      <w:tr>
        <w:tc>
          <w:tcPr>
            <w:tcW w:w="1805" w:type="dxa"/>
          </w:tcPr>
          <w:p>
            <w:pPr/>
            <w:r>
              <w:t xml:space="preserve">11. Valuation</w:t>
            </w:r>
          </w:p>
        </w:tc>
        <w:tc>
          <w:tcPr>
            <w:tcW w:w="1068" w:type="dxa"/>
          </w:tcPr>
          <w:p>
            <w:pPr/>
            <w:r>
              <w:t xml:space="preserve">319–336</w:t>
            </w:r>
          </w:p>
        </w:tc>
        <w:tc>
          <w:tcPr>
            <w:tcW w:w="1566" w:type="dxa"/>
          </w:tcPr>
          <w:p>
            <w:pPr/>
            <w:r>
              <w:t xml:space="preserve">Section 6.1</w:t>
            </w:r>
          </w:p>
        </w:tc>
        <w:tc>
          <w:tcPr>
            <w:tcW w:w="4920" w:type="dxa"/>
          </w:tcPr>
          <w:p>
            <w:pPr/>
            <w:r>
              <w:t xml:space="preserve">Cheap and rich (p. 321); TEV (p. 321); liquidation rates (p. 332); football field (p. 332); JCPenney implied equity (p. 333)</w:t>
            </w:r>
          </w:p>
        </w:tc>
      </w:tr>
      <w:tr>
        <w:tc>
          <w:tcPr>
            <w:tcW w:w="1805" w:type="dxa"/>
          </w:tcPr>
          <w:p>
            <w:pPr/>
            <w:r>
              <w:t xml:space="preserve">12. Structure and documentation</w:t>
            </w:r>
          </w:p>
        </w:tc>
        <w:tc>
          <w:tcPr>
            <w:tcW w:w="1068" w:type="dxa"/>
          </w:tcPr>
          <w:p>
            <w:pPr/>
            <w:r>
              <w:t xml:space="preserve">337–365</w:t>
            </w:r>
          </w:p>
        </w:tc>
        <w:tc>
          <w:tcPr>
            <w:tcW w:w="1566" w:type="dxa"/>
          </w:tcPr>
          <w:p>
            <w:pPr/>
            <w:r>
              <w:t xml:space="preserve">Sections 3.4, 4.6</w:t>
            </w:r>
          </w:p>
        </w:tc>
        <w:tc>
          <w:tcPr>
            <w:tcW w:w="4920" w:type="dxa"/>
          </w:tcPr>
          <w:p>
            <w:pPr/>
            <w:r>
              <w:t xml:space="preserve">Maintenance against incurrence (p. 353); add-backs (pp. 353–354); covenant cushion (p. 356); bank debt against bonds (p. 357); sacred rights (p. 358)</w:t>
            </w:r>
          </w:p>
        </w:tc>
      </w:tr>
      <w:tr>
        <w:tc>
          <w:tcPr>
            <w:tcW w:w="1805" w:type="dxa"/>
          </w:tcPr>
          <w:p>
            <w:pPr/>
            <w:r>
              <w:t xml:space="preserve">13. Investment memo</w:t>
            </w:r>
          </w:p>
        </w:tc>
        <w:tc>
          <w:tcPr>
            <w:tcW w:w="1068" w:type="dxa"/>
          </w:tcPr>
          <w:p>
            <w:pPr/>
            <w:r>
              <w:t xml:space="preserve">366–414</w:t>
            </w:r>
          </w:p>
        </w:tc>
        <w:tc>
          <w:tcPr>
            <w:tcW w:w="1566" w:type="dxa"/>
          </w:tcPr>
          <w:p>
            <w:pPr/>
            <w:r>
              <w:t xml:space="preserve">Sections 7.4, 8</w:t>
            </w:r>
          </w:p>
        </w:tc>
        <w:tc>
          <w:tcPr>
            <w:tcW w:w="4920" w:type="dxa"/>
          </w:tcPr>
          <w:p>
            <w:pPr/>
            <w:r>
              <w:t xml:space="preserve">Relative risk-adjusted return and the force rank (pp. 368–369); VCC relative value (p. 386); HCA relative value table and commentary (pp. 412–413); HCA postmortem (p. 414)</w:t>
            </w:r>
          </w:p>
        </w:tc>
      </w:tr>
      <w:tr>
        <w:tc>
          <w:tcPr>
            <w:tcW w:w="1805" w:type="dxa"/>
          </w:tcPr>
          <w:p>
            <w:pPr/>
            <w:r>
              <w:t xml:space="preserve">14. Distressed introduction</w:t>
            </w:r>
          </w:p>
        </w:tc>
        <w:tc>
          <w:tcPr>
            <w:tcW w:w="1068" w:type="dxa"/>
          </w:tcPr>
          <w:p>
            <w:pPr/>
            <w:r>
              <w:t xml:space="preserve">416–423</w:t>
            </w:r>
          </w:p>
        </w:tc>
        <w:tc>
          <w:tcPr>
            <w:tcW w:w="1566" w:type="dxa"/>
          </w:tcPr>
          <w:p>
            <w:pPr/>
            <w:r>
              <w:t xml:space="preserve">Sections 3.6, 8 (S6)</w:t>
            </w:r>
          </w:p>
        </w:tc>
        <w:tc>
          <w:tcPr>
            <w:tcW w:w="4920" w:type="dxa"/>
          </w:tcPr>
          <w:p>
            <w:pPr/>
            <w:r>
              <w:t xml:space="preserve">Distressed thresholds (p. 416); forced sellers (p. 418); eight strategies (p. 419)</w:t>
            </w:r>
          </w:p>
        </w:tc>
      </w:tr>
      <w:tr>
        <w:tc>
          <w:tcPr>
            <w:tcW w:w="1805" w:type="dxa"/>
          </w:tcPr>
          <w:p>
            <w:pPr/>
            <w:r>
              <w:t xml:space="preserve">15. Bankruptcy 101</w:t>
            </w:r>
          </w:p>
        </w:tc>
        <w:tc>
          <w:tcPr>
            <w:tcW w:w="1068" w:type="dxa"/>
          </w:tcPr>
          <w:p>
            <w:pPr/>
            <w:r>
              <w:t xml:space="preserve">424–</w:t>
            </w:r>
          </w:p>
        </w:tc>
        <w:tc>
          <w:tcPr>
            <w:tcW w:w="1566" w:type="dxa"/>
          </w:tcPr>
          <w:p>
            <w:pPr/>
            <w:r>
              <w:t xml:space="preserve">Sections 6.2, 7.1</w:t>
            </w:r>
          </w:p>
        </w:tc>
        <w:tc>
          <w:tcPr>
            <w:tcW w:w="4920" w:type="dxa"/>
          </w:tcPr>
          <w:p>
            <w:pPr/>
            <w:r>
              <w:t xml:space="preserve">Three causes of a filing (p. 424); DIP and administrative priority</w:t>
            </w:r>
          </w:p>
        </w:tc>
      </w:tr>
      <w:tr>
        <w:tc>
          <w:tcPr>
            <w:tcW w:w="1805" w:type="dxa"/>
          </w:tcPr>
          <w:p>
            <w:pPr/>
            <w:r>
              <w:t xml:space="preserve">17. Subordination</w:t>
            </w:r>
          </w:p>
        </w:tc>
        <w:tc>
          <w:tcPr>
            <w:tcW w:w="1068" w:type="dxa"/>
          </w:tcPr>
          <w:p>
            <w:pPr/>
            <w:r>
              <w:t xml:space="preserve">–497</w:t>
            </w:r>
          </w:p>
        </w:tc>
        <w:tc>
          <w:tcPr>
            <w:tcW w:w="1566" w:type="dxa"/>
          </w:tcPr>
          <w:p>
            <w:pPr/>
            <w:r>
              <w:t xml:space="preserve">Section 6.2</w:t>
            </w:r>
          </w:p>
        </w:tc>
        <w:tc>
          <w:tcPr>
            <w:tcW w:w="4920" w:type="dxa"/>
          </w:tcPr>
          <w:p>
            <w:pPr/>
            <w:r>
              <w:t xml:space="preserve">Time, contractual, structural subordination; double dip (p. 531)</w:t>
            </w:r>
          </w:p>
        </w:tc>
      </w:tr>
      <w:tr>
        <w:tc>
          <w:tcPr>
            <w:tcW w:w="1805" w:type="dxa"/>
          </w:tcPr>
          <w:p>
            <w:pPr/>
            <w:r>
              <w:t xml:space="preserve">18. Liability management</w:t>
            </w:r>
          </w:p>
        </w:tc>
        <w:tc>
          <w:tcPr>
            <w:tcW w:w="1068" w:type="dxa"/>
          </w:tcPr>
          <w:p>
            <w:pPr/>
            <w:r>
              <w:t xml:space="preserve">498–513</w:t>
            </w:r>
          </w:p>
        </w:tc>
        <w:tc>
          <w:tcPr>
            <w:tcW w:w="1566" w:type="dxa"/>
          </w:tcPr>
          <w:p>
            <w:pPr/>
            <w:r>
              <w:t xml:space="preserve">Sections 6.3, 8 (S5)</w:t>
            </w:r>
          </w:p>
        </w:tc>
        <w:tc>
          <w:tcPr>
            <w:tcW w:w="4920" w:type="dxa"/>
          </w:tcPr>
          <w:p>
            <w:pPr/>
            <w:r>
              <w:t xml:space="preserve">Drop-down (pp. 499–501); uptier recovery before and after (pp. 503–504)</w:t>
            </w:r>
          </w:p>
        </w:tc>
      </w:tr>
      <w:tr>
        <w:tc>
          <w:tcPr>
            <w:tcW w:w="1805" w:type="dxa"/>
          </w:tcPr>
          <w:p>
            <w:pPr/>
            <w:r>
              <w:t xml:space="preserve">19. Distressed strategies</w:t>
            </w:r>
          </w:p>
        </w:tc>
        <w:tc>
          <w:tcPr>
            <w:tcW w:w="1068" w:type="dxa"/>
          </w:tcPr>
          <w:p>
            <w:pPr/>
            <w:r>
              <w:t xml:space="preserve">514–</w:t>
            </w:r>
          </w:p>
        </w:tc>
        <w:tc>
          <w:tcPr>
            <w:tcW w:w="1566" w:type="dxa"/>
          </w:tcPr>
          <w:p>
            <w:pPr/>
            <w:r>
              <w:t xml:space="preserve">Sections 7.5, 8 (S1, S4, S5)</w:t>
            </w:r>
          </w:p>
        </w:tc>
        <w:tc>
          <w:tcPr>
            <w:tcW w:w="4920" w:type="dxa"/>
          </w:tcPr>
          <w:p>
            <w:pPr/>
            <w:r>
              <w:t xml:space="preserve">Spread tightening trade (pp. 517–518); 2020 spread range (p. 518); curve trade trap, change of control pair, secured against unsecured (pp. 529–531)</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High Yield Bond Mispricing Methodology</dc:title>
  <dc:description>Claude Docs node/35f70317-f392@15 docx-w7</dc:description>
  <cp:revision>15</cp:revision>
</cp:coreProperties>
</file>