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4.jpeg" ContentType="image/jpeg"/>
  <Override PartName="/word/media/image3.png" ContentType="image/pn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A000-Afr-Benin miniature iron Fon shield </w:t>
      </w:r>
    </w:p>
    <w:p>
      <w:pPr>
        <w:pStyle w:val="Normal"/>
        <w:rPr/>
      </w:pPr>
      <w:r>
        <w:rPr>
          <w:lang w:val="en-US" w:eastAsia="en-US"/>
        </w:rPr>
        <w:drawing>
          <wp:inline distT="0" distB="0" distL="0" distR="0">
            <wp:extent cx="2061210" cy="197104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4" t="-14" r="-14" b="-14"/>
                    <a:stretch>
                      <a:fillRect/>
                    </a:stretch>
                  </pic:blipFill>
                  <pic:spPr bwMode="auto">
                    <a:xfrm>
                      <a:off x="0" y="0"/>
                      <a:ext cx="2061210" cy="1971040"/>
                    </a:xfrm>
                    <a:prstGeom prst="rect">
                      <a:avLst/>
                    </a:prstGeom>
                  </pic:spPr>
                </pic:pic>
              </a:graphicData>
            </a:graphic>
          </wp:inline>
        </w:drawing>
      </w:r>
      <w:r>
        <w:rPr/>
        <w:drawing>
          <wp:inline distT="0" distB="0" distL="0" distR="0">
            <wp:extent cx="2079625" cy="19939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6" t="-6" r="-6" b="-6"/>
                    <a:stretch>
                      <a:fillRect/>
                    </a:stretch>
                  </pic:blipFill>
                  <pic:spPr bwMode="auto">
                    <a:xfrm>
                      <a:off x="0" y="0"/>
                      <a:ext cx="2079625" cy="1993900"/>
                    </a:xfrm>
                    <a:prstGeom prst="rect">
                      <a:avLst/>
                    </a:prstGeom>
                  </pic:spPr>
                </pic:pic>
              </a:graphicData>
            </a:graphic>
          </wp:inline>
        </w:drawing>
      </w:r>
      <w:r>
        <w:rPr>
          <w:lang w:val="en-US" w:eastAsia="en-US"/>
        </w:rPr>
        <w:drawing>
          <wp:inline distT="0" distB="0" distL="0" distR="0">
            <wp:extent cx="2176145" cy="19685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8" t="-20" r="-18" b="-20"/>
                    <a:stretch>
                      <a:fillRect/>
                    </a:stretch>
                  </pic:blipFill>
                  <pic:spPr bwMode="auto">
                    <a:xfrm>
                      <a:off x="0" y="0"/>
                      <a:ext cx="2176145" cy="1968500"/>
                    </a:xfrm>
                    <a:prstGeom prst="rect">
                      <a:avLst/>
                    </a:prstGeom>
                  </pic:spPr>
                </pic:pic>
              </a:graphicData>
            </a:graphic>
          </wp:inline>
        </w:drawing>
      </w:r>
    </w:p>
    <w:p>
      <w:pPr>
        <w:pStyle w:val="Normal"/>
        <w:rPr/>
      </w:pPr>
      <w:r>
        <w:rPr/>
        <w:drawing>
          <wp:inline distT="0" distB="0" distL="0" distR="0">
            <wp:extent cx="4884420" cy="189039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5" t="-14" r="-5" b="-14"/>
                    <a:stretch>
                      <a:fillRect/>
                    </a:stretch>
                  </pic:blipFill>
                  <pic:spPr bwMode="auto">
                    <a:xfrm>
                      <a:off x="0" y="0"/>
                      <a:ext cx="4884420" cy="1890395"/>
                    </a:xfrm>
                    <a:prstGeom prst="rect">
                      <a:avLst/>
                    </a:prstGeom>
                  </pic:spPr>
                </pic:pic>
              </a:graphicData>
            </a:graphic>
          </wp:inline>
        </w:drawing>
      </w:r>
      <w:r>
        <w:rPr>
          <w:rFonts w:eastAsia="Times New Roman"/>
        </w:rPr>
        <w:t xml:space="preserve"> </w:t>
      </w:r>
    </w:p>
    <w:p>
      <w:pPr>
        <w:pStyle w:val="Normal"/>
        <w:rPr>
          <w:rStyle w:val="StrongEmphasis"/>
        </w:rPr>
      </w:pPr>
      <w:r>
        <w:rPr/>
        <w:t>Figs. 1-4. Benin miniature iron Fon shield used as an apotropaic amulet. Various views.</w:t>
      </w:r>
    </w:p>
    <w:p>
      <w:pPr>
        <w:pStyle w:val="Normal"/>
        <w:rPr>
          <w:rStyle w:val="StrongEmphasis"/>
          <w:b w:val="false"/>
          <w:b w:val="false"/>
          <w:bCs w:val="false"/>
        </w:rPr>
      </w:pPr>
      <w:r>
        <w:rPr>
          <w:rStyle w:val="StrongEmphasis"/>
        </w:rPr>
        <w:t xml:space="preserve">Formal Label: </w:t>
      </w:r>
      <w:r>
        <w:rPr/>
        <w:t>Benin, miniature iron Fon shield used as an apotropaic amulet</w:t>
      </w:r>
    </w:p>
    <w:p>
      <w:pPr>
        <w:pStyle w:val="Normal"/>
        <w:rPr/>
      </w:pPr>
      <w:r>
        <w:rPr>
          <w:rStyle w:val="StrongEmphasis"/>
        </w:rPr>
        <w:t>Accession Number:</w:t>
      </w:r>
    </w:p>
    <w:p>
      <w:pPr>
        <w:pStyle w:val="Normal"/>
        <w:rPr/>
      </w:pPr>
      <w:r>
        <w:rPr>
          <w:rStyle w:val="StrongEmphasis"/>
        </w:rPr>
        <w:t>LC Classification:</w:t>
      </w:r>
      <w:r>
        <w:rPr/>
        <w:t xml:space="preserve"> </w:t>
      </w:r>
      <w:r>
        <w:rPr>
          <w:rStyle w:val="StrongEmphasis"/>
        </w:rPr>
        <w:t>N7397</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Benin</w:t>
      </w:r>
    </w:p>
    <w:p>
      <w:pPr>
        <w:pStyle w:val="Normal"/>
        <w:rPr/>
      </w:pPr>
      <w:r>
        <w:rPr>
          <w:rStyle w:val="StrongEmphasis"/>
        </w:rPr>
        <w:t>Cultural Affiliation:</w:t>
      </w:r>
      <w:r>
        <w:rPr/>
        <w:t xml:space="preserve"> Fon</w:t>
      </w:r>
    </w:p>
    <w:p>
      <w:pPr>
        <w:pStyle w:val="Normal"/>
        <w:rPr/>
      </w:pPr>
      <w:r>
        <w:rPr>
          <w:b/>
        </w:rPr>
        <w:t>Map:</w:t>
      </w:r>
      <w:r>
        <w:rPr/>
        <w:t xml:space="preserve"> showing Fon and the four Gbe language groups.</w:t>
      </w:r>
    </w:p>
    <w:p>
      <w:pPr>
        <w:pStyle w:val="Normal"/>
        <w:rPr/>
      </w:pPr>
      <w:r>
        <w:rPr/>
        <w:drawing>
          <wp:inline distT="0" distB="0" distL="0" distR="0">
            <wp:extent cx="3705860" cy="2095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11" r="-6" b="-11"/>
                    <a:stretch>
                      <a:fillRect/>
                    </a:stretch>
                  </pic:blipFill>
                  <pic:spPr bwMode="auto">
                    <a:xfrm>
                      <a:off x="0" y="0"/>
                      <a:ext cx="3705860" cy="2095500"/>
                    </a:xfrm>
                    <a:prstGeom prst="rect">
                      <a:avLst/>
                    </a:prstGeom>
                  </pic:spPr>
                </pic:pic>
              </a:graphicData>
            </a:graphic>
          </wp:inline>
        </w:drawing>
      </w:r>
    </w:p>
    <w:p>
      <w:pPr>
        <w:pStyle w:val="Normal"/>
        <w:rPr/>
      </w:pPr>
      <w:r>
        <w:rPr/>
        <w:t xml:space="preserve">Fig. 5. From: </w:t>
      </w:r>
      <w:hyperlink r:id="rId7">
        <w:r>
          <w:rPr>
            <w:rStyle w:val="InternetLink"/>
          </w:rPr>
          <w:t>Mark Dingemanse</w:t>
        </w:r>
      </w:hyperlink>
      <w:r>
        <w:rPr>
          <w:rStyle w:val="Mwmmvauthor"/>
        </w:rPr>
        <w:t>, https://upload.wikimedia.org/wikipedia/commons/0/03/Gbe_languages.png</w:t>
      </w:r>
    </w:p>
    <w:p>
      <w:pPr>
        <w:pStyle w:val="Normal"/>
        <w:rPr/>
      </w:pPr>
      <w:r>
        <w:rPr>
          <w:rStyle w:val="StrongEmphasis"/>
        </w:rPr>
        <w:t>Medium:</w:t>
      </w:r>
      <w:r>
        <w:rPr/>
        <w:t xml:space="preserve"> Bronze</w:t>
      </w:r>
    </w:p>
    <w:p>
      <w:pPr>
        <w:pStyle w:val="Normal"/>
        <w:rPr/>
      </w:pPr>
      <w:r>
        <w:rPr>
          <w:rStyle w:val="StrongEmphasis"/>
        </w:rPr>
        <w:t xml:space="preserve">Dimensions: </w:t>
      </w:r>
      <w:r>
        <w:rPr/>
        <w:t>2.25 in. dia</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 Fon Royal regalia</w:t>
      </w:r>
    </w:p>
    <w:p>
      <w:pPr>
        <w:pStyle w:val="Normal"/>
        <w:rPr>
          <w:b/>
          <w:b/>
        </w:rPr>
      </w:pPr>
      <w:r>
        <w:rPr>
          <w:b/>
        </w:rPr>
        <w:t>Condition: Partially rusted</w:t>
      </w:r>
    </w:p>
    <w:p>
      <w:pPr>
        <w:pStyle w:val="Normal"/>
        <w:rPr>
          <w:b/>
          <w:b/>
        </w:rPr>
      </w:pPr>
      <w:r>
        <w:rPr>
          <w:b/>
        </w:rPr>
        <w:t>Discussion:</w:t>
      </w:r>
    </w:p>
    <w:p>
      <w:pPr>
        <w:pStyle w:val="Normal"/>
        <w:rPr/>
      </w:pPr>
      <w:r>
        <w:rPr/>
        <w:t xml:space="preserve">The </w:t>
      </w:r>
      <w:r>
        <w:rPr>
          <w:b/>
          <w:bCs/>
        </w:rPr>
        <w:t>Fon</w:t>
      </w:r>
      <w:r>
        <w:rPr/>
        <w:t xml:space="preserve"> people (also </w:t>
      </w:r>
      <w:r>
        <w:rPr>
          <w:b/>
          <w:bCs/>
        </w:rPr>
        <w:t>Fon nu</w:t>
      </w:r>
      <w:r>
        <w:rPr/>
        <w:t xml:space="preserve">, </w:t>
      </w:r>
      <w:r>
        <w:rPr>
          <w:b/>
          <w:bCs/>
        </w:rPr>
        <w:t>Agadja</w:t>
      </w:r>
      <w:r>
        <w:rPr/>
        <w:t xml:space="preserve"> andr </w:t>
      </w:r>
      <w:r>
        <w:rPr>
          <w:b/>
          <w:bCs/>
        </w:rPr>
        <w:t>Dahomey</w:t>
      </w:r>
      <w:r>
        <w:rPr/>
        <w:t>) are a major West African ethno-linguistic group, whose language is part of the Niger-Congo group. T</w:t>
      </w:r>
      <w:r>
        <w:rPr>
          <w:rStyle w:val="Mwmmvtitle"/>
        </w:rPr>
        <w:t xml:space="preserve">he Fon have been concentrated in Benin and southwestern Nigeria since the seventeenth century. </w:t>
      </w:r>
      <w:r>
        <w:rPr/>
        <w:t>In Benin, Fon shields were used not only as defensive weapons but also as spiritual objects made of wood, hides and iron as in this case. Fon religion (</w:t>
      </w:r>
      <w:r>
        <w:rPr>
          <w:i/>
          <w:iCs/>
        </w:rPr>
        <w:t>Vodoun</w:t>
      </w:r>
      <w:r>
        <w:rPr/>
        <w:t xml:space="preserve">, </w:t>
      </w:r>
      <w:r>
        <w:rPr>
          <w:i/>
          <w:iCs/>
        </w:rPr>
        <w:t>Vodzu</w:t>
      </w:r>
      <w:r>
        <w:rPr/>
        <w:t xml:space="preserve">, </w:t>
      </w:r>
      <w:r>
        <w:rPr>
          <w:i/>
          <w:iCs/>
        </w:rPr>
        <w:t>Vodu, Vodun</w:t>
      </w:r>
      <w:r>
        <w:rPr/>
        <w:t xml:space="preserve">) which is encompasses ancestral spirits and public and private deities and amulets or charms of which the present specimen is an example. The geometric designs that surround the central boss are symbolic of a cobra’s raised head and hood, which is designed to enhance the protective symbolism of the shield. </w:t>
      </w:r>
    </w:p>
    <w:p>
      <w:pPr>
        <w:pStyle w:val="Normal"/>
        <w:rPr>
          <w:lang w:val="en-US" w:eastAsia="en-US"/>
        </w:rPr>
      </w:pPr>
      <w:r>
        <w:rPr>
          <w:lang w:val="en-US" w:eastAsia="en-US"/>
        </w:rPr>
        <w:drawing>
          <wp:inline distT="0" distB="0" distL="0" distR="0">
            <wp:extent cx="1076325" cy="9334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rcRect l="-44" t="-51" r="-44" b="-51"/>
                    <a:stretch>
                      <a:fillRect/>
                    </a:stretch>
                  </pic:blipFill>
                  <pic:spPr bwMode="auto">
                    <a:xfrm>
                      <a:off x="0" y="0"/>
                      <a:ext cx="1076325" cy="933450"/>
                    </a:xfrm>
                    <a:prstGeom prst="rect">
                      <a:avLst/>
                    </a:prstGeom>
                  </pic:spPr>
                </pic:pic>
              </a:graphicData>
            </a:graphic>
          </wp:inline>
        </w:drawing>
      </w:r>
    </w:p>
    <w:p>
      <w:pPr>
        <w:pStyle w:val="Normal"/>
        <w:rPr>
          <w:lang w:val="en-US" w:eastAsia="en-US"/>
        </w:rPr>
      </w:pPr>
      <w:r>
        <w:rPr>
          <w:lang w:val="en-US" w:eastAsia="en-US"/>
        </w:rPr>
        <w:t>Fig. 6. Cobra hoods surrounding the central boss.</w:t>
      </w:r>
    </w:p>
    <w:p>
      <w:pPr>
        <w:pStyle w:val="Normal"/>
        <w:rPr/>
      </w:pPr>
      <w:r>
        <w:rPr/>
        <w:t xml:space="preserve">Metal required not only the expert knowledge of a metalsmith (in this case an iron monger) but also the use of a smelter and bellows to manufacture the fiery product. Because of the use of fire, the product was considered sacred. This iron disk would have been affixed to royal regalia as an apotropaic appurtenance designed to emulate a shield in order to protect the wearer in daily activities. Full-sized Fon shields would have had a diameter of about a foot. </w:t>
      </w:r>
    </w:p>
    <w:p>
      <w:pPr>
        <w:pStyle w:val="Normal"/>
        <w:rPr/>
      </w:pPr>
      <w:r>
        <w:rPr/>
      </w:r>
    </w:p>
    <w:p>
      <w:pPr>
        <w:pStyle w:val="Normal"/>
        <w:rPr>
          <w:b/>
          <w:b/>
        </w:rPr>
      </w:pPr>
      <w:r>
        <w:rPr>
          <w:b/>
        </w:rPr>
        <w:t>References:</w:t>
      </w:r>
    </w:p>
    <w:p>
      <w:pPr>
        <w:pStyle w:val="Normal"/>
        <w:spacing w:before="280" w:after="280"/>
        <w:rPr/>
      </w:pPr>
      <w:r>
        <w:rPr>
          <w:rFonts w:eastAsia="Times New Roman"/>
          <w:lang w:eastAsia="en-US"/>
        </w:rPr>
        <w:t xml:space="preserve">Capo, Hounkpati B.C. 1988. </w:t>
      </w:r>
      <w:r>
        <w:rPr>
          <w:rFonts w:eastAsia="Times New Roman"/>
          <w:i/>
          <w:iCs/>
          <w:lang w:val="fr-FR" w:eastAsia="en-US"/>
        </w:rPr>
        <w:t>Renaissance du Gbe: Réflexions critiques et constructives sur L'EVE, le FON, le GEN, l'AJA, le GUN..</w:t>
      </w:r>
      <w:r>
        <w:rPr>
          <w:rFonts w:eastAsia="Times New Roman"/>
          <w:lang w:val="fr-FR" w:eastAsia="en-US"/>
        </w:rPr>
        <w:t xml:space="preserve"> </w:t>
      </w:r>
      <w:r>
        <w:rPr>
          <w:rFonts w:eastAsia="Times New Roman"/>
          <w:lang w:eastAsia="en-US"/>
        </w:rPr>
        <w:t>Hamburg: Helmut Buske Verlag.</w:t>
      </w:r>
    </w:p>
    <w:p>
      <w:pPr>
        <w:pStyle w:val="Normal"/>
        <w:spacing w:before="280" w:after="280"/>
        <w:rPr/>
      </w:pPr>
      <w:r>
        <w:rPr>
          <w:rFonts w:eastAsia="Times New Roman"/>
          <w:lang w:eastAsia="en-US"/>
        </w:rPr>
        <w:t xml:space="preserve">Capo, Hounkpati B.C. 1991. </w:t>
      </w:r>
      <w:r>
        <w:rPr>
          <w:rFonts w:eastAsia="Times New Roman"/>
          <w:i/>
          <w:iCs/>
          <w:lang w:eastAsia="en-US"/>
        </w:rPr>
        <w:t>A Comparative Phonology of Gbe</w:t>
      </w:r>
      <w:r>
        <w:rPr>
          <w:rFonts w:eastAsia="Times New Roman"/>
          <w:lang w:eastAsia="en-US"/>
        </w:rPr>
        <w:t>, Publications in African Languages and Linguistics, 14. Berlin/New York: Foris Publications &amp; Garome, Bénin: Labo Gbe LLC.</w:t>
      </w:r>
    </w:p>
    <w:p>
      <w:pPr>
        <w:pStyle w:val="Normal"/>
        <w:rPr>
          <w:rFonts w:eastAsia="Times New Roman"/>
          <w:lang w:eastAsia="en-US"/>
        </w:rPr>
      </w:pPr>
      <w:r>
        <w:rPr>
          <w:rFonts w:eastAsia="Times New Roman"/>
          <w:lang w:eastAsia="en-US"/>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mmvauthor">
    <w:name w:val="mw-mmv-author"/>
    <w:qFormat/>
    <w:rPr/>
  </w:style>
  <w:style w:type="character" w:styleId="Mwmmvtitle">
    <w:name w:val="mw-mmv-title"/>
    <w:qFormat/>
    <w:rPr/>
  </w:style>
  <w:style w:type="character" w:styleId="BalloonTextChar">
    <w:name w:val="Balloon Text Char"/>
    <w:qFormat/>
    <w:rPr>
      <w:rFonts w:ascii="Segoe UI" w:hAnsi="Segoe UI" w:cs="Segoe UI"/>
      <w:sz w:val="18"/>
      <w:szCs w:val="18"/>
      <w:lang w:eastAsia="zh-C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en.wikipedia.org/wiki/User:Mark_Dingemanse" TargetMode="External"/><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2018-02-06T15:08:00Z</dcterms:created>
  <dc:creator>USER</dc:creator>
  <dc:description/>
  <cp:keywords/>
  <dc:language>en-US</dc:language>
  <cp:lastModifiedBy>murcott</cp:lastModifiedBy>
  <cp:lastPrinted>2017-02-14T17:10:00Z</cp:lastPrinted>
  <dcterms:modified xsi:type="dcterms:W3CDTF">2018-02-06T15:08:00Z</dcterms:modified>
  <cp:revision>2</cp:revision>
  <dc:subject/>
  <dc:title>Mask-Afr-Benin Disk-Bronze</dc:title>
</cp:coreProperties>
</file>