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DIS-Afr-Mali-Dogon-</w:t>
      </w:r>
      <w:r>
        <w:rPr>
          <w:color w:val="000000"/>
          <w:szCs w:val="20"/>
        </w:rPr>
        <w:t>Anthropomorphic Container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Cs w:val="20"/>
        </w:rPr>
        <w:t xml:space="preserve">Dogon bronze Anthropomorphic Container from Mali. Height 7 in. Fine old rare patina. Used for probably storing betel nut juice or some other stimulant. Its lid has a provocative likeness of an elder who holds the </w:t>
      </w:r>
      <w:r>
        <w:rPr>
          <w:i/>
          <w:iCs/>
          <w:color w:val="000000"/>
          <w:szCs w:val="20"/>
        </w:rPr>
        <w:t>baton de commandement</w:t>
      </w:r>
      <w:r>
        <w:rPr>
          <w:color w:val="000000"/>
          <w:szCs w:val="20"/>
        </w:rPr>
        <w:t xml:space="preserve"> of his office in his right hand. He was probably an important figure of his tribal group on Mali’s bandiagara escarpment.</w:t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/>
      </w:pPr>
      <w:r>
        <w:rPr/>
        <w:drawing>
          <wp:inline distT="0" distB="0" distL="0" distR="0">
            <wp:extent cx="1901825" cy="3480435"/>
            <wp:effectExtent l="0" t="0" r="0" b="0"/>
            <wp:docPr id="1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18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93240" cy="3473450"/>
            <wp:effectExtent l="0" t="0" r="0" b="0"/>
            <wp:docPr id="2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56385" cy="3489325"/>
            <wp:effectExtent l="0" t="0" r="0" b="0"/>
            <wp:docPr id="3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06600" cy="3224530"/>
            <wp:effectExtent l="0" t="0" r="0" b="0"/>
            <wp:docPr id="4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2016-06-15T12:38:00Z</dcterms:created>
  <dc:creator>owner</dc:creator>
  <dc:description/>
  <dc:language>en-US</dc:language>
  <cp:lastModifiedBy>owner</cp:lastModifiedBy>
  <dcterms:modified xsi:type="dcterms:W3CDTF">2016-06-15T12:51:00Z</dcterms:modified>
  <cp:revision>1</cp:revision>
  <dc:subject/>
  <dc:title>DIS-Afr-Mali-Dogon-Anthropomorphic Container</dc:title>
</cp:coreProperties>
</file>