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vbaProject.bin" ContentType="application/vnd.ms-office.vbaProject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wmf" ContentType="image/x-wmf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Afr-Aterian-Dates</w:t>
      </w:r>
    </w:p>
    <w:p>
      <w:pPr>
        <w:pStyle w:val="Normal"/>
        <w:autoSpaceDE w:val="false"/>
        <w:rPr/>
      </w:pPr>
      <w:r>
        <w:rPr>
          <w:color w:val="000000"/>
          <w:szCs w:val="20"/>
        </w:rPr>
        <w:t xml:space="preserve">Aterian may be termed a Middle Paleolithic or </w:t>
      </w:r>
      <w:r>
        <w:rPr>
          <w:szCs w:val="23"/>
        </w:rPr>
        <w:t xml:space="preserve">Late Pleistocene flake-oriented </w:t>
      </w:r>
      <w:r>
        <w:rPr>
          <w:color w:val="000000"/>
          <w:szCs w:val="20"/>
        </w:rPr>
        <w:t>technocomplex</w:t>
      </w:r>
      <w:r>
        <w:rPr>
          <w:spacing w:val="-4"/>
          <w:szCs w:val="23"/>
        </w:rPr>
        <w:t xml:space="preserve"> with a huge geographic area extending across North Africa </w:t>
      </w:r>
      <w:r>
        <w:rPr>
          <w:color w:val="000000"/>
          <w:szCs w:val="20"/>
        </w:rPr>
        <w:t xml:space="preserve">and is defined by tanged lithics with </w:t>
      </w:r>
      <w:r>
        <w:rPr>
          <w:spacing w:val="-3"/>
          <w:szCs w:val="23"/>
        </w:rPr>
        <w:t>similarities to Mousterian use of Le</w:t>
        <w:softHyphen/>
        <w:t>vallois technique and some formal tools, resembling</w:t>
      </w:r>
      <w:r>
        <w:rPr>
          <w:szCs w:val="23"/>
        </w:rPr>
        <w:t xml:space="preserve"> Upper Paleolithic technology, and, hence, is </w:t>
      </w:r>
      <w:r>
        <w:rPr>
          <w:spacing w:val="-3"/>
          <w:szCs w:val="23"/>
        </w:rPr>
        <w:t>similarities to the Mousterian tradition, particularly for the presence of Le</w:t>
        <w:softHyphen/>
        <w:t>vallois technique and a marked evolution of some formal tools, which re</w:t>
        <w:softHyphen/>
      </w:r>
      <w:r>
        <w:rPr>
          <w:szCs w:val="23"/>
        </w:rPr>
        <w:t xml:space="preserve">semble elements of Upper Paleolithic technology, and, hence, </w:t>
      </w:r>
      <w:r>
        <w:rPr>
          <w:color w:val="000000"/>
          <w:szCs w:val="20"/>
        </w:rPr>
        <w:t xml:space="preserve"> is generally believed to have developed from of the </w:t>
      </w:r>
      <w:r>
        <w:rPr/>
        <w:t xml:space="preserve">Middle Paleolithic-Middle Stone Age (MP-MSA) </w:t>
      </w:r>
      <w:r>
        <w:rPr>
          <w:color w:val="000000"/>
          <w:szCs w:val="20"/>
        </w:rPr>
        <w:t xml:space="preserve">‘‘Mousterian’’ (e.g., Hahn </w:t>
      </w:r>
      <w:r>
        <w:rPr>
          <w:color w:val="0000FF"/>
          <w:szCs w:val="20"/>
        </w:rPr>
        <w:t>1984</w:t>
      </w:r>
      <w:r>
        <w:rPr>
          <w:color w:val="000000"/>
          <w:szCs w:val="20"/>
        </w:rPr>
        <w:t xml:space="preserve">; Wengler </w:t>
      </w:r>
      <w:r>
        <w:rPr>
          <w:color w:val="0000FF"/>
          <w:szCs w:val="20"/>
        </w:rPr>
        <w:t>1997</w:t>
      </w:r>
      <w:r>
        <w:rPr>
          <w:color w:val="000000"/>
          <w:szCs w:val="20"/>
        </w:rPr>
        <w:t xml:space="preserve">). The phenomenon of tanged lithic artifacts can be found in </w:t>
      </w:r>
      <w:r>
        <w:rPr/>
        <w:t xml:space="preserve">MP-MSA </w:t>
      </w:r>
      <w:r>
        <w:rPr>
          <w:color w:val="000000"/>
          <w:szCs w:val="20"/>
        </w:rPr>
        <w:t xml:space="preserve">contexts on the Arabian Peninsula (McClure </w:t>
      </w:r>
      <w:r>
        <w:rPr>
          <w:color w:val="0000FF"/>
          <w:szCs w:val="20"/>
        </w:rPr>
        <w:t>1994</w:t>
      </w:r>
      <w:r>
        <w:rPr>
          <w:color w:val="000000"/>
          <w:szCs w:val="20"/>
        </w:rPr>
        <w:t xml:space="preserve">). </w:t>
      </w:r>
      <w:r>
        <w:rPr>
          <w:spacing w:val="-1"/>
          <w:szCs w:val="23"/>
        </w:rPr>
        <w:t xml:space="preserve">With regard to the central Sahara, the Aterian </w:t>
      </w:r>
      <w:r>
        <w:rPr>
          <w:color w:val="000000"/>
          <w:szCs w:val="20"/>
        </w:rPr>
        <w:t>technocomplex</w:t>
      </w:r>
      <w:r>
        <w:rPr>
          <w:spacing w:val="-1"/>
          <w:szCs w:val="23"/>
        </w:rPr>
        <w:t xml:space="preserve"> is key for </w:t>
      </w:r>
      <w:r>
        <w:rPr>
          <w:spacing w:val="-4"/>
          <w:szCs w:val="23"/>
        </w:rPr>
        <w:t xml:space="preserve">relationship to the Mousterian and to the dispersion of Homo sapiens from the </w:t>
      </w:r>
      <w:r>
        <w:rPr>
          <w:spacing w:val="-2"/>
          <w:szCs w:val="23"/>
        </w:rPr>
        <w:t>Nile Valley, to the eastern Sa</w:t>
        <w:softHyphen/>
      </w:r>
      <w:r>
        <w:rPr>
          <w:spacing w:val="-5"/>
          <w:szCs w:val="23"/>
        </w:rPr>
        <w:t xml:space="preserve">hara, and to the Maghreb in the </w:t>
      </w:r>
      <w:r>
        <w:rPr/>
        <w:t>MP-MSA</w:t>
      </w:r>
      <w:r>
        <w:rPr>
          <w:spacing w:val="-5"/>
          <w:szCs w:val="23"/>
        </w:rPr>
        <w:t xml:space="preserve"> /Upper </w:t>
      </w:r>
      <w:r>
        <w:rPr>
          <w:spacing w:val="-3"/>
          <w:szCs w:val="23"/>
        </w:rPr>
        <w:t xml:space="preserve">Paleolithic transition. The following Aterian dates suggest this </w:t>
      </w:r>
      <w:r>
        <w:rPr>
          <w:b/>
          <w:bCs/>
          <w:spacing w:val="-3"/>
          <w:szCs w:val="23"/>
        </w:rPr>
        <w:t>west to east flow of Aterian culture</w:t>
      </w:r>
      <w:r>
        <w:rPr>
          <w:spacing w:val="-3"/>
          <w:szCs w:val="23"/>
        </w:rPr>
        <w:t xml:space="preserve">: </w:t>
      </w:r>
    </w:p>
    <w:p>
      <w:pPr>
        <w:pStyle w:val="Normal"/>
        <w:autoSpaceDE w:val="false"/>
        <w:rPr>
          <w:spacing w:val="-3"/>
          <w:szCs w:val="13"/>
        </w:rPr>
      </w:pPr>
      <w:r>
        <w:rPr>
          <w:spacing w:val="-3"/>
          <w:szCs w:val="13"/>
        </w:rPr>
      </w:r>
    </w:p>
    <w:p>
      <w:pPr>
        <w:pStyle w:val="Normal"/>
        <w:autoSpaceDE w:val="false"/>
        <w:rPr>
          <w:spacing w:val="-3"/>
          <w:szCs w:val="23"/>
        </w:rPr>
      </w:pPr>
      <w:r>
        <w:rPr>
          <w:szCs w:val="17"/>
        </w:rPr>
        <w:t>103</w:t>
      </w:r>
      <w:r>
        <w:rPr>
          <w:spacing w:val="-2"/>
          <w:szCs w:val="19"/>
        </w:rPr>
        <w:t>±</w:t>
      </w:r>
      <w:r>
        <w:rPr>
          <w:szCs w:val="17"/>
        </w:rPr>
        <w:t>3 ka</w:t>
      </w:r>
      <w:r>
        <w:rPr/>
        <w:t xml:space="preserve"> (mean OSL) La Grotte des Contrebandiers on the Atlantic coast of Morocco with </w:t>
      </w:r>
      <w:r>
        <w:rPr>
          <w:szCs w:val="13"/>
        </w:rPr>
        <w:t xml:space="preserve">Moroccan Mousterian </w:t>
      </w:r>
      <w:r>
        <w:rPr>
          <w:szCs w:val="17"/>
        </w:rPr>
        <w:t>116 3</w:t>
      </w:r>
      <w:r>
        <w:rPr>
          <w:spacing w:val="-2"/>
          <w:szCs w:val="19"/>
        </w:rPr>
        <w:t>±</w:t>
      </w:r>
      <w:r>
        <w:rPr>
          <w:szCs w:val="17"/>
        </w:rPr>
        <w:t xml:space="preserve">  ka  </w:t>
      </w:r>
      <w:r>
        <w:rPr>
          <w:szCs w:val="13"/>
        </w:rPr>
        <w:t xml:space="preserve">with a hiatus of up to 13 </w:t>
      </w:r>
      <w:r>
        <w:rPr>
          <w:spacing w:val="-2"/>
          <w:szCs w:val="19"/>
        </w:rPr>
        <w:t>±</w:t>
      </w:r>
      <w:r>
        <w:rPr>
          <w:szCs w:val="13"/>
        </w:rPr>
        <w:t>3 ka. -Rabat-Moroco Barton-l-2009-OSL-dating-Dar-es-Soltan-I</w:t>
      </w:r>
    </w:p>
    <w:p>
      <w:pPr>
        <w:pStyle w:val="Normal"/>
        <w:autoSpaceDE w:val="false"/>
        <w:rPr>
          <w:spacing w:val="-3"/>
          <w:szCs w:val="19"/>
        </w:rPr>
      </w:pPr>
      <w:r>
        <w:rPr>
          <w:spacing w:val="-3"/>
          <w:szCs w:val="19"/>
        </w:rPr>
      </w:r>
    </w:p>
    <w:p>
      <w:pPr>
        <w:pStyle w:val="Normal"/>
        <w:autoSpaceDE w:val="false"/>
        <w:rPr/>
      </w:pPr>
      <w:r>
        <w:rPr>
          <w:spacing w:val="-4"/>
          <w:szCs w:val="19"/>
        </w:rPr>
        <w:t xml:space="preserve">47,000 ± 3200: </w:t>
      </w:r>
      <w:r>
        <w:rPr>
          <w:szCs w:val="19"/>
        </w:rPr>
        <w:t>Haua Fteah,</w:t>
      </w:r>
      <w:r>
        <w:rPr>
          <w:spacing w:val="-4"/>
          <w:szCs w:val="19"/>
        </w:rPr>
        <w:t xml:space="preserve"> </w:t>
      </w:r>
      <w:r>
        <w:rPr>
          <w:szCs w:val="19"/>
        </w:rPr>
        <w:t>a</w:t>
      </w:r>
      <w:r>
        <w:rPr>
          <w:spacing w:val="-3"/>
          <w:szCs w:val="23"/>
        </w:rPr>
        <w:t xml:space="preserve"> </w:t>
      </w:r>
      <w:r>
        <w:rPr>
          <w:rStyle w:val="St"/>
        </w:rPr>
        <w:t xml:space="preserve">karstic cave in Cyrenaica, Libya, </w:t>
      </w:r>
    </w:p>
    <w:p>
      <w:pPr>
        <w:pStyle w:val="Normal"/>
        <w:autoSpaceDE w:val="false"/>
        <w:rPr>
          <w:rStyle w:val="St"/>
        </w:rPr>
      </w:pPr>
      <w:r>
        <w:rPr/>
      </w:r>
    </w:p>
    <w:p>
      <w:pPr>
        <w:pStyle w:val="Normal"/>
        <w:autoSpaceDE w:val="false"/>
        <w:rPr/>
      </w:pPr>
      <w:r>
        <w:rPr>
          <w:rStyle w:val="Emphasis"/>
          <w:i w:val="false"/>
          <w:iCs w:val="false"/>
        </w:rPr>
        <w:t>Taforalt</w:t>
      </w:r>
      <w:r>
        <w:rPr>
          <w:rStyle w:val="St"/>
        </w:rPr>
        <w:t xml:space="preserve"> </w:t>
      </w:r>
      <w:r>
        <w:rPr>
          <w:szCs w:val="19"/>
        </w:rPr>
        <w:t>&gt;40,000</w:t>
      </w:r>
      <w:r>
        <w:rPr>
          <w:rStyle w:val="St"/>
        </w:rPr>
        <w:t xml:space="preserve"> (or Grotte des Pigeons), a cave located in the northern Oujda region of Morocco, </w:t>
      </w:r>
    </w:p>
    <w:p>
      <w:pPr>
        <w:pStyle w:val="Normal"/>
        <w:autoSpaceDE w:val="false"/>
        <w:rPr>
          <w:rStyle w:val="St"/>
        </w:rPr>
      </w:pPr>
      <w:r>
        <w:rPr/>
      </w:r>
    </w:p>
    <w:p>
      <w:pPr>
        <w:pStyle w:val="Normal"/>
        <w:autoSpaceDE w:val="false"/>
        <w:rPr/>
      </w:pPr>
      <w:r>
        <w:rPr>
          <w:szCs w:val="19"/>
        </w:rPr>
        <w:t>&gt;39,900: Wadi Saoura,</w:t>
      </w:r>
      <w:r>
        <w:rPr>
          <w:rStyle w:val="St"/>
        </w:rPr>
        <w:t xml:space="preserve"> in southwestern Algeria, </w:t>
      </w:r>
    </w:p>
    <w:p>
      <w:pPr>
        <w:pStyle w:val="Normal"/>
        <w:autoSpaceDE w:val="false"/>
        <w:rPr>
          <w:rStyle w:val="St"/>
        </w:rPr>
      </w:pPr>
      <w:r>
        <w:rPr/>
      </w:r>
    </w:p>
    <w:p>
      <w:pPr>
        <w:pStyle w:val="Normal"/>
        <w:autoSpaceDE w:val="false"/>
        <w:rPr>
          <w:rStyle w:val="St"/>
          <w:szCs w:val="19"/>
        </w:rPr>
      </w:pPr>
      <w:r>
        <w:rPr/>
      </w:r>
    </w:p>
    <w:p>
      <w:pPr>
        <w:pStyle w:val="Normal"/>
        <w:autoSpaceDE w:val="false"/>
        <w:rPr/>
      </w:pPr>
      <w:r>
        <w:rPr>
          <w:szCs w:val="19"/>
        </w:rPr>
        <w:t>&gt;35,000 Bir el Ater</w:t>
      </w:r>
      <w:r>
        <w:rPr>
          <w:rStyle w:val="St"/>
        </w:rPr>
        <w:t xml:space="preserve">, in far eastern Algeria the type </w:t>
      </w:r>
      <w:r>
        <w:rPr>
          <w:rStyle w:val="Emphasis"/>
        </w:rPr>
        <w:t>site</w:t>
      </w:r>
      <w:r>
        <w:rPr>
          <w:rStyle w:val="St"/>
        </w:rPr>
        <w:t xml:space="preserve"> of the </w:t>
      </w:r>
      <w:r>
        <w:rPr/>
        <w:t>MP-MSA</w:t>
      </w:r>
      <w:r>
        <w:rPr>
          <w:rStyle w:val="St"/>
        </w:rPr>
        <w:t xml:space="preserve"> Aterian,</w:t>
      </w:r>
      <w:r>
        <w:rPr>
          <w:spacing w:val="-2"/>
          <w:szCs w:val="19"/>
        </w:rPr>
        <w:t xml:space="preserve"> </w:t>
      </w:r>
    </w:p>
    <w:p>
      <w:pPr>
        <w:pStyle w:val="Normal"/>
        <w:autoSpaceDE w:val="false"/>
        <w:rPr>
          <w:spacing w:val="-2"/>
          <w:szCs w:val="19"/>
        </w:rPr>
      </w:pPr>
      <w:r>
        <w:rPr/>
        <w:drawing>
          <wp:inline distT="0" distB="0" distL="0" distR="0">
            <wp:extent cx="5867400" cy="178117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27" r="-8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spacing w:val="-2"/>
          <w:szCs w:val="19"/>
        </w:rPr>
      </w:pPr>
      <w:r>
        <w:rPr>
          <w:spacing w:val="-2"/>
          <w:szCs w:val="19"/>
        </w:rPr>
      </w:r>
    </w:p>
    <w:p>
      <w:pPr>
        <w:pStyle w:val="Normal"/>
        <w:autoSpaceDE w:val="false"/>
        <w:rPr/>
      </w:pPr>
      <w:r>
        <w:rPr>
          <w:szCs w:val="19"/>
        </w:rPr>
        <w:t xml:space="preserve">&gt;30,000 </w:t>
      </w:r>
      <w:r>
        <w:rPr>
          <w:spacing w:val="-2"/>
          <w:szCs w:val="19"/>
        </w:rPr>
        <w:t xml:space="preserve">Dar es Soltan </w:t>
      </w:r>
      <w:r>
        <w:rPr>
          <w:rStyle w:val="St"/>
        </w:rPr>
        <w:t xml:space="preserve">the type </w:t>
      </w:r>
      <w:r>
        <w:rPr>
          <w:rStyle w:val="Emphasis"/>
        </w:rPr>
        <w:t>site</w:t>
      </w:r>
      <w:r>
        <w:rPr>
          <w:rStyle w:val="St"/>
        </w:rPr>
        <w:t xml:space="preserve"> of the last 'glacial' period known as the Soltanian (Choubert, 1953; Choubert et al., 1956) a low calcarenite cliff on the Atlantic coast of Morocco near Rabat (33°58′44″N, 6°53′51″W)</w:t>
      </w:r>
    </w:p>
    <w:p>
      <w:pPr>
        <w:pStyle w:val="Normal"/>
        <w:autoSpaceDE w:val="false"/>
        <w:rPr/>
      </w:pPr>
      <w:r>
        <w:rPr/>
        <w:drawing>
          <wp:inline distT="0" distB="0" distL="0" distR="0">
            <wp:extent cx="6697980" cy="3408045"/>
            <wp:effectExtent l="0" t="0" r="0" b="0"/>
            <wp:docPr id="2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"/>
        </w:rPr>
        <w:t xml:space="preserve">. 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drawing>
          <wp:inline distT="0" distB="0" distL="0" distR="0">
            <wp:extent cx="11849100" cy="3571875"/>
            <wp:effectExtent l="0" t="0" r="0" b="0"/>
            <wp:docPr id="3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Modern Origins </w:t>
      </w:r>
      <w:r>
        <w:rPr>
          <w:rStyle w:val="Bookdate"/>
        </w:rPr>
        <w:t>2012</w:t>
      </w:r>
      <w:r>
        <w:rPr/>
        <w:t xml:space="preserve"> </w:t>
      </w:r>
    </w:p>
    <w:tbl>
      <w:tblPr>
        <w:tblW w:w="538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66"/>
        <w:gridCol w:w="4522"/>
      </w:tblGrid>
      <w:tr>
        <w:trPr/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Editors</w:t>
            </w:r>
          </w:p>
        </w:tc>
        <w:tc>
          <w:tcPr>
            <w:tcW w:w="45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Jean-Jacques Hublin </w:t>
            </w:r>
            <w:r>
              <w:rPr>
                <w:rStyle w:val="Sep"/>
              </w:rPr>
              <w:t>•</w:t>
            </w:r>
            <w:r>
              <w:rPr/>
              <w:t xml:space="preserve"> Shannon P. McPherron</w:t>
            </w:r>
          </w:p>
        </w:tc>
      </w:tr>
    </w:tbl>
    <w:p>
      <w:pPr>
        <w:pStyle w:val="Normal"/>
        <w:spacing w:lineRule="auto" w:line="196" w:before="288" w:after="72"/>
        <w:rPr>
          <w:rFonts w:ascii="Garamond" w:hAnsi="Garamond" w:cs="Garamond"/>
          <w:spacing w:val="-2"/>
          <w:sz w:val="19"/>
          <w:szCs w:val="19"/>
        </w:rPr>
      </w:pPr>
      <w:r>
        <w:rPr/>
        <w:drawing>
          <wp:inline distT="0" distB="0" distL="0" distR="0">
            <wp:extent cx="4457700" cy="800100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60" r="-10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T. E. Steele</w:t>
      </w:r>
    </w:p>
    <w:p>
      <w:pPr>
        <w:pStyle w:val="Normal"/>
        <w:rPr>
          <w:rFonts w:ascii="Garamond" w:hAnsi="Garamond" w:cs="Garamond"/>
          <w:spacing w:val="-2"/>
          <w:szCs w:val="19"/>
        </w:rPr>
      </w:pPr>
      <w:r>
        <w:rPr>
          <w:rFonts w:cs="Garamond" w:ascii="Garamond" w:hAnsi="Garamond"/>
          <w:spacing w:val="-2"/>
          <w:szCs w:val="19"/>
        </w:rPr>
        <w:t>Radiocarbon Dates of Aterian Sites in North Africa</w:t>
      </w:r>
    </w:p>
    <w:p>
      <w:pPr>
        <w:pStyle w:val="Normal"/>
        <w:rPr>
          <w:rFonts w:ascii="Garamond" w:hAnsi="Garamond" w:cs="Garamond"/>
          <w:spacing w:val="-16"/>
          <w:sz w:val="19"/>
          <w:szCs w:val="19"/>
        </w:rPr>
      </w:pPr>
      <w:r>
        <w:rPr>
          <w:rFonts w:cs="Garamond" w:ascii="Garamond" w:hAnsi="Garamond"/>
          <w:spacing w:val="-16"/>
          <w:sz w:val="19"/>
          <w:szCs w:val="19"/>
        </w:rPr>
      </w:r>
    </w:p>
    <w:p>
      <w:pPr>
        <w:pStyle w:val="Normal"/>
        <w:rPr>
          <w:rFonts w:ascii="Garamond" w:hAnsi="Garamond" w:cs="Garamond"/>
          <w:spacing w:val="-16"/>
          <w:sz w:val="19"/>
          <w:szCs w:val="19"/>
          <w:lang w:val="en-US" w:eastAsia="en-US"/>
        </w:rPr>
      </w:pPr>
      <w:r>
        <w:rPr>
          <w:rFonts w:cs="Garamond" w:ascii="Garamond" w:hAnsi="Garamond"/>
          <w:spacing w:val="-16"/>
          <w:sz w:val="19"/>
          <w:szCs w:val="19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145280" cy="63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5pt" to="326.3pt,0.65pt" stroked="t" style="position:absolute">
                <v:stroke color="black" weight="1512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Garamond" w:hAnsi="Garamond" w:cs="Garamond"/>
          <w:spacing w:val="-16"/>
          <w:sz w:val="19"/>
          <w:szCs w:val="19"/>
        </w:rPr>
      </w:pPr>
      <w:r>
        <w:rPr>
          <w:rFonts w:cs="Garamond" w:ascii="Garamond" w:hAnsi="Garamond"/>
          <w:spacing w:val="-16"/>
          <w:sz w:val="19"/>
          <w:szCs w:val="19"/>
        </w:rPr>
      </w:r>
    </w:p>
    <w:p>
      <w:pPr>
        <w:pStyle w:val="Normal"/>
        <w:rPr/>
      </w:pPr>
      <w:r>
        <w:rPr>
          <w:rFonts w:eastAsia="Garamond" w:cs="Garamond" w:ascii="Garamond" w:hAnsi="Garamond"/>
          <w:spacing w:val="-16"/>
          <w:sz w:val="19"/>
          <w:szCs w:val="19"/>
        </w:rPr>
        <w:t xml:space="preserve">                           </w:t>
      </w:r>
      <w:r>
        <w:rPr>
          <w:rFonts w:cs="Garamond" w:ascii="Garamond" w:hAnsi="Garamond"/>
          <w:spacing w:val="-10"/>
          <w:sz w:val="19"/>
          <w:szCs w:val="19"/>
        </w:rPr>
        <w:t>Sites                              Age    BP                        Lab. No.</w:t>
        <w:tab/>
        <w:t xml:space="preserve">      </w:t>
      </w:r>
      <w:r>
        <w:rPr>
          <w:rFonts w:cs="Garamond" w:ascii="Garamond" w:hAnsi="Garamond"/>
          <w:sz w:val="19"/>
          <w:szCs w:val="19"/>
        </w:rPr>
        <w:t>Reference</w:t>
      </w:r>
    </w:p>
    <w:p>
      <w:pPr>
        <w:pStyle w:val="Normal"/>
        <w:tabs>
          <w:tab w:val="clear" w:pos="720"/>
          <w:tab w:val="left" w:pos="2430" w:leader="none"/>
          <w:tab w:val="left" w:pos="4023" w:leader="none"/>
          <w:tab w:val="right" w:pos="6041" w:leader="none"/>
        </w:tabs>
        <w:spacing w:before="36" w:after="72"/>
        <w:ind w:start="216" w:hanging="0"/>
        <w:rPr>
          <w:rFonts w:ascii="Garamond" w:hAnsi="Garamond" w:cs="Garamond"/>
          <w:spacing w:val="-10"/>
          <w:sz w:val="19"/>
          <w:szCs w:val="19"/>
        </w:rPr>
      </w:pPr>
      <w:r>
        <w:rPr>
          <w:rFonts w:cs="Garamond" w:ascii="Garamond" w:hAnsi="Garamond"/>
          <w:spacing w:val="-10"/>
          <w:sz w:val="19"/>
          <w:szCs w:val="19"/>
        </w:rPr>
        <w:t xml:space="preserve">. </w:t>
      </w:r>
    </w:p>
    <w:tbl>
      <w:tblPr>
        <w:tblW w:w="65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024"/>
        <w:gridCol w:w="1699"/>
        <w:gridCol w:w="1042"/>
        <w:gridCol w:w="1775"/>
      </w:tblGrid>
      <w:tr>
        <w:trPr>
          <w:trHeight w:val="187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sz w:val="20"/>
                <w:lang w:val="en-US" w:eastAsia="en-US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Grotte des Contrebandiers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sz w:val="20"/>
                <w:szCs w:val="17"/>
              </w:rPr>
              <w:t>103</w:t>
            </w:r>
            <w:r>
              <w:rPr>
                <w:spacing w:val="-2"/>
                <w:sz w:val="20"/>
                <w:szCs w:val="19"/>
              </w:rPr>
              <w:t>±</w:t>
            </w:r>
            <w:r>
              <w:rPr>
                <w:sz w:val="20"/>
                <w:szCs w:val="17"/>
              </w:rPr>
              <w:t>3 ka</w:t>
            </w:r>
            <w:r>
              <w:rPr/>
              <w:t xml:space="preserve"> OOOSL(OSL)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start="62" w:hanging="0"/>
              <w:rPr>
                <w:rFonts w:ascii="Garamond" w:hAnsi="Garamond" w:cs="Garamond"/>
                <w:spacing w:val="-10"/>
                <w:sz w:val="19"/>
                <w:szCs w:val="19"/>
              </w:rPr>
            </w:pPr>
            <w:r>
              <w:rPr>
                <w:rFonts w:cs="Garamond" w:ascii="Garamond" w:hAnsi="Garamond"/>
                <w:spacing w:val="-10"/>
                <w:sz w:val="19"/>
                <w:szCs w:val="19"/>
              </w:rPr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</w:r>
          </w:p>
        </w:tc>
      </w:tr>
      <w:tr>
        <w:trPr>
          <w:trHeight w:val="187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4145280" cy="635"/>
                      <wp:effectExtent l="0" t="0" r="0" b="0"/>
                      <wp:wrapSquare wrapText="bothSides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4680" cy="0"/>
                              </a:xfrm>
                              <a:prstGeom prst="line">
                                <a:avLst/>
                              </a:prstGeom>
                              <a:ln w="12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pt,-1.2pt" to="326.3pt,-1.2pt" stroked="t" style="position:absolute">
                      <v:stroke color="black" weight="12240" joinstyle="miter" endcap="square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Garamond" w:ascii="Garamond" w:hAnsi="Garamond"/>
                <w:spacing w:val="-4"/>
                <w:sz w:val="19"/>
                <w:szCs w:val="19"/>
              </w:rPr>
              <w:t>G</w:t>
            </w:r>
            <w:r>
              <w:rPr>
                <w:rFonts w:cs="Garamond" w:ascii="Garamond" w:hAnsi="Garamond"/>
                <w:spacing w:val="-4"/>
                <w:sz w:val="19"/>
                <w:szCs w:val="19"/>
              </w:rPr>
              <w:t>rotte des Contrebandiers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24,500 ± 600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10"/>
                <w:sz w:val="19"/>
                <w:szCs w:val="19"/>
              </w:rPr>
            </w:pPr>
            <w:r>
              <w:rPr>
                <w:rFonts w:cs="Garamond" w:ascii="Garamond" w:hAnsi="Garamond"/>
                <w:spacing w:val="-10"/>
                <w:sz w:val="19"/>
                <w:szCs w:val="19"/>
              </w:rPr>
              <w:t>Gif-2582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/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 xml:space="preserve">Delibrias </w:t>
            </w:r>
            <w:r>
              <w:rPr>
                <w:rFonts w:cs="Verdana" w:ascii="Verdana" w:hAnsi="Verdana"/>
                <w:i/>
                <w:iCs/>
                <w:spacing w:val="-4"/>
                <w:sz w:val="15"/>
                <w:szCs w:val="15"/>
              </w:rPr>
              <w:t xml:space="preserve">et al. </w:t>
            </w:r>
            <w:r>
              <w:rPr>
                <w:rFonts w:cs="Garamond" w:ascii="Garamond" w:hAnsi="Garamond"/>
                <w:spacing w:val="-4"/>
                <w:sz w:val="19"/>
                <w:szCs w:val="19"/>
              </w:rPr>
              <w:t>(1982)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Grotte des Contrebandiers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23,700 ± 1000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10"/>
                <w:sz w:val="19"/>
                <w:szCs w:val="19"/>
              </w:rPr>
            </w:pPr>
            <w:r>
              <w:rPr>
                <w:rFonts w:cs="Garamond" w:ascii="Garamond" w:hAnsi="Garamond"/>
                <w:spacing w:val="-10"/>
                <w:sz w:val="19"/>
                <w:szCs w:val="19"/>
              </w:rPr>
              <w:t>Gif-2585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/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 xml:space="preserve">Delibrias </w:t>
            </w:r>
            <w:r>
              <w:rPr>
                <w:rFonts w:cs="Verdana" w:ascii="Verdana" w:hAnsi="Verdana"/>
                <w:i/>
                <w:iCs/>
                <w:spacing w:val="-2"/>
                <w:sz w:val="15"/>
                <w:szCs w:val="15"/>
              </w:rPr>
              <w:t xml:space="preserve">et al. </w:t>
            </w:r>
            <w:r>
              <w:rPr>
                <w:rFonts w:cs="Garamond" w:ascii="Garamond" w:hAnsi="Garamond"/>
                <w:spacing w:val="-2"/>
                <w:sz w:val="19"/>
                <w:szCs w:val="19"/>
              </w:rPr>
              <w:t>(1982)</w:t>
            </w:r>
          </w:p>
        </w:tc>
      </w:tr>
      <w:tr>
        <w:trPr>
          <w:trHeight w:val="177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Dar es Soltan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&gt;27,000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UCLA-678B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Ruhlmann (1951)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Dar es Soltan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&gt;30,000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6"/>
                <w:sz w:val="19"/>
                <w:szCs w:val="19"/>
              </w:rPr>
            </w:pPr>
            <w:r>
              <w:rPr>
                <w:rFonts w:cs="Garamond" w:ascii="Garamond" w:hAnsi="Garamond"/>
                <w:spacing w:val="-6"/>
                <w:sz w:val="19"/>
                <w:szCs w:val="19"/>
              </w:rPr>
              <w:t>UCLA-878A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Roche (1956)</w:t>
            </w:r>
          </w:p>
        </w:tc>
      </w:tr>
      <w:tr>
        <w:trPr>
          <w:trHeight w:val="182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Taforalt (layer 18)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&gt;32,370 +2470/-1890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Gif-2276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Debenath (1992)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Taforalt (layer 19)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&gt;34,550 +3200/-2280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Gif-2277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Debenath (1992)</w:t>
            </w:r>
          </w:p>
        </w:tc>
      </w:tr>
      <w:tr>
        <w:trPr>
          <w:trHeight w:val="182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pacing w:val="-1"/>
                <w:sz w:val="19"/>
                <w:szCs w:val="19"/>
              </w:rPr>
            </w:pPr>
            <w:r>
              <w:rPr>
                <w:rFonts w:cs="Garamond" w:ascii="Garamond" w:hAnsi="Garamond"/>
                <w:spacing w:val="-1"/>
                <w:sz w:val="19"/>
                <w:szCs w:val="19"/>
              </w:rPr>
              <w:t>Taforalt (base layer 19)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&gt;40,000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6"/>
                <w:sz w:val="19"/>
                <w:szCs w:val="19"/>
              </w:rPr>
            </w:pPr>
            <w:r>
              <w:rPr>
                <w:rFonts w:cs="Garamond" w:ascii="Garamond" w:hAnsi="Garamond"/>
                <w:spacing w:val="-6"/>
                <w:sz w:val="19"/>
                <w:szCs w:val="19"/>
              </w:rPr>
              <w:t>G if-2588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Debenath (1992)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Taforalt (top layer 19)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&gt;40,000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Gif-2589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Debenath (1992)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Taforalt (layer 23)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&gt;40,000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8"/>
                <w:sz w:val="19"/>
                <w:szCs w:val="19"/>
              </w:rPr>
            </w:pPr>
            <w:r>
              <w:rPr>
                <w:rFonts w:cs="Garamond" w:ascii="Garamond" w:hAnsi="Garamond"/>
                <w:spacing w:val="-8"/>
                <w:sz w:val="19"/>
                <w:szCs w:val="19"/>
              </w:rPr>
              <w:t>Gif-2279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Debenath (1992)</w:t>
            </w:r>
          </w:p>
        </w:tc>
      </w:tr>
      <w:tr>
        <w:trPr>
          <w:trHeight w:val="182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Bir el Ater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&gt;35,000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MC-657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Close (1980)</w:t>
            </w:r>
          </w:p>
        </w:tc>
      </w:tr>
      <w:tr>
        <w:trPr>
          <w:trHeight w:val="178" w:hRule="exact"/>
        </w:trPr>
        <w:tc>
          <w:tcPr>
            <w:tcW w:w="2024" w:type="dxa"/>
            <w:tcBorders/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Wadi Saoura</w:t>
            </w:r>
          </w:p>
        </w:tc>
        <w:tc>
          <w:tcPr>
            <w:tcW w:w="1699" w:type="dxa"/>
            <w:tcBorders/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&gt;39,900</w:t>
            </w:r>
          </w:p>
        </w:tc>
        <w:tc>
          <w:tcPr>
            <w:tcW w:w="1042" w:type="dxa"/>
            <w:tcBorders/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1-1787</w:t>
            </w:r>
          </w:p>
        </w:tc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Chavaillon (1964)</w:t>
            </w:r>
          </w:p>
        </w:tc>
      </w:tr>
      <w:tr>
        <w:trPr>
          <w:trHeight w:val="230" w:hRule="exact"/>
        </w:trPr>
        <w:tc>
          <w:tcPr>
            <w:tcW w:w="202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start="36" w:hanging="0"/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cs="Garamond" w:ascii="Garamond" w:hAnsi="Garamond"/>
                <w:sz w:val="19"/>
                <w:szCs w:val="19"/>
              </w:rPr>
              <w:t>Haua Fteah</w:t>
            </w:r>
          </w:p>
        </w:tc>
        <w:tc>
          <w:tcPr>
            <w:tcW w:w="169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start="115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47,000 ± 3200</w:t>
            </w:r>
          </w:p>
        </w:tc>
        <w:tc>
          <w:tcPr>
            <w:tcW w:w="104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start="62" w:hanging="0"/>
              <w:rPr>
                <w:rFonts w:ascii="Garamond" w:hAnsi="Garamond" w:cs="Garamond"/>
                <w:spacing w:val="-2"/>
                <w:sz w:val="19"/>
                <w:szCs w:val="19"/>
              </w:rPr>
            </w:pPr>
            <w:r>
              <w:rPr>
                <w:rFonts w:cs="Garamond" w:ascii="Garamond" w:hAnsi="Garamond"/>
                <w:spacing w:val="-2"/>
                <w:sz w:val="19"/>
                <w:szCs w:val="19"/>
              </w:rPr>
              <w:t>GrN-2023</w:t>
            </w:r>
          </w:p>
        </w:tc>
        <w:tc>
          <w:tcPr>
            <w:tcW w:w="177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start="100" w:hanging="0"/>
              <w:rPr>
                <w:rFonts w:ascii="Garamond" w:hAnsi="Garamond" w:cs="Garamond"/>
                <w:spacing w:val="-4"/>
                <w:sz w:val="19"/>
                <w:szCs w:val="19"/>
              </w:rPr>
            </w:pPr>
            <w:r>
              <w:rPr>
                <w:rFonts w:cs="Garamond" w:ascii="Garamond" w:hAnsi="Garamond"/>
                <w:spacing w:val="-4"/>
                <w:sz w:val="19"/>
                <w:szCs w:val="19"/>
              </w:rPr>
              <w:t>McBurney (1967)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AdvGTIMES-R" w:hAnsi="AdvGTIMES-R" w:cs="AdvGTIMES-R"/>
          <w:sz w:val="17"/>
          <w:szCs w:val="17"/>
        </w:rPr>
      </w:pPr>
      <w:r>
        <w:rPr>
          <w:rFonts w:cs="AdvGTIMES-R" w:ascii="AdvGTIMES-R" w:hAnsi="AdvGTIMES-R"/>
          <w:sz w:val="17"/>
          <w:szCs w:val="17"/>
        </w:rPr>
        <w:t>McClure, H. A. (1994). A new Arabian stone tool assemblage and</w:t>
      </w:r>
    </w:p>
    <w:p>
      <w:pPr>
        <w:pStyle w:val="Normal"/>
        <w:autoSpaceDE w:val="false"/>
        <w:rPr/>
      </w:pPr>
      <w:r>
        <w:rPr>
          <w:rFonts w:cs="AdvGTIMES-R" w:ascii="AdvGTIMES-R" w:hAnsi="AdvGTIMES-R"/>
          <w:sz w:val="17"/>
          <w:szCs w:val="17"/>
        </w:rPr>
        <w:t xml:space="preserve">notes on the Aterian industry of North Africa. </w:t>
      </w:r>
      <w:r>
        <w:rPr>
          <w:rFonts w:cs="AdvGTIMES-IT" w:ascii="AdvGTIMES-IT" w:hAnsi="AdvGTIMES-IT"/>
          <w:sz w:val="17"/>
          <w:szCs w:val="17"/>
        </w:rPr>
        <w:t>Arabian Archaeology</w:t>
      </w:r>
    </w:p>
    <w:p>
      <w:pPr>
        <w:pStyle w:val="Normal"/>
        <w:rPr/>
      </w:pPr>
      <w:r>
        <w:rPr>
          <w:rFonts w:cs="AdvGTIMES-IT" w:ascii="AdvGTIMES-IT" w:hAnsi="AdvGTIMES-IT"/>
          <w:sz w:val="17"/>
          <w:szCs w:val="17"/>
        </w:rPr>
        <w:t>and Epigraphy, 5</w:t>
      </w:r>
      <w:r>
        <w:rPr>
          <w:rFonts w:cs="AdvGTIMES-R" w:ascii="AdvGTIMES-R" w:hAnsi="AdvGTIMES-R"/>
          <w:sz w:val="17"/>
          <w:szCs w:val="17"/>
        </w:rPr>
        <w:t>, 1–16.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/>
        <w:object>
          <v:shape id="ole_rId6" style="width:20.25pt;height:18pt" o:ole="">
            <v:imagedata r:id="rId7" o:title=""/>
          </v:shape>
          <o:OLEObject Type="Embed" ProgID="" ShapeID="ole_rId6" DrawAspect="Content" ObjectID="_1996770496" r:id="rId6"/>
        </w:object>
      </w:r>
    </w:p>
    <w:p>
      <w:pPr>
        <w:pStyle w:val="Heading2"/>
        <w:rPr/>
      </w:pPr>
      <w:r>
        <w:rPr>
          <w:rFonts w:cs="Symbol"/>
        </w:rPr>
        <w:t></w:t>
      </w:r>
      <w:r>
        <w:rPr/>
        <w:t xml:space="preserve">  </w:t>
      </w:r>
      <w:hyperlink r:id="rId8">
        <w:r>
          <w:rPr>
            <w:rStyle w:val="Hit"/>
          </w:rPr>
          <w:t>Single-grain</w:t>
        </w:r>
        <w:r>
          <w:rPr>
            <w:rStyle w:val="InternetLink"/>
          </w:rPr>
          <w:t xml:space="preserve"> </w:t>
        </w:r>
        <w:r>
          <w:rPr>
            <w:rStyle w:val="Hit"/>
          </w:rPr>
          <w:t>OSL</w:t>
        </w:r>
        <w:r>
          <w:rPr>
            <w:rStyle w:val="InternetLink"/>
          </w:rPr>
          <w:t xml:space="preserve"> dating at La Grotte des Contrebandiers (‘Smugglers’ Cave’), Morocco: improved age constraints for the Middle Paleolithic levels</w:t>
        </w:r>
      </w:hyperlink>
    </w:p>
    <w:p>
      <w:pPr>
        <w:pStyle w:val="Normal"/>
        <w:rPr/>
      </w:pPr>
      <w:r>
        <w:rPr>
          <w:rStyle w:val="Articletypelabel"/>
        </w:rPr>
        <w:t>Original Research Article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i/>
          <w:iCs/>
        </w:rPr>
        <w:t>Journal of Archaeological Science</w:t>
      </w:r>
      <w:r>
        <w:rPr/>
        <w:t xml:space="preserve">, </w:t>
      </w:r>
      <w:r>
        <w:rPr>
          <w:i/>
          <w:iCs/>
        </w:rPr>
        <w:t>Volume 38, Issue 12</w:t>
      </w:r>
      <w:r>
        <w:rPr/>
        <w:t xml:space="preserve">, </w:t>
      </w:r>
      <w:r>
        <w:rPr>
          <w:i/>
          <w:iCs/>
        </w:rPr>
        <w:t>December 2011</w:t>
      </w:r>
      <w:r>
        <w:rPr/>
        <w:t xml:space="preserve">, </w:t>
      </w:r>
      <w:r>
        <w:rPr>
          <w:i/>
          <w:iCs/>
        </w:rPr>
        <w:t>Pages 3631-3643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/>
        <w:t>Z. Jacobs, M.C. Meyer, R.G. Roberts, V. Aldeias, H. Dibble, M.A. El Hajraoui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AdvGTIMES-R">
    <w:charset w:val="00" w:characterSet="windows-1252"/>
    <w:family w:val="roman"/>
    <w:pitch w:val="default"/>
  </w:font>
  <w:font w:name="AdvGTIMES-IT"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">
    <w:name w:val="s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it">
    <w:name w:val="hit"/>
    <w:basedOn w:val="DefaultParagraphFont"/>
    <w:qFormat/>
    <w:rPr/>
  </w:style>
  <w:style w:type="character" w:styleId="Articletypelabel">
    <w:name w:val="articletypelabel"/>
    <w:basedOn w:val="DefaultParagraphFont"/>
    <w:qFormat/>
    <w:rPr/>
  </w:style>
  <w:style w:type="character" w:styleId="Bookdate">
    <w:name w:val="book-date"/>
    <w:basedOn w:val="DefaultParagraphFont"/>
    <w:qFormat/>
    <w:rPr/>
  </w:style>
  <w:style w:type="character" w:styleId="Sep">
    <w:name w:val="se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oleObject" Target="embeddings/oleObject1.bin"/><Relationship Id="rId7" Type="http://schemas.openxmlformats.org/officeDocument/2006/relationships/image" Target="media/image5.wmf"/><Relationship Id="rId8" Type="http://schemas.openxmlformats.org/officeDocument/2006/relationships/hyperlink" Target="http://www.sciencedirect.com.libproxy.mit.edu/science/article/pii/S030544031100312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2016-09-12T12:12:00Z</dcterms:created>
  <dc:creator>owner</dc:creator>
  <dc:description/>
  <dc:language>en-US</dc:language>
  <cp:lastModifiedBy>owner</cp:lastModifiedBy>
  <dcterms:modified xsi:type="dcterms:W3CDTF">2016-09-12T19:35:00Z</dcterms:modified>
  <cp:revision>6</cp:revision>
  <dc:subject/>
  <dc:title>Afr-Aterian-Dates</dc:title>
</cp:coreProperties>
</file>