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4.png" ContentType="image/png"/>
  <Override PartName="/word/media/image3.jpeg" ContentType="image/jpeg"/>
  <Override PartName="/word/media/image2.png" ContentType="image/png"/>
  <Override PartName="/word/media/image1.jpeg" ContentType="image/jpeg"/>
  <Override PartName="/word/styles.xml" ContentType="application/vnd.openxmlformats-officedocument.wordprocessingml.styl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Dis-Fossils-US-IL-Mazon Creek-Bird</w:t>
      </w:r>
    </w:p>
    <w:p>
      <w:pPr>
        <w:pStyle w:val="Normal"/>
        <w:rPr/>
      </w:pPr>
      <w:r>
        <w:rPr/>
      </w:r>
    </w:p>
    <w:p>
      <w:pPr>
        <w:pStyle w:val="Normal"/>
        <w:rPr/>
      </w:pPr>
      <w:r>
        <w:rPr/>
        <w:drawing>
          <wp:inline distT="0" distB="0" distL="0" distR="0">
            <wp:extent cx="3343910" cy="3615055"/>
            <wp:effectExtent l="0" t="0" r="0" b="0"/>
            <wp:docPr id="1" name="viEnlargeImgLayer_img_ctr"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viEnlargeImgLayer_img_ctr" descr="" title=""/>
                    <pic:cNvPicPr>
                      <a:picLocks noChangeAspect="1" noChangeArrowheads="1"/>
                    </pic:cNvPicPr>
                  </pic:nvPicPr>
                  <pic:blipFill>
                    <a:blip r:embed="rId2"/>
                    <a:srcRect l="-1" t="-1" r="-1" b="-1"/>
                    <a:stretch>
                      <a:fillRect/>
                    </a:stretch>
                  </pic:blipFill>
                  <pic:spPr bwMode="auto">
                    <a:xfrm>
                      <a:off x="0" y="0"/>
                      <a:ext cx="3343910" cy="3615055"/>
                    </a:xfrm>
                    <a:prstGeom prst="rect">
                      <a:avLst/>
                    </a:prstGeom>
                  </pic:spPr>
                </pic:pic>
              </a:graphicData>
            </a:graphic>
          </wp:inline>
        </w:drawing>
      </w:r>
      <w:r>
        <w:rPr>
          <w:rFonts w:eastAsia="Times New Roman"/>
        </w:rPr>
        <w:t xml:space="preserve"> </w:t>
      </w:r>
    </w:p>
    <w:p>
      <w:pPr>
        <w:pStyle w:val="Normal"/>
        <w:rPr/>
      </w:pPr>
      <w:r>
        <w:rPr/>
        <w:drawing>
          <wp:inline distT="0" distB="0" distL="0" distR="0">
            <wp:extent cx="1991360" cy="2916555"/>
            <wp:effectExtent l="0" t="0" r="0" b="0"/>
            <wp:docPr id="2"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title=""/>
                    <pic:cNvPicPr>
                      <a:picLocks noChangeAspect="1" noChangeArrowheads="1"/>
                    </pic:cNvPicPr>
                  </pic:nvPicPr>
                  <pic:blipFill>
                    <a:blip r:embed="rId3"/>
                    <a:srcRect l="-20" t="-14" r="-20" b="-14"/>
                    <a:stretch>
                      <a:fillRect/>
                    </a:stretch>
                  </pic:blipFill>
                  <pic:spPr bwMode="auto">
                    <a:xfrm>
                      <a:off x="0" y="0"/>
                      <a:ext cx="1991360" cy="2916555"/>
                    </a:xfrm>
                    <a:prstGeom prst="rect">
                      <a:avLst/>
                    </a:prstGeom>
                  </pic:spPr>
                </pic:pic>
              </a:graphicData>
            </a:graphic>
          </wp:inline>
        </w:drawing>
      </w:r>
      <w:r>
        <w:rPr/>
        <w:drawing>
          <wp:inline distT="0" distB="0" distL="0" distR="0">
            <wp:extent cx="1420495" cy="2858135"/>
            <wp:effectExtent l="0" t="0" r="0" b="0"/>
            <wp:docPr id="3" name="a4aa261795c0889821630a22f0e32256"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4aa261795c0889821630a22f0e32256" descr="" title=""/>
                    <pic:cNvPicPr>
                      <a:picLocks noChangeAspect="1" noChangeArrowheads="1"/>
                    </pic:cNvPicPr>
                  </pic:nvPicPr>
                  <pic:blipFill>
                    <a:blip r:embed="rId4"/>
                    <a:srcRect l="-15" t="-7" r="-15" b="-7"/>
                    <a:stretch>
                      <a:fillRect/>
                    </a:stretch>
                  </pic:blipFill>
                  <pic:spPr bwMode="auto">
                    <a:xfrm>
                      <a:off x="0" y="0"/>
                      <a:ext cx="1420495" cy="2858135"/>
                    </a:xfrm>
                    <a:prstGeom prst="rect">
                      <a:avLst/>
                    </a:prstGeom>
                  </pic:spPr>
                </pic:pic>
              </a:graphicData>
            </a:graphic>
          </wp:inline>
        </w:drawing>
      </w:r>
    </w:p>
    <w:p>
      <w:pPr>
        <w:pStyle w:val="Normal"/>
        <w:rPr/>
      </w:pPr>
      <w:r>
        <w:rPr/>
      </w:r>
    </w:p>
    <w:p>
      <w:pPr>
        <w:pStyle w:val="Normal"/>
        <w:rPr/>
      </w:pPr>
      <w:r>
        <w:rPr/>
        <w:t xml:space="preserve">Left: Mazon Creek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Heading1"/>
        <w:spacing w:before="0" w:after="0"/>
        <w:rPr/>
      </w:pPr>
      <w:r>
        <w:rPr>
          <w:b w:val="false"/>
          <w:bCs w:val="false"/>
          <w:sz w:val="24"/>
        </w:rPr>
        <w:t>Right: Eocene bird 48 million years old</w:t>
      </w:r>
    </w:p>
    <w:p>
      <w:pPr>
        <w:pStyle w:val="Normal"/>
        <w:rPr>
          <w:b/>
          <w:b/>
          <w:bCs/>
          <w:sz w:val="24"/>
        </w:rPr>
      </w:pPr>
      <w:r>
        <w:rPr>
          <w:b/>
          <w:bCs/>
          <w:sz w:val="24"/>
        </w:rPr>
      </w:r>
    </w:p>
    <w:p>
      <w:pPr>
        <w:pStyle w:val="Normal"/>
        <w:rPr/>
      </w:pPr>
      <w:r>
        <w:rPr>
          <w:rStyle w:val="St"/>
          <w:b/>
          <w:bCs/>
        </w:rPr>
        <w:t xml:space="preserve">Formal Label: </w:t>
      </w:r>
      <w:r>
        <w:rPr>
          <w:rStyle w:val="St"/>
        </w:rPr>
        <w:t>Fossils-US-IL-Mazon Creek-</w:t>
      </w:r>
    </w:p>
    <w:p>
      <w:pPr>
        <w:pStyle w:val="Normal"/>
        <w:rPr/>
      </w:pPr>
      <w:r>
        <w:rPr>
          <w:rStyle w:val="StrongEmphasis"/>
        </w:rPr>
        <w:t>Accession Number:</w:t>
      </w:r>
      <w:r>
        <w:rPr/>
        <w:t xml:space="preserve"> </w:t>
      </w:r>
    </w:p>
    <w:p>
      <w:pPr>
        <w:pStyle w:val="Normal"/>
        <w:rPr>
          <w:b/>
          <w:b/>
          <w:bCs/>
        </w:rPr>
      </w:pPr>
      <w:r>
        <w:rPr>
          <w:b/>
          <w:bCs/>
        </w:rPr>
        <w:t xml:space="preserve">LC Classification: </w:t>
      </w:r>
      <w:r>
        <w:rPr>
          <w:rFonts w:cs="Verdana" w:ascii="Verdana" w:hAnsi="Verdana"/>
          <w:color w:val="000000"/>
          <w:sz w:val="27"/>
          <w:szCs w:val="27"/>
          <w:shd w:fill="F2F2D9" w:val="clear"/>
        </w:rPr>
        <w:t> </w:t>
      </w:r>
      <w:r>
        <w:rPr>
          <w:szCs w:val="27"/>
        </w:rPr>
        <w:t>QE747.I3</w:t>
      </w:r>
      <w:r>
        <w:rPr>
          <w:rStyle w:val="Appleconvertedspace"/>
          <w:rFonts w:cs="Verdana" w:ascii="Verdana" w:hAnsi="Verdana"/>
          <w:sz w:val="27"/>
          <w:szCs w:val="27"/>
          <w:shd w:fill="F2F2D9" w:val="clear"/>
        </w:rPr>
        <w:t> </w:t>
      </w:r>
    </w:p>
    <w:p>
      <w:pPr>
        <w:pStyle w:val="Normal"/>
        <w:rPr/>
      </w:pPr>
      <w:r>
        <w:rPr>
          <w:rStyle w:val="StrongEmphasis"/>
        </w:rPr>
        <w:t>Date or Time Horizon:</w:t>
      </w:r>
      <w:r>
        <w:rPr/>
        <w:t xml:space="preserve"> </w:t>
      </w:r>
      <w:r>
        <w:rPr>
          <w:rStyle w:val="Nourlexpansionplainlinks"/>
        </w:rPr>
        <w:t xml:space="preserve">323.2 </w:t>
      </w:r>
      <w:r>
        <w:rPr/>
        <w:t>Ma (million years ago)</w:t>
      </w:r>
      <w:r>
        <w:rPr>
          <w:color w:val="000000"/>
          <w:lang w:val="en"/>
        </w:rPr>
        <w:t xml:space="preserve"> </w:t>
      </w:r>
      <w:r>
        <w:rPr/>
        <w:t xml:space="preserve">to </w:t>
      </w:r>
      <w:r>
        <w:rPr>
          <w:rStyle w:val="Nourlexpansionplainlinks"/>
        </w:rPr>
        <w:t>298.9 Ma</w:t>
      </w:r>
    </w:p>
    <w:p>
      <w:pPr>
        <w:pStyle w:val="Normal"/>
        <w:autoSpaceDE w:val="false"/>
        <w:rPr>
          <w:color w:val="000000"/>
          <w:lang w:val="en"/>
        </w:rPr>
      </w:pPr>
      <w:r>
        <w:rPr>
          <w:rStyle w:val="StrongEmphasis"/>
        </w:rPr>
        <w:t xml:space="preserve">Geographical Area: </w:t>
      </w:r>
      <w:r>
        <w:rPr>
          <w:rStyle w:val="StrongEmphasis"/>
          <w:b w:val="false"/>
          <w:bCs w:val="false"/>
        </w:rPr>
        <w:t>Braidwood site, pit 11,</w:t>
      </w:r>
      <w:r>
        <w:rPr>
          <w:rStyle w:val="StrongEmphasis"/>
        </w:rPr>
        <w:t xml:space="preserve"> </w:t>
      </w:r>
      <w:r>
        <w:rPr/>
        <w:t xml:space="preserve"> Mazon Creek, IL. </w:t>
      </w:r>
      <w:r>
        <w:rPr>
          <w:color w:val="000000"/>
          <w:lang w:val="en"/>
        </w:rPr>
        <w:t>41°19′16″N 88°20′46″W / 41.321°N 88.346°W</w:t>
      </w:r>
    </w:p>
    <w:p>
      <w:pPr>
        <w:pStyle w:val="Normal"/>
        <w:rPr>
          <w:color w:val="000000"/>
        </w:rPr>
      </w:pPr>
      <w:r>
        <w:rPr>
          <w:b/>
          <w:bCs/>
        </w:rPr>
        <w:t>Map</w:t>
      </w:r>
      <w:r>
        <w:rPr>
          <w:b/>
          <w:bCs/>
          <w:color w:val="000000"/>
        </w:rPr>
        <w:t>:</w:t>
      </w:r>
      <w:r>
        <w:rPr>
          <w:color w:val="000000"/>
        </w:rPr>
        <w:t xml:space="preserve"> </w:t>
      </w:r>
      <w:r>
        <w:rPr>
          <w:rStyle w:val="Appleconvertedspace"/>
          <w:color w:val="000000"/>
          <w:shd w:fill="FFFFFF" w:val="clear"/>
        </w:rPr>
        <w:t xml:space="preserve">after </w:t>
      </w:r>
      <w:r>
        <w:rPr>
          <w:color w:val="000000"/>
          <w:shd w:fill="FFFFFF" w:val="clear"/>
        </w:rPr>
        <w:t>Shabika and Hay 1997. The stippled area indicates the Pennsylvanian sea. Braidwood site, pit 11. is to the lower, center-right</w:t>
      </w:r>
      <w:r>
        <w:rPr>
          <w:color w:val="000000"/>
          <w:lang w:val="en"/>
        </w:rPr>
        <w:t>.</w:t>
      </w:r>
    </w:p>
    <w:p>
      <w:pPr>
        <w:pStyle w:val="Normal"/>
        <w:rPr>
          <w:color w:val="000000"/>
        </w:rPr>
      </w:pPr>
      <w:r>
        <w:rPr>
          <w:color w:val="000000"/>
        </w:rPr>
        <w:drawing>
          <wp:inline distT="0" distB="0" distL="0" distR="0">
            <wp:extent cx="5479415" cy="3235960"/>
            <wp:effectExtent l="0" t="0" r="0" b="0"/>
            <wp:docPr id="4" name="Image2"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title=""/>
                    <pic:cNvPicPr>
                      <a:picLocks noChangeAspect="1" noChangeArrowheads="1"/>
                    </pic:cNvPicPr>
                  </pic:nvPicPr>
                  <pic:blipFill>
                    <a:blip r:embed="rId5"/>
                    <a:srcRect l="-5" t="-8" r="-5" b="-8"/>
                    <a:stretch>
                      <a:fillRect/>
                    </a:stretch>
                  </pic:blipFill>
                  <pic:spPr bwMode="auto">
                    <a:xfrm>
                      <a:off x="0" y="0"/>
                      <a:ext cx="5479415" cy="3235960"/>
                    </a:xfrm>
                    <a:prstGeom prst="rect">
                      <a:avLst/>
                    </a:prstGeom>
                  </pic:spPr>
                </pic:pic>
              </a:graphicData>
            </a:graphic>
          </wp:inline>
        </w:drawing>
      </w:r>
    </w:p>
    <w:p>
      <w:pPr>
        <w:pStyle w:val="Normal"/>
        <w:rPr>
          <w:color w:val="000000"/>
        </w:rPr>
      </w:pPr>
      <w:r>
        <w:rPr>
          <w:rStyle w:val="StrongEmphasis"/>
          <w:color w:val="000000"/>
        </w:rPr>
        <w:t>Geological Affiliation:</w:t>
      </w:r>
      <w:r>
        <w:rPr>
          <w:color w:val="000000"/>
        </w:rPr>
        <w:t xml:space="preserve"> </w:t>
      </w:r>
      <w:r>
        <w:rPr>
          <w:color w:val="000000"/>
          <w:lang w:val="en"/>
        </w:rPr>
        <w:t>mid-Pennsylvanian epoch of the Upper Carboniferous in the Francis Creek Shale</w:t>
      </w:r>
    </w:p>
    <w:p>
      <w:pPr>
        <w:pStyle w:val="Normal"/>
        <w:rPr/>
      </w:pPr>
      <w:r>
        <w:rPr>
          <w:rStyle w:val="StrongEmphasis"/>
          <w:color w:val="000000"/>
        </w:rPr>
        <w:t>Medium:</w:t>
      </w:r>
      <w:r>
        <w:rPr>
          <w:color w:val="000000"/>
        </w:rPr>
        <w:t xml:space="preserve"> Ironstone fossil</w:t>
      </w:r>
    </w:p>
    <w:p>
      <w:pPr>
        <w:pStyle w:val="Normal"/>
        <w:rPr>
          <w:b/>
          <w:b/>
          <w:bCs/>
          <w:color w:val="000000"/>
        </w:rPr>
      </w:pPr>
      <w:r>
        <w:rPr>
          <w:rStyle w:val="StrongEmphasis"/>
          <w:color w:val="000000"/>
        </w:rPr>
        <w:t>Dimensions:</w:t>
      </w:r>
      <w:r>
        <w:rPr>
          <w:color w:val="000000"/>
        </w:rPr>
        <w:t xml:space="preserve"> </w:t>
      </w:r>
    </w:p>
    <w:p>
      <w:pPr>
        <w:pStyle w:val="Normal"/>
        <w:rPr/>
      </w:pPr>
      <w:r>
        <w:rPr>
          <w:rStyle w:val="StrongEmphasis"/>
          <w:color w:val="000000"/>
        </w:rPr>
        <w:t xml:space="preserve">Weight:  </w:t>
      </w:r>
    </w:p>
    <w:p>
      <w:pPr>
        <w:pStyle w:val="Normal"/>
        <w:rPr>
          <w:rStyle w:val="StrongEmphasis"/>
          <w:color w:val="000000"/>
        </w:rPr>
      </w:pPr>
      <w:r>
        <w:rPr>
          <w:rStyle w:val="StrongEmphasis"/>
          <w:color w:val="000000"/>
        </w:rPr>
        <w:t xml:space="preserve">Condition: </w:t>
      </w:r>
      <w:r>
        <w:rPr>
          <w:rStyle w:val="StrongEmphasis"/>
          <w:b w:val="false"/>
          <w:bCs w:val="false"/>
          <w:color w:val="000000"/>
        </w:rPr>
        <w:t>Museum quality.</w:t>
      </w:r>
    </w:p>
    <w:p>
      <w:pPr>
        <w:pStyle w:val="Normal"/>
        <w:rPr>
          <w:b/>
          <w:b/>
          <w:bCs/>
          <w:color w:val="000000"/>
        </w:rPr>
      </w:pPr>
      <w:r>
        <w:rPr>
          <w:rStyle w:val="StrongEmphasis"/>
          <w:color w:val="000000"/>
        </w:rPr>
        <w:t>Provenance:</w:t>
      </w:r>
      <w:r>
        <w:rPr>
          <w:color w:val="000000"/>
        </w:rPr>
        <w:t xml:space="preserve"> This specimen was </w:t>
      </w:r>
      <w:r>
        <w:rPr>
          <w:rFonts w:cs="Arial"/>
          <w:color w:val="000000"/>
          <w:szCs w:val="27"/>
        </w:rPr>
        <w:t>collected at the Braidwood site, pit 11, IL.</w:t>
      </w:r>
    </w:p>
    <w:p>
      <w:pPr>
        <w:pStyle w:val="Normal"/>
        <w:autoSpaceDE w:val="false"/>
        <w:rPr/>
      </w:pPr>
      <w:r>
        <w:rPr>
          <w:b/>
          <w:bCs/>
          <w:color w:val="000000"/>
        </w:rPr>
        <w:t xml:space="preserve">Discussion: </w:t>
      </w:r>
      <w:r>
        <w:rPr>
          <w:color w:val="000000"/>
          <w:lang w:val="en"/>
        </w:rPr>
        <w:t xml:space="preserve">The Mazon Creek fossil beds, Grundy County, Illinois are preserved in ironstone (sandstone with iron oxides) as concretions that were formed approximately </w:t>
      </w:r>
      <w:r>
        <w:rPr>
          <w:rStyle w:val="Nourlexpansionplainlinks"/>
        </w:rPr>
        <w:t xml:space="preserve">323.2 </w:t>
      </w:r>
      <w:r>
        <w:rPr/>
        <w:t xml:space="preserve">Ma to </w:t>
      </w:r>
      <w:r>
        <w:rPr>
          <w:rStyle w:val="Nourlexpansionplainlinks"/>
        </w:rPr>
        <w:t>298.9 Ma</w:t>
      </w:r>
      <w:r>
        <w:rPr/>
        <w:t xml:space="preserve"> </w:t>
      </w:r>
      <w:r>
        <w:rPr>
          <w:color w:val="000000"/>
          <w:lang w:val="en"/>
        </w:rPr>
        <w:t>during the mid-Pennsylvanian epoch of the Upper Carboniferous in the Francis Creek Shale. The ironstone concretions preserved faunal soft tissues in detail, which are not normally fossilized (Allison 1987) and faunal hard tissues and flora in great detail because their remains were rapidly buried before much decomposition could set in (Bottjer 2002). The organisms acted as chemical nuclei that precipitated siderite nodules that encased the micro structure of the fossils in a process known as authigenic mineralization (Schellenberg 2002).</w:t>
      </w:r>
    </w:p>
    <w:p>
      <w:pPr>
        <w:pStyle w:val="Normal"/>
        <w:autoSpaceDE w:val="false"/>
        <w:rPr>
          <w:color w:val="000000"/>
          <w:lang w:val="en"/>
        </w:rPr>
      </w:pPr>
      <w:r>
        <w:rPr>
          <w:color w:val="000000"/>
          <w:lang w:val="en"/>
        </w:rPr>
      </w:r>
    </w:p>
    <w:p>
      <w:pPr>
        <w:pStyle w:val="Normal"/>
        <w:rPr>
          <w:b/>
          <w:b/>
          <w:bCs/>
          <w:color w:val="000000"/>
          <w:lang w:val="en"/>
        </w:rPr>
      </w:pPr>
      <w:r>
        <w:rPr>
          <w:b/>
          <w:bCs/>
          <w:color w:val="000000"/>
          <w:lang w:val="en"/>
        </w:rPr>
      </w:r>
    </w:p>
    <w:p>
      <w:pPr>
        <w:pStyle w:val="Normal"/>
        <w:rPr>
          <w:b/>
          <w:b/>
          <w:bCs/>
          <w:color w:val="000000"/>
        </w:rPr>
      </w:pPr>
      <w:r>
        <w:rPr>
          <w:b/>
          <w:bCs/>
          <w:color w:val="000000"/>
        </w:rPr>
        <w:t>References:</w:t>
      </w:r>
    </w:p>
    <w:p>
      <w:pPr>
        <w:pStyle w:val="Normal"/>
        <w:autoSpaceDE w:val="false"/>
        <w:rPr/>
      </w:pPr>
      <w:r>
        <w:rPr>
          <w:color w:val="000000"/>
          <w:lang w:val="en"/>
        </w:rPr>
        <w:t xml:space="preserve">Allison, P. A. 1987. "A new cephalopod with soft parts from the Upper Carboniferous Francis Creek Shale of Illinois, USA," </w:t>
      </w:r>
      <w:r>
        <w:rPr>
          <w:i/>
          <w:iCs/>
          <w:color w:val="000000"/>
          <w:lang w:val="en"/>
        </w:rPr>
        <w:t>Lethai</w:t>
      </w:r>
      <w:r>
        <w:rPr>
          <w:i/>
          <w:iCs/>
          <w:vanish/>
          <w:color w:val="000000"/>
          <w:lang w:val="en"/>
        </w:rPr>
        <w:t>HYPERLINK "https://en.wikipedia.org/wiki/Lethaia"</w:t>
      </w:r>
      <w:r>
        <w:rPr>
          <w:i/>
          <w:iCs/>
          <w:color w:val="000000"/>
          <w:lang w:val="en"/>
        </w:rPr>
        <w:t xml:space="preserve">a, </w:t>
      </w:r>
      <w:r>
        <w:rPr>
          <w:b/>
          <w:bCs/>
          <w:color w:val="000000"/>
          <w:lang w:val="en"/>
        </w:rPr>
        <w:t>20</w:t>
      </w:r>
      <w:r>
        <w:rPr>
          <w:color w:val="000000"/>
          <w:lang w:val="en"/>
        </w:rPr>
        <w:t xml:space="preserve"> (78): 117–121.</w:t>
      </w:r>
    </w:p>
    <w:p>
      <w:pPr>
        <w:pStyle w:val="Normal"/>
        <w:autoSpaceDE w:val="false"/>
        <w:rPr>
          <w:color w:val="000000"/>
          <w:lang w:val="en"/>
        </w:rPr>
      </w:pPr>
      <w:r>
        <w:rPr>
          <w:color w:val="000000"/>
          <w:lang w:val="en"/>
        </w:rPr>
      </w:r>
    </w:p>
    <w:p>
      <w:pPr>
        <w:pStyle w:val="Normal"/>
        <w:rPr>
          <w:rFonts w:cs="Arial"/>
          <w:color w:val="000000"/>
          <w:szCs w:val="13"/>
          <w:highlight w:val="white"/>
          <w:lang w:val="en"/>
        </w:rPr>
      </w:pPr>
      <w:r>
        <w:rPr>
          <w:rFonts w:cs="Arial"/>
          <w:color w:val="000000"/>
          <w:szCs w:val="13"/>
          <w:shd w:fill="FFFFFF" w:val="clear"/>
          <w:lang w:val="en"/>
        </w:rPr>
      </w:r>
    </w:p>
    <w:p>
      <w:pPr>
        <w:pStyle w:val="Normal"/>
        <w:rPr>
          <w:color w:val="000000"/>
        </w:rPr>
      </w:pPr>
      <w:r>
        <w:rPr>
          <w:rFonts w:cs="Arial"/>
          <w:color w:val="000000"/>
          <w:szCs w:val="13"/>
          <w:shd w:fill="FFFFFF" w:val="clear"/>
        </w:rPr>
        <w:t>Dawson, Michael N. 2003. "Macro-morphological variation among cryptic species of the moon jellyfish,</w:t>
      </w:r>
      <w:r>
        <w:rPr>
          <w:rStyle w:val="Appleconvertedspace"/>
          <w:rFonts w:cs="Arial"/>
          <w:color w:val="000000"/>
          <w:szCs w:val="13"/>
          <w:shd w:fill="FFFFFF" w:val="clear"/>
        </w:rPr>
        <w:t> </w:t>
      </w:r>
      <w:r>
        <w:rPr>
          <w:rFonts w:cs="Arial"/>
          <w:i/>
          <w:iCs/>
          <w:color w:val="000000"/>
          <w:szCs w:val="13"/>
          <w:shd w:fill="FFFFFF" w:val="clear"/>
        </w:rPr>
        <w:t>Aurelia</w:t>
      </w:r>
      <w:r>
        <w:rPr>
          <w:rStyle w:val="Appleconvertedspace"/>
          <w:rFonts w:cs="Arial"/>
          <w:color w:val="000000"/>
          <w:szCs w:val="13"/>
          <w:shd w:fill="FFFFFF" w:val="clear"/>
        </w:rPr>
        <w:t> </w:t>
      </w:r>
      <w:r>
        <w:rPr>
          <w:rFonts w:cs="Arial"/>
          <w:color w:val="000000"/>
          <w:szCs w:val="13"/>
          <w:shd w:fill="FFFFFF" w:val="clear"/>
        </w:rPr>
        <w:t xml:space="preserve">(Cnidaria: Scyphozoa)," </w:t>
      </w:r>
      <w:r>
        <w:rPr>
          <w:rFonts w:cs="Arial"/>
          <w:i/>
          <w:iCs/>
          <w:color w:val="000000"/>
          <w:szCs w:val="13"/>
          <w:shd w:fill="FFFFFF" w:val="clear"/>
        </w:rPr>
        <w:t>Marine Biology</w:t>
      </w:r>
      <w:r>
        <w:rPr>
          <w:rFonts w:cs="Arial"/>
          <w:color w:val="000000"/>
          <w:szCs w:val="13"/>
          <w:shd w:fill="FFFFFF" w:val="clear"/>
        </w:rPr>
        <w:t>.</w:t>
      </w:r>
      <w:r>
        <w:rPr>
          <w:rStyle w:val="Appleconvertedspace"/>
          <w:rFonts w:cs="Arial"/>
          <w:color w:val="000000"/>
          <w:szCs w:val="13"/>
          <w:shd w:fill="FFFFFF" w:val="clear"/>
        </w:rPr>
        <w:t> </w:t>
      </w:r>
      <w:r>
        <w:rPr>
          <w:rFonts w:cs="Arial"/>
          <w:b/>
          <w:bCs/>
          <w:color w:val="000000"/>
          <w:szCs w:val="13"/>
          <w:shd w:fill="FFFFFF" w:val="clear"/>
        </w:rPr>
        <w:t>143</w:t>
      </w:r>
      <w:r>
        <w:rPr>
          <w:rStyle w:val="Appleconvertedspace"/>
          <w:rFonts w:cs="Arial"/>
          <w:color w:val="000000"/>
          <w:szCs w:val="13"/>
          <w:shd w:fill="FFFFFF" w:val="clear"/>
        </w:rPr>
        <w:t> </w:t>
      </w:r>
      <w:r>
        <w:rPr>
          <w:rFonts w:cs="Arial"/>
          <w:color w:val="000000"/>
          <w:szCs w:val="13"/>
          <w:shd w:fill="FFFFFF" w:val="clear"/>
        </w:rPr>
        <w:t>(2): 369–379.</w:t>
      </w:r>
      <w:r>
        <w:rPr>
          <w:rStyle w:val="Appleconvertedspace"/>
          <w:rFonts w:cs="Arial"/>
          <w:color w:val="000000"/>
          <w:szCs w:val="13"/>
          <w:shd w:fill="FFFFFF" w:val="clear"/>
        </w:rPr>
        <w:t> </w:t>
      </w:r>
    </w:p>
    <w:p>
      <w:pPr>
        <w:pStyle w:val="Normal"/>
        <w:rPr>
          <w:color w:val="000000"/>
        </w:rPr>
      </w:pPr>
      <w:r>
        <w:rPr>
          <w:color w:val="000000"/>
        </w:rPr>
      </w:r>
    </w:p>
    <w:p>
      <w:pPr>
        <w:pStyle w:val="Normal"/>
        <w:rPr/>
      </w:pPr>
      <w:r>
        <w:rPr>
          <w:color w:val="000000"/>
        </w:rPr>
        <w:t xml:space="preserve">Nitecki, Matthew H., ed. 1979. </w:t>
      </w:r>
      <w:r>
        <w:rPr>
          <w:i/>
          <w:iCs/>
          <w:color w:val="000000"/>
        </w:rPr>
        <w:t>Mazon Creek Fossils</w:t>
      </w:r>
      <w:r>
        <w:rPr>
          <w:color w:val="000000"/>
        </w:rPr>
        <w:t xml:space="preserve">. </w:t>
      </w:r>
      <w:r>
        <w:rPr>
          <w:i/>
          <w:iCs/>
          <w:color w:val="000000"/>
          <w:szCs w:val="27"/>
          <w:shd w:fill="FFFFFF" w:val="clear"/>
        </w:rPr>
        <w:t>Papers presented at the symposium sponsored by the Paleontological Society and the Field Museum of Natural History.</w:t>
      </w:r>
      <w:r>
        <w:rPr>
          <w:color w:val="000000"/>
        </w:rPr>
        <w:t xml:space="preserve"> New York: Academic Press.</w:t>
      </w:r>
    </w:p>
    <w:p>
      <w:pPr>
        <w:pStyle w:val="Normal"/>
        <w:rPr>
          <w:rFonts w:eastAsia="Arial Unicode MS" w:cs="Arial Unicode MS"/>
          <w:color w:val="000000"/>
          <w:highlight w:val="white"/>
        </w:rPr>
      </w:pPr>
      <w:r>
        <w:rPr>
          <w:rFonts w:eastAsia="Arial Unicode MS" w:cs="Arial Unicode MS"/>
          <w:color w:val="000000"/>
          <w:shd w:fill="FFFFFF" w:val="clear"/>
        </w:rPr>
      </w:r>
    </w:p>
    <w:p>
      <w:pPr>
        <w:pStyle w:val="Normal"/>
        <w:rPr>
          <w:rFonts w:eastAsia="Arial Unicode MS" w:cs="Arial Unicode MS"/>
          <w:b/>
          <w:b/>
          <w:bCs/>
          <w:color w:val="000000"/>
        </w:rPr>
      </w:pPr>
      <w:r>
        <w:rPr>
          <w:rFonts w:eastAsia="Arial Unicode MS" w:cs="Arial Unicode MS"/>
          <w:color w:val="000000"/>
          <w:shd w:fill="FFFFFF" w:val="clear"/>
        </w:rPr>
        <w:t>Shabica</w:t>
      </w:r>
      <w:r>
        <w:rPr>
          <w:rFonts w:eastAsia="Arial Unicode MS" w:cs="Arial Unicode MS"/>
          <w:color w:val="000000"/>
          <w:shd w:fill="FFFFFF" w:val="clear"/>
        </w:rPr>
        <w:t xml:space="preserve">, </w:t>
      </w:r>
      <w:r>
        <w:rPr>
          <w:rStyle w:val="Appleconvertedspace"/>
          <w:rFonts w:eastAsia="Arial Unicode MS" w:cs="Arial Unicode MS"/>
          <w:color w:val="000000"/>
          <w:shd w:fill="FFFFFF" w:val="clear"/>
        </w:rPr>
        <w:t> </w:t>
      </w:r>
      <w:r>
        <w:rPr>
          <w:rFonts w:eastAsia="Arial Unicode MS" w:cs="Arial Unicode MS"/>
          <w:color w:val="000000"/>
          <w:shd w:fill="FFFFFF" w:val="clear"/>
        </w:rPr>
        <w:t>Charles W</w:t>
      </w:r>
      <w:r>
        <w:rPr>
          <w:rFonts w:eastAsia="Arial Unicode MS" w:cs="Arial Unicode MS"/>
          <w:color w:val="000000"/>
          <w:shd w:fill="FFFFFF" w:val="clear"/>
        </w:rPr>
        <w:t>. and</w:t>
      </w:r>
      <w:r>
        <w:rPr>
          <w:rFonts w:eastAsia="Arial Unicode MS" w:cs="Arial Unicode MS"/>
          <w:color w:val="000000"/>
          <w:shd w:fill="FFFFFF" w:val="clear"/>
        </w:rPr>
        <w:t xml:space="preserve"> Andy Hay</w:t>
      </w:r>
      <w:r>
        <w:rPr>
          <w:rFonts w:eastAsia="Arial Unicode MS" w:cs="Arial Unicode MS"/>
          <w:color w:val="000000"/>
          <w:shd w:fill="FFFFFF" w:val="clear"/>
        </w:rPr>
        <w:t xml:space="preserve">. 1997. </w:t>
      </w:r>
      <w:r>
        <w:rPr>
          <w:rFonts w:eastAsia="Arial Unicode MS" w:cs="Arial Unicode MS"/>
          <w:i/>
          <w:iCs/>
          <w:color w:val="000000"/>
          <w:shd w:fill="FFFFFF" w:val="clear"/>
        </w:rPr>
        <w:t>R</w:t>
      </w:r>
      <w:r>
        <w:rPr>
          <w:rFonts w:eastAsia="Arial Unicode MS" w:cs="Arial Unicode MS"/>
          <w:i/>
          <w:iCs/>
          <w:color w:val="000000"/>
          <w:shd w:fill="FFFFFF" w:val="clear"/>
        </w:rPr>
        <w:t>ichardson's guide to the fossil fauna of Mazon Creek</w:t>
      </w:r>
      <w:r>
        <w:rPr>
          <w:rFonts w:eastAsia="Arial Unicode MS" w:cs="Arial Unicode MS"/>
          <w:color w:val="000000"/>
          <w:shd w:fill="FFFFFF" w:val="clear"/>
        </w:rPr>
        <w:t xml:space="preserve">. </w:t>
      </w:r>
      <w:r>
        <w:rPr>
          <w:rFonts w:eastAsia="Arial Unicode MS" w:cs="Arial Unicode MS"/>
          <w:color w:val="000000"/>
          <w:szCs w:val="12"/>
          <w:shd w:fill="FFFFFF" w:val="clear"/>
        </w:rPr>
        <w:t xml:space="preserve">Chicago, </w:t>
      </w:r>
      <w:r>
        <w:rPr>
          <w:rFonts w:eastAsia="Arial Unicode MS" w:cs="Arial Unicode MS"/>
          <w:color w:val="000000"/>
          <w:szCs w:val="12"/>
          <w:shd w:fill="FFFFFF" w:val="clear"/>
        </w:rPr>
        <w:t>IL</w:t>
      </w:r>
      <w:r>
        <w:rPr>
          <w:rFonts w:eastAsia="Arial Unicode MS" w:cs="Arial Unicode MS"/>
          <w:color w:val="000000"/>
          <w:szCs w:val="12"/>
          <w:shd w:fill="FFFFFF" w:val="clear"/>
        </w:rPr>
        <w:t>: Northeastern Illinois University</w:t>
      </w:r>
      <w:r>
        <w:rPr>
          <w:rFonts w:eastAsia="Arial Unicode MS" w:cs="Arial Unicode MS"/>
          <w:b/>
          <w:bCs/>
          <w:color w:val="000000"/>
        </w:rPr>
        <w:t>.</w:t>
      </w:r>
    </w:p>
    <w:p>
      <w:pPr>
        <w:pStyle w:val="Normal"/>
        <w:autoSpaceDE w:val="false"/>
        <w:rPr>
          <w:rFonts w:eastAsia="Arial Unicode MS" w:cs="Arial Unicode MS"/>
          <w:b/>
          <w:b/>
          <w:bCs/>
          <w:color w:val="000000"/>
          <w:lang w:val="en"/>
        </w:rPr>
      </w:pPr>
      <w:r>
        <w:rPr>
          <w:rFonts w:eastAsia="Arial Unicode MS" w:cs="Arial Unicode MS"/>
          <w:b/>
          <w:bCs/>
          <w:color w:val="000000"/>
          <w:lang w:val="en"/>
        </w:rPr>
      </w:r>
    </w:p>
    <w:p>
      <w:pPr>
        <w:pStyle w:val="Normal"/>
        <w:autoSpaceDE w:val="false"/>
        <w:rPr>
          <w:color w:val="000000"/>
          <w:lang w:val="en"/>
        </w:rPr>
      </w:pPr>
      <w:r>
        <w:rPr>
          <w:color w:val="000000"/>
          <w:lang w:val="en"/>
        </w:rPr>
        <w:t>Schellenberg, Stephen A. 2002. "Mazon Creek: preservation in late Paleozoic deltaic and marginal marine environments" In Bottjer, David J. 2002.</w:t>
      </w:r>
      <w:r>
        <w:rPr>
          <w:i/>
          <w:iCs/>
          <w:color w:val="000000"/>
          <w:lang w:val="en"/>
        </w:rPr>
        <w:t xml:space="preserve"> Exceptional Fossil Preservation: A Unique View on the Evolution of Marine Life. </w:t>
      </w:r>
      <w:r>
        <w:rPr>
          <w:color w:val="000000"/>
          <w:lang w:val="en"/>
        </w:rPr>
        <w:t>New York: Columbia University Press, pp. 185–203.</w:t>
      </w:r>
    </w:p>
    <w:p>
      <w:pPr>
        <w:pStyle w:val="Normal"/>
        <w:autoSpaceDE w:val="false"/>
        <w:rPr>
          <w:rStyle w:val="St"/>
          <w:lang w:val="en"/>
        </w:rPr>
      </w:pPr>
      <w:r>
        <w:rPr>
          <w:color w:val="000000"/>
          <w:lang w:val="en"/>
        </w:rPr>
      </w:r>
    </w:p>
    <w:p>
      <w:pPr>
        <w:pStyle w:val="Normal"/>
        <w:rPr>
          <w:rStyle w:val="St"/>
          <w:b/>
          <w:b/>
          <w:bCs/>
          <w:lang w:val="en"/>
        </w:rPr>
      </w:pPr>
      <w:r>
        <w:rPr/>
      </w:r>
    </w:p>
    <w:p>
      <w:pPr>
        <w:pStyle w:val="Normal"/>
        <w:rPr>
          <w:b/>
          <w:b/>
          <w:bCs/>
          <w:lang w:val="en"/>
        </w:rPr>
      </w:pPr>
      <w:r>
        <w:rPr>
          <w:b/>
          <w:bCs/>
          <w:lang w:val="en"/>
        </w:rPr>
      </w:r>
    </w:p>
    <w:sectPr>
      <w:type w:val="nextPage"/>
      <w:pgSz w:w="12240" w:h="15840"/>
      <w:pgMar w:left="1800" w:right="1800" w:header="0" w:top="1440" w:footer="0" w:bottom="1440" w:gutter="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 w:name="Verdana">
    <w:charset w:val="00" w:characterSet="windows-1252"/>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start"/>
      <w:pPr>
        <w:ind w:start="0" w:hanging="0"/>
      </w:pPr>
    </w:lvl>
    <w:lvl w:ilvl="1">
      <w:start w:val="1"/>
      <w:numFmt w:val="none"/>
      <w:suff w:val="nothing"/>
      <w:lvlText w:val=""/>
      <w:lvlJc w:val="start"/>
      <w:pPr>
        <w:ind w:start="0" w:hanging="0"/>
      </w:pPr>
    </w:lvl>
    <w:lvl w:ilvl="2">
      <w:start w:val="1"/>
      <w:numFmt w:val="none"/>
      <w:suff w:val="nothing"/>
      <w:lvlText w:val=""/>
      <w:lvlJc w:val="start"/>
      <w:pPr>
        <w:ind w:start="0" w:hanging="0"/>
      </w:pPr>
    </w:lvl>
    <w:lvl w:ilvl="3">
      <w:start w:val="1"/>
      <w:numFmt w:val="none"/>
      <w:suff w:val="nothing"/>
      <w:lvlText w:val=""/>
      <w:lvlJc w:val="start"/>
      <w:pPr>
        <w:ind w:start="0" w:hanging="0"/>
      </w:pPr>
    </w:lvl>
    <w:lvl w:ilvl="4">
      <w:start w:val="1"/>
      <w:numFmt w:val="none"/>
      <w:suff w:val="nothing"/>
      <w:lvlText w:val=""/>
      <w:lvlJc w:val="start"/>
      <w:pPr>
        <w:ind w:start="0" w:hanging="0"/>
      </w:pPr>
    </w:lvl>
    <w:lvl w:ilvl="5">
      <w:start w:val="1"/>
      <w:numFmt w:val="none"/>
      <w:suff w:val="nothing"/>
      <w:lvlText w:val=""/>
      <w:lvlJc w:val="start"/>
      <w:pPr>
        <w:ind w:start="0" w:hanging="0"/>
      </w:pPr>
    </w:lvl>
    <w:lvl w:ilvl="6">
      <w:start w:val="1"/>
      <w:numFmt w:val="none"/>
      <w:suff w:val="nothing"/>
      <w:lvlText w:val=""/>
      <w:lvlJc w:val="start"/>
      <w:pPr>
        <w:ind w:start="0" w:hanging="0"/>
      </w:pPr>
    </w:lvl>
    <w:lvl w:ilvl="7">
      <w:start w:val="1"/>
      <w:numFmt w:val="none"/>
      <w:suff w:val="nothing"/>
      <w:lvlText w:val=""/>
      <w:lvlJc w:val="start"/>
      <w:pPr>
        <w:ind w:start="0" w:hanging="0"/>
      </w:pPr>
    </w:lvl>
    <w:lvl w:ilvl="8">
      <w:start w:val="1"/>
      <w:numFmt w:val="none"/>
      <w:suff w:val="nothing"/>
      <w:lvlText w:val=""/>
      <w:lvlJc w:val="start"/>
      <w:pPr>
        <w:ind w:start="0" w:hanging="0"/>
      </w:pPr>
    </w:lvl>
  </w:abstractNum>
  <w:num w:numId="1">
    <w:abstractNumId w:val="1"/>
  </w:num>
</w:numbering>
</file>

<file path=word/settings.xml><?xml version="1.0" encoding="utf-8"?>
<w:settings xmlns:w="http://schemas.openxmlformats.org/wordprocessingml/2006/main">
  <w:zoom w:percent="75"/>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paragraph" w:styleId="Heading1">
    <w:name w:val="Heading 1"/>
    <w:basedOn w:val="Normal"/>
    <w:next w:val="TextBody"/>
    <w:qFormat/>
    <w:pPr>
      <w:numPr>
        <w:ilvl w:val="0"/>
        <w:numId w:val="1"/>
      </w:numPr>
      <w:spacing w:before="280" w:after="280"/>
      <w:outlineLvl w:val="0"/>
    </w:pPr>
    <w:rPr>
      <w:b/>
      <w:bCs/>
      <w:kern w:val="2"/>
      <w:sz w:val="48"/>
      <w:szCs w:val="48"/>
    </w:rPr>
  </w:style>
  <w:style w:type="character" w:styleId="DefaultParagraphFont">
    <w:name w:val="Default Paragraph Font"/>
    <w:qFormat/>
    <w:rPr/>
  </w:style>
  <w:style w:type="character" w:styleId="St">
    <w:name w:val="st"/>
    <w:basedOn w:val="DefaultParagraphFont"/>
    <w:qFormat/>
    <w:rPr/>
  </w:style>
  <w:style w:type="character" w:styleId="Emphasis">
    <w:name w:val="Emphasis"/>
    <w:qFormat/>
    <w:rPr>
      <w:i/>
      <w:iCs/>
    </w:rPr>
  </w:style>
  <w:style w:type="character" w:styleId="StrongEmphasis">
    <w:name w:val="Strong Emphasis"/>
    <w:qFormat/>
    <w:rPr>
      <w:b/>
      <w:bCs/>
    </w:rPr>
  </w:style>
  <w:style w:type="character" w:styleId="Appleconvertedspace">
    <w:name w:val="apple-converted-space"/>
    <w:basedOn w:val="DefaultParagraphFont"/>
    <w:qFormat/>
    <w:rPr/>
  </w:style>
  <w:style w:type="character" w:styleId="Nourlexpansionplainlinks">
    <w:name w:val="nourlexpansion plainlinks"/>
    <w:basedOn w:val="DefaultParagraphFont"/>
    <w:qFormat/>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image" Target="media/image2.png"/><Relationship Id="rId4" Type="http://schemas.openxmlformats.org/officeDocument/2006/relationships/image" Target="media/image3.jpeg"/><Relationship Id="rId5" Type="http://schemas.openxmlformats.org/officeDocument/2006/relationships/image" Target="media/image4.png"/><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2017-03-05T16:29:00Z</dcterms:created>
  <dc:creator>Ralph</dc:creator>
  <dc:description/>
  <cp:keywords/>
  <dc:language>en-US</dc:language>
  <cp:lastModifiedBy>Ralph Coffman</cp:lastModifiedBy>
  <dcterms:modified xsi:type="dcterms:W3CDTF">2017-03-05T16:29:00Z</dcterms:modified>
  <cp:revision>2</cp:revision>
  <dc:subject/>
  <dc:title>Dis-Fossils-US-IL-Mazon Creek-</dc:title>
</cp:coreProperties>
</file>