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Style w:val="StrongEmphasis"/>
        </w:rPr>
      </w:pPr>
      <w:r>
        <w:rPr>
          <w:bCs/>
        </w:rPr>
        <w:t>Dis</w:t>
      </w:r>
      <w:r>
        <w:rPr>
          <w:b/>
          <w:bCs/>
        </w:rPr>
        <w:t>-</w:t>
      </w:r>
      <w:r>
        <w:rPr>
          <w:rStyle w:val="StrongEmphasis"/>
          <w:b w:val="false"/>
        </w:rPr>
        <w:t>ME-Syria, Golan Heights, Berekhat Ram, Venus,</w:t>
      </w:r>
      <w:r>
        <w:rPr>
          <w:rStyle w:val="StrongEmphasis"/>
        </w:rPr>
        <w:t xml:space="preserve"> </w:t>
      </w:r>
      <w:r>
        <w:rPr/>
        <w:t>800,000-230,000 BP</w:t>
      </w:r>
    </w:p>
    <w:p>
      <w:pPr>
        <w:pStyle w:val="NormalWeb"/>
        <w:spacing w:before="0" w:after="0"/>
        <w:rPr>
          <w:b/>
          <w:b/>
        </w:rPr>
      </w:pPr>
      <w:r>
        <w:rPr/>
        <w:drawing>
          <wp:inline distT="0" distB="0" distL="0" distR="0">
            <wp:extent cx="4276090" cy="17716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 t="-4" r="-1" b="-4"/>
                    <a:stretch>
                      <a:fillRect/>
                    </a:stretch>
                  </pic:blipFill>
                  <pic:spPr bwMode="auto">
                    <a:xfrm>
                      <a:off x="0" y="0"/>
                      <a:ext cx="4276090" cy="1771650"/>
                    </a:xfrm>
                    <a:prstGeom prst="rect">
                      <a:avLst/>
                    </a:prstGeom>
                  </pic:spPr>
                </pic:pic>
              </a:graphicData>
            </a:graphic>
          </wp:inline>
        </w:drawing>
      </w:r>
      <w:r>
        <w:rPr/>
        <w:t xml:space="preserve"> </w:t>
      </w:r>
      <w:r>
        <w:rPr/>
        <w:drawing>
          <wp:inline distT="0" distB="0" distL="0" distR="0">
            <wp:extent cx="1097280" cy="176657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5" t="-9" r="-15" b="-9"/>
                    <a:stretch>
                      <a:fillRect/>
                    </a:stretch>
                  </pic:blipFill>
                  <pic:spPr bwMode="auto">
                    <a:xfrm>
                      <a:off x="0" y="0"/>
                      <a:ext cx="1097280" cy="1766570"/>
                    </a:xfrm>
                    <a:prstGeom prst="rect">
                      <a:avLst/>
                    </a:prstGeom>
                  </pic:spPr>
                </pic:pic>
              </a:graphicData>
            </a:graphic>
          </wp:inline>
        </w:drawing>
      </w:r>
    </w:p>
    <w:p>
      <w:pPr>
        <w:pStyle w:val="NormalWeb"/>
        <w:spacing w:before="0" w:after="0"/>
        <w:rPr>
          <w:rStyle w:val="StrongEmphasis"/>
          <w:b w:val="false"/>
          <w:b w:val="false"/>
        </w:rPr>
      </w:pPr>
      <w:r>
        <w:rPr/>
        <w:t xml:space="preserve">Fig. 1. Left four views of original basalt tuff pebble </w:t>
      </w:r>
      <w:r>
        <w:rPr>
          <w:rStyle w:val="StrongEmphasis"/>
          <w:b w:val="false"/>
        </w:rPr>
        <w:t xml:space="preserve">found at Berekhat Ram, after </w:t>
      </w:r>
      <w:hyperlink r:id="rId4">
        <w:r>
          <w:rPr>
            <w:rStyle w:val="InternetLink"/>
          </w:rPr>
          <w:t>http://www.donsmaps.com/images33/berekhatrambwallviews.jpg</w:t>
        </w:r>
      </w:hyperlink>
      <w:r>
        <w:rPr>
          <w:rStyle w:val="StrongEmphasis"/>
          <w:b w:val="false"/>
        </w:rPr>
        <w:t>.</w:t>
      </w:r>
    </w:p>
    <w:p>
      <w:pPr>
        <w:pStyle w:val="NormalWeb"/>
        <w:spacing w:before="0" w:after="0"/>
        <w:rPr/>
      </w:pPr>
      <w:r>
        <w:rPr>
          <w:rStyle w:val="StrongEmphasis"/>
          <w:b w:val="false"/>
        </w:rPr>
        <w:t>Fig. 2. Right, resin so-called “replica”.</w:t>
      </w:r>
      <w:r>
        <w:rPr>
          <w:rStyle w:val="StrongEmphasis"/>
        </w:rPr>
        <w:t xml:space="preserve"> </w:t>
      </w:r>
    </w:p>
    <w:p>
      <w:pPr>
        <w:pStyle w:val="NormalWeb"/>
        <w:spacing w:before="0" w:after="0"/>
        <w:rPr/>
      </w:pPr>
      <w:r>
        <w:rPr/>
        <w:drawing>
          <wp:inline distT="0" distB="0" distL="0" distR="0">
            <wp:extent cx="5763260" cy="381000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5"/>
                    <a:srcRect l="-4" t="-7" r="-4" b="-7"/>
                    <a:stretch>
                      <a:fillRect/>
                    </a:stretch>
                  </pic:blipFill>
                  <pic:spPr bwMode="auto">
                    <a:xfrm>
                      <a:off x="0" y="0"/>
                      <a:ext cx="5763260" cy="3810000"/>
                    </a:xfrm>
                    <a:prstGeom prst="rect">
                      <a:avLst/>
                    </a:prstGeom>
                  </pic:spPr>
                </pic:pic>
              </a:graphicData>
            </a:graphic>
          </wp:inline>
        </w:drawing>
      </w:r>
    </w:p>
    <w:p>
      <w:pPr>
        <w:pStyle w:val="Normal"/>
        <w:rPr/>
      </w:pPr>
      <w:r>
        <w:rPr>
          <w:rFonts w:cs="Arial" w:ascii="Arial" w:hAnsi="Arial"/>
          <w:color w:val="000000"/>
          <w:sz w:val="27"/>
          <w:szCs w:val="27"/>
        </w:rPr>
        <w:br/>
      </w:r>
      <w:r>
        <w:rPr/>
        <w:t>Fig. 3. Anthropogenic modifications on the Berekhat Ram object according (a) to Marshack (1997) and (b) to d'Errico and Nowell (2000): </w:t>
        <w:br/>
        <w:br/>
        <w:t>1: shaping and beveling of the right protuberance of the head</w:t>
        <w:br/>
        <w:t>2: scraping</w:t>
        <w:br/>
        <w:t>3: artificial smoothing of the lower plan of the neck groove</w:t>
        <w:br/>
        <w:t>4: grooving</w:t>
        <w:br/>
        <w:t>5: possible abrasion. From left to right: right side, front face, left side, rear face. </w:t>
      </w:r>
    </w:p>
    <w:p>
      <w:pPr>
        <w:pStyle w:val="Normal"/>
        <w:rPr>
          <w:rStyle w:val="StrongEmphasis"/>
          <w:b w:val="false"/>
          <w:b w:val="false"/>
          <w:bCs w:val="false"/>
        </w:rPr>
      </w:pPr>
      <w:r>
        <w:rPr/>
      </w:r>
    </w:p>
    <w:p>
      <w:pPr>
        <w:pStyle w:val="Normal"/>
        <w:rPr>
          <w:rStyle w:val="StrongEmphasis"/>
        </w:rPr>
      </w:pPr>
      <w:r>
        <w:rPr>
          <w:rStyle w:val="StrongEmphasis"/>
        </w:rPr>
        <w:t xml:space="preserve">Formal Label: </w:t>
      </w:r>
      <w:r>
        <w:rPr>
          <w:rStyle w:val="StrongEmphasis"/>
          <w:b w:val="false"/>
        </w:rPr>
        <w:t>Syria, Golan Heights, Berekhat Ram, Venus,</w:t>
      </w:r>
      <w:r>
        <w:rPr>
          <w:rStyle w:val="StrongEmphasis"/>
        </w:rPr>
        <w:t xml:space="preserve"> </w:t>
      </w:r>
      <w:r>
        <w:rPr/>
        <w:t>800,000-230,000 BP</w:t>
      </w:r>
    </w:p>
    <w:p>
      <w:pPr>
        <w:pStyle w:val="Normal"/>
        <w:rPr/>
      </w:pPr>
      <w:r>
        <w:rPr>
          <w:rStyle w:val="StrongEmphasis"/>
        </w:rPr>
        <w:t>Accession Number:</w:t>
      </w:r>
      <w:r>
        <w:rPr/>
        <w:t xml:space="preserve"> </w:t>
      </w:r>
    </w:p>
    <w:p>
      <w:pPr>
        <w:pStyle w:val="Normal"/>
        <w:rPr>
          <w:b/>
          <w:b/>
          <w:bCs/>
        </w:rPr>
      </w:pPr>
      <w:r>
        <w:rPr>
          <w:b/>
          <w:bCs/>
        </w:rPr>
        <w:t xml:space="preserve">LC Classification: </w:t>
      </w:r>
      <w:r>
        <w:rPr/>
        <w:t>N5460.E35</w:t>
      </w:r>
    </w:p>
    <w:p>
      <w:pPr>
        <w:pStyle w:val="Normal"/>
        <w:rPr/>
      </w:pPr>
      <w:r>
        <w:rPr>
          <w:rStyle w:val="StrongEmphasis"/>
        </w:rPr>
        <w:t>Date or Time Horizon:</w:t>
      </w:r>
      <w:r>
        <w:rPr/>
        <w:t xml:space="preserve"> 800,000 BP-230,000 BP</w:t>
      </w:r>
    </w:p>
    <w:p>
      <w:pPr>
        <w:pStyle w:val="Normal"/>
        <w:rPr>
          <w:rStyle w:val="StrongEmphasis"/>
          <w:b w:val="false"/>
          <w:b w:val="false"/>
        </w:rPr>
      </w:pPr>
      <w:r>
        <w:rPr>
          <w:rStyle w:val="StrongEmphasis"/>
        </w:rPr>
        <w:t>Geographical Area:</w:t>
      </w:r>
      <w:r>
        <w:rPr/>
        <w:t xml:space="preserve"> </w:t>
      </w:r>
      <w:r>
        <w:rPr>
          <w:rStyle w:val="StrongEmphasis"/>
          <w:b w:val="false"/>
        </w:rPr>
        <w:t>Golan Heights, Syria</w:t>
      </w:r>
    </w:p>
    <w:p>
      <w:pPr>
        <w:pStyle w:val="Normal"/>
        <w:rPr/>
      </w:pPr>
      <w:r>
        <w:rPr>
          <w:rStyle w:val="StrongEmphasis"/>
        </w:rPr>
        <w:t>Map: After http://www.donsmaps.com/images33/brmap.jpg</w:t>
      </w:r>
    </w:p>
    <w:p>
      <w:pPr>
        <w:pStyle w:val="Normal"/>
        <w:rPr/>
      </w:pPr>
      <w:r>
        <w:rPr/>
        <w:drawing>
          <wp:inline distT="0" distB="0" distL="0" distR="0">
            <wp:extent cx="3373755" cy="416687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rcRect l="-3" t="-2" r="-3" b="-2"/>
                    <a:stretch>
                      <a:fillRect/>
                    </a:stretch>
                  </pic:blipFill>
                  <pic:spPr bwMode="auto">
                    <a:xfrm>
                      <a:off x="0" y="0"/>
                      <a:ext cx="3373755" cy="4166870"/>
                    </a:xfrm>
                    <a:prstGeom prst="rect">
                      <a:avLst/>
                    </a:prstGeom>
                  </pic:spPr>
                </pic:pic>
              </a:graphicData>
            </a:graphic>
          </wp:inline>
        </w:drawing>
      </w:r>
    </w:p>
    <w:p>
      <w:pPr>
        <w:pStyle w:val="Normal"/>
        <w:rPr/>
      </w:pPr>
      <w:r>
        <w:rPr>
          <w:rStyle w:val="StrongEmphasis"/>
        </w:rPr>
        <w:t>Cultural Affiliation:</w:t>
      </w:r>
      <w:r>
        <w:rPr/>
        <w:t xml:space="preserve"> Acheulian</w:t>
      </w:r>
    </w:p>
    <w:p>
      <w:pPr>
        <w:pStyle w:val="Normal"/>
        <w:rPr/>
      </w:pPr>
      <w:r>
        <w:rPr>
          <w:rStyle w:val="StrongEmphasis"/>
        </w:rPr>
        <w:t>Medium:</w:t>
      </w:r>
      <w:r>
        <w:rPr/>
        <w:t xml:space="preserve"> Basalt tuff</w:t>
      </w:r>
    </w:p>
    <w:p>
      <w:pPr>
        <w:pStyle w:val="Normal"/>
        <w:rPr>
          <w:b/>
          <w:b/>
          <w:bCs/>
        </w:rPr>
      </w:pPr>
      <w:r>
        <w:rPr>
          <w:rStyle w:val="StrongEmphasis"/>
        </w:rPr>
        <w:t>Dimensions:</w:t>
      </w:r>
      <w:r>
        <w:rPr/>
        <w:t xml:space="preserve"> original, L 35 mm, W 25 mm; T 21 mm</w:t>
      </w:r>
    </w:p>
    <w:p>
      <w:pPr>
        <w:pStyle w:val="Normal"/>
        <w:rPr>
          <w:rStyle w:val="StrongEmphasis"/>
        </w:rPr>
      </w:pPr>
      <w:r>
        <w:rPr>
          <w:rStyle w:val="StrongEmphasis"/>
        </w:rPr>
        <w:t>Weight:  n/a</w:t>
      </w:r>
    </w:p>
    <w:p>
      <w:pPr>
        <w:pStyle w:val="Normal"/>
        <w:rPr>
          <w:rStyle w:val="StrongEmphasis"/>
        </w:rPr>
      </w:pPr>
      <w:r>
        <w:rPr>
          <w:rStyle w:val="StrongEmphasis"/>
        </w:rPr>
        <w:t xml:space="preserve">Condition: </w:t>
      </w:r>
      <w:r>
        <w:rPr>
          <w:rStyle w:val="StrongEmphasis"/>
          <w:b w:val="false"/>
        </w:rPr>
        <w:t>The</w:t>
      </w:r>
      <w:r>
        <w:rPr>
          <w:rStyle w:val="StrongEmphasis"/>
        </w:rPr>
        <w:t xml:space="preserve"> </w:t>
      </w:r>
      <w:r>
        <w:rPr>
          <w:rStyle w:val="StrongEmphasis"/>
          <w:b w:val="false"/>
        </w:rPr>
        <w:t>“replica” in resin is not a true replica at all. Beware.</w:t>
      </w:r>
    </w:p>
    <w:p>
      <w:pPr>
        <w:pStyle w:val="Normal"/>
        <w:rPr/>
      </w:pPr>
      <w:r>
        <w:rPr>
          <w:rStyle w:val="StrongEmphasis"/>
        </w:rPr>
        <w:t>Provenance:</w:t>
      </w:r>
      <w:r>
        <w:rPr/>
        <w:t xml:space="preserve"> The original basalt tuff pebble was found on the Golan Heights in Syria. </w:t>
      </w:r>
    </w:p>
    <w:p>
      <w:pPr>
        <w:pStyle w:val="Normal"/>
        <w:rPr/>
      </w:pPr>
      <w:r>
        <w:rPr>
          <w:b/>
          <w:bCs/>
        </w:rPr>
        <w:t xml:space="preserve">Discussion: </w:t>
      </w:r>
    </w:p>
    <w:p>
      <w:pPr>
        <w:pStyle w:val="Normal"/>
        <w:ind w:firstLine="720"/>
        <w:rPr/>
      </w:pPr>
      <w:r>
        <w:rPr/>
        <w:t>This basalt tuff pebble was found by archaeologist N. Goren-Inbar of the Hebrew University of Jerusalem in 1981 in the Levantine area of southern Syria between two layers of volcanic depositions, an upper layer at 230,000 BP and a lower layer at 800,000 BP (</w:t>
      </w:r>
      <w:r>
        <w:rPr>
          <w:rStyle w:val="Reference"/>
          <w:bCs/>
        </w:rPr>
        <w:t xml:space="preserve">Feraud, Hall, </w:t>
      </w:r>
      <w:r>
        <w:rPr>
          <w:rStyle w:val="Citsurname"/>
        </w:rPr>
        <w:t>Goren-Inbar</w:t>
      </w:r>
      <w:r>
        <w:rPr>
          <w:rStyle w:val="Reference"/>
          <w:bCs/>
        </w:rPr>
        <w:t xml:space="preserve"> and Scgwarcz</w:t>
      </w:r>
      <w:r>
        <w:rPr>
          <w:rStyle w:val="Reference"/>
        </w:rPr>
        <w:t xml:space="preserve"> 1983; </w:t>
      </w:r>
      <w:r>
        <w:rPr>
          <w:rStyle w:val="Citsurname"/>
        </w:rPr>
        <w:t>Belfer-Cohen</w:t>
      </w:r>
      <w:r>
        <w:rPr>
          <w:rStyle w:val="Citname"/>
        </w:rPr>
        <w:t xml:space="preserve"> </w:t>
      </w:r>
      <w:r>
        <w:rPr/>
        <w:t xml:space="preserve">and </w:t>
      </w:r>
      <w:r>
        <w:rPr>
          <w:rStyle w:val="Citsurname"/>
        </w:rPr>
        <w:t>Goren-Inbar</w:t>
      </w:r>
      <w:r>
        <w:rPr/>
        <w:t xml:space="preserve"> </w:t>
      </w:r>
      <w:r>
        <w:rPr>
          <w:rStyle w:val="Cityear"/>
        </w:rPr>
        <w:t>1994)</w:t>
      </w:r>
      <w:r>
        <w:rPr/>
        <w:t>, which dates it to the Acheulian period (</w:t>
      </w:r>
      <w:r>
        <w:rPr>
          <w:rStyle w:val="St"/>
        </w:rPr>
        <w:t>1.5 Mya to 200,000 BP)</w:t>
      </w:r>
      <w:r>
        <w:rPr/>
        <w:t xml:space="preserve">. This assumes the grooves of the pebble around the "neck" and the "arms" (if not natural) appear to define a hominin shape. Alexander Marshack in 1997 analyzed the grooves microscopically and came to a positive conclusion that they were intentional (Marshack 1997; </w:t>
      </w:r>
      <w:r>
        <w:rPr>
          <w:rStyle w:val="Citsurname"/>
        </w:rPr>
        <w:t>Bahn</w:t>
      </w:r>
      <w:r>
        <w:rPr>
          <w:rStyle w:val="Citname"/>
        </w:rPr>
        <w:t xml:space="preserve"> </w:t>
      </w:r>
      <w:r>
        <w:rPr>
          <w:rStyle w:val="Cityear"/>
        </w:rPr>
        <w:t xml:space="preserve">1996; </w:t>
      </w:r>
      <w:r>
        <w:rPr/>
        <w:t>Bahn 2000: 44-45). In 1999 Steven Mithen argued that Marshack's analysis did "not demonstrate that the lines are indeed intentional" (</w:t>
      </w:r>
      <w:r>
        <w:rPr>
          <w:rFonts w:eastAsia="SimSun;宋体"/>
          <w:color w:val="252525"/>
        </w:rPr>
        <w:t xml:space="preserve">Mithen 1999: 152). Then, in 2000 </w:t>
      </w:r>
      <w:r>
        <w:rPr>
          <w:color w:val="252525"/>
        </w:rPr>
        <w:t>d'Errico, F. and A. Nowell</w:t>
      </w:r>
      <w:r>
        <w:rPr>
          <w:rFonts w:eastAsia="SimSun;宋体"/>
          <w:color w:val="252525"/>
        </w:rPr>
        <w:t xml:space="preserve"> also analyzed the grooves and etchings and found that: “</w:t>
      </w:r>
      <w:r>
        <w:rPr/>
        <w:t>The figurine possesses a number of features that are reminiscent of those produced experimentally by the engraving or abrading the tuff clasts. Intentional engraving seems responsible for the neck groove and the two slightly curved grooves on both sides of the object. A short groove produced by engraving has also been carved on the left side of the rear face. This interpretation is supported by the clear morphological differences, visible at a microscopic scale, between the surface of these grooves and those of the adjacent area. The morphological variability of the groove cross section, however, suggests the use of a point as the tool used, instead of a cutting edge”</w:t>
      </w:r>
      <w:r>
        <w:rPr>
          <w:rFonts w:eastAsia="SimSun;宋体"/>
        </w:rPr>
        <w:t xml:space="preserve"> </w:t>
      </w:r>
      <w:r>
        <w:rPr>
          <w:color w:val="252525"/>
        </w:rPr>
        <w:t>d'Errico and Nowell (2000</w:t>
      </w:r>
      <w:r>
        <w:rPr/>
        <w:t xml:space="preserve">).  The offered the caveat that it was still "problematic" for modern </w:t>
      </w:r>
      <w:r>
        <w:rPr>
          <w:i/>
        </w:rPr>
        <w:t>Homo sapiens sapiens</w:t>
      </w:r>
      <w:r>
        <w:rPr/>
        <w:t xml:space="preserve"> to comprehend the intentional shape of a </w:t>
      </w:r>
      <w:r>
        <w:rPr>
          <w:i/>
        </w:rPr>
        <w:t xml:space="preserve">hominin </w:t>
      </w:r>
      <w:r>
        <w:rPr/>
        <w:t xml:space="preserve">body in such an alien cognitive and cultural context as that of </w:t>
      </w:r>
      <w:r>
        <w:rPr>
          <w:i/>
        </w:rPr>
        <w:t xml:space="preserve">Homo erectus </w:t>
      </w:r>
      <w:r>
        <w:rPr/>
        <w:t>(</w:t>
      </w:r>
      <w:r>
        <w:rPr>
          <w:color w:val="252525"/>
        </w:rPr>
        <w:t xml:space="preserve">d'Errico and Nowell 2000; </w:t>
      </w:r>
      <w:r>
        <w:rPr>
          <w:rStyle w:val="Citsurname"/>
        </w:rPr>
        <w:t xml:space="preserve">Bar-Yosef </w:t>
      </w:r>
      <w:r>
        <w:rPr>
          <w:rStyle w:val="Cityear"/>
        </w:rPr>
        <w:t>1994</w:t>
      </w:r>
      <w:r>
        <w:rPr/>
        <w:t xml:space="preserve">; </w:t>
      </w:r>
      <w:r>
        <w:rPr>
          <w:rStyle w:val="Citsurname"/>
        </w:rPr>
        <w:t>Bednarik</w:t>
      </w:r>
      <w:r>
        <w:rPr>
          <w:rStyle w:val="Citname"/>
        </w:rPr>
        <w:t xml:space="preserve"> </w:t>
      </w:r>
      <w:r>
        <w:rPr>
          <w:rStyle w:val="Cityear"/>
        </w:rPr>
        <w:t>1995</w:t>
      </w:r>
      <w:r>
        <w:rPr>
          <w:color w:val="252525"/>
        </w:rPr>
        <w:t>)</w:t>
      </w:r>
      <w:r>
        <w:rPr/>
        <w:t xml:space="preserve">. However, leaving aside modern cognitive biases, we know that northern Syria was actively exploited by </w:t>
      </w:r>
      <w:r>
        <w:rPr>
          <w:i/>
        </w:rPr>
        <w:t>Homo erectus</w:t>
      </w:r>
      <w:r>
        <w:rPr/>
        <w:t xml:space="preserve"> in the Middle Acheulian as Clark, Eggers and Heinzel</w:t>
      </w:r>
      <w:r>
        <w:rPr>
          <w:bCs/>
          <w:kern w:val="2"/>
          <w:lang w:eastAsia="en-US"/>
        </w:rPr>
        <w:t xml:space="preserve"> [1966] and </w:t>
      </w:r>
      <w:r>
        <w:rPr>
          <w:rStyle w:val="Reference"/>
          <w:bCs/>
        </w:rPr>
        <w:t>Goren-Inbar (</w:t>
      </w:r>
      <w:r>
        <w:rPr>
          <w:rStyle w:val="Reference"/>
        </w:rPr>
        <w:t xml:space="preserve">1985) </w:t>
      </w:r>
      <w:r>
        <w:rPr/>
        <w:t xml:space="preserve">have shown, so the likelihood of an attribution of this pebble having been worked into a hominin shape by </w:t>
      </w:r>
      <w:r>
        <w:rPr>
          <w:i/>
        </w:rPr>
        <w:t>Homo erect</w:t>
      </w:r>
      <w:r>
        <w:rPr/>
        <w:t>us is possible if not probable.</w:t>
      </w:r>
    </w:p>
    <w:p>
      <w:pPr>
        <w:pStyle w:val="Normal"/>
        <w:rPr>
          <w:b/>
          <w:b/>
          <w:bCs/>
        </w:rPr>
      </w:pPr>
      <w:r>
        <w:rPr>
          <w:b/>
          <w:bCs/>
        </w:rPr>
      </w:r>
    </w:p>
    <w:p>
      <w:pPr>
        <w:pStyle w:val="Normal"/>
        <w:rPr>
          <w:b/>
          <w:b/>
          <w:bCs/>
        </w:rPr>
      </w:pPr>
      <w:r>
        <w:rPr>
          <w:b/>
          <w:bCs/>
        </w:rPr>
        <w:t>References:</w:t>
      </w:r>
    </w:p>
    <w:p>
      <w:pPr>
        <w:pStyle w:val="NormalWeb"/>
        <w:spacing w:before="0" w:after="0"/>
        <w:rPr>
          <w:color w:val="252525"/>
        </w:rPr>
      </w:pPr>
      <w:r>
        <w:rPr>
          <w:color w:val="252525"/>
        </w:rPr>
      </w:r>
    </w:p>
    <w:p>
      <w:pPr>
        <w:pStyle w:val="NormalWeb"/>
        <w:spacing w:before="0" w:after="0"/>
        <w:rPr>
          <w:color w:val="252525"/>
        </w:rPr>
      </w:pPr>
      <w:r>
        <w:rPr>
          <w:color w:val="252525"/>
        </w:rPr>
        <w:t xml:space="preserve">Bahn, Paul. 2000. </w:t>
      </w:r>
      <w:r>
        <w:rPr>
          <w:i/>
          <w:color w:val="252525"/>
        </w:rPr>
        <w:t>A very short introduction to Archaeology</w:t>
      </w:r>
      <w:r>
        <w:rPr>
          <w:color w:val="252525"/>
        </w:rPr>
        <w:t>. New York: Oxford University Press.</w:t>
      </w:r>
    </w:p>
    <w:p>
      <w:pPr>
        <w:pStyle w:val="NormalWeb"/>
        <w:spacing w:before="0" w:after="0"/>
        <w:rPr>
          <w:rStyle w:val="Citgivennames"/>
          <w:color w:val="252525"/>
        </w:rPr>
      </w:pPr>
      <w:r>
        <w:rPr>
          <w:color w:val="252525"/>
        </w:rPr>
      </w:r>
    </w:p>
    <w:p>
      <w:pPr>
        <w:pStyle w:val="NormalWeb"/>
        <w:spacing w:before="0" w:after="0"/>
        <w:rPr>
          <w:color w:val="252525"/>
        </w:rPr>
      </w:pPr>
      <w:r>
        <w:rPr>
          <w:rStyle w:val="Citsurname"/>
        </w:rPr>
        <w:t>Bahn, Paul.</w:t>
      </w:r>
      <w:r>
        <w:rPr>
          <w:rStyle w:val="Citname"/>
        </w:rPr>
        <w:t xml:space="preserve"> </w:t>
      </w:r>
      <w:r>
        <w:rPr>
          <w:rStyle w:val="Cityear"/>
        </w:rPr>
        <w:t>1996</w:t>
      </w:r>
      <w:r>
        <w:rPr/>
        <w:t>. “</w:t>
      </w:r>
      <w:r>
        <w:rPr>
          <w:rStyle w:val="Citarticletitle"/>
        </w:rPr>
        <w:t>New developments in Pleistocene art</w:t>
      </w:r>
      <w:r>
        <w:rPr/>
        <w:t xml:space="preserve">,” </w:t>
      </w:r>
      <w:r>
        <w:rPr>
          <w:rStyle w:val="Citsource"/>
          <w:i/>
        </w:rPr>
        <w:t>Evolutionary Anthropology</w:t>
      </w:r>
      <w:r>
        <w:rPr/>
        <w:t xml:space="preserve"> </w:t>
      </w:r>
      <w:r>
        <w:rPr>
          <w:rStyle w:val="Citvolume"/>
        </w:rPr>
        <w:t>4</w:t>
      </w:r>
      <w:r>
        <w:rPr/>
        <w:t xml:space="preserve">: </w:t>
      </w:r>
      <w:r>
        <w:rPr>
          <w:rStyle w:val="Citfpage"/>
        </w:rPr>
        <w:t>204</w:t>
      </w:r>
      <w:r>
        <w:rPr/>
        <w:t>–15.</w:t>
      </w:r>
    </w:p>
    <w:p>
      <w:pPr>
        <w:pStyle w:val="NormalWeb"/>
        <w:spacing w:before="0" w:after="0"/>
        <w:rPr>
          <w:rStyle w:val="Citsurname"/>
          <w:color w:val="252525"/>
        </w:rPr>
      </w:pPr>
      <w:r>
        <w:rPr>
          <w:color w:val="252525"/>
        </w:rPr>
      </w:r>
    </w:p>
    <w:p>
      <w:pPr>
        <w:pStyle w:val="NormalWeb"/>
        <w:spacing w:before="0" w:after="0"/>
        <w:rPr>
          <w:color w:val="252525"/>
        </w:rPr>
      </w:pPr>
      <w:r>
        <w:rPr>
          <w:rStyle w:val="Citsurname"/>
        </w:rPr>
        <w:t xml:space="preserve">Bar-Yosef, </w:t>
      </w:r>
      <w:r>
        <w:rPr>
          <w:rStyle w:val="Citgivennames"/>
        </w:rPr>
        <w:t>O.</w:t>
      </w:r>
      <w:r>
        <w:rPr>
          <w:rStyle w:val="Citname"/>
        </w:rPr>
        <w:t xml:space="preserve"> </w:t>
      </w:r>
      <w:r>
        <w:rPr>
          <w:rStyle w:val="Cityear"/>
        </w:rPr>
        <w:t>1994</w:t>
      </w:r>
      <w:r>
        <w:rPr/>
        <w:t>. “</w:t>
      </w:r>
      <w:r>
        <w:rPr>
          <w:rStyle w:val="Citarticletitle"/>
        </w:rPr>
        <w:t>The Lower Paleolithic in the Near East,”</w:t>
      </w:r>
      <w:r>
        <w:rPr/>
        <w:t xml:space="preserve"> </w:t>
      </w:r>
      <w:r>
        <w:rPr>
          <w:rStyle w:val="Citsource"/>
          <w:i/>
        </w:rPr>
        <w:t>Journal of World Prehistory</w:t>
      </w:r>
      <w:r>
        <w:rPr/>
        <w:t xml:space="preserve"> </w:t>
      </w:r>
      <w:r>
        <w:rPr>
          <w:rStyle w:val="Citvolume"/>
        </w:rPr>
        <w:t>8</w:t>
      </w:r>
      <w:r>
        <w:rPr/>
        <w:t xml:space="preserve">: </w:t>
      </w:r>
      <w:r>
        <w:rPr>
          <w:rStyle w:val="Citfpage"/>
        </w:rPr>
        <w:t>211</w:t>
      </w:r>
      <w:r>
        <w:rPr/>
        <w:t>–65.</w:t>
      </w:r>
    </w:p>
    <w:p>
      <w:pPr>
        <w:pStyle w:val="NormalWeb"/>
        <w:spacing w:before="0" w:after="0"/>
        <w:rPr>
          <w:rStyle w:val="Citsurname"/>
          <w:color w:val="252525"/>
        </w:rPr>
      </w:pPr>
      <w:r>
        <w:rPr>
          <w:color w:val="252525"/>
        </w:rPr>
      </w:r>
    </w:p>
    <w:p>
      <w:pPr>
        <w:pStyle w:val="NormalWeb"/>
        <w:spacing w:before="0" w:after="0"/>
        <w:rPr>
          <w:rStyle w:val="Citsurname"/>
        </w:rPr>
      </w:pPr>
      <w:r>
        <w:rPr>
          <w:rStyle w:val="Citsurname"/>
        </w:rPr>
        <w:t xml:space="preserve">Bednarik, </w:t>
      </w:r>
      <w:r>
        <w:rPr>
          <w:rStyle w:val="Citgivennames"/>
        </w:rPr>
        <w:t>R. G.</w:t>
      </w:r>
      <w:r>
        <w:rPr>
          <w:rStyle w:val="Citname"/>
        </w:rPr>
        <w:t xml:space="preserve"> </w:t>
      </w:r>
      <w:r>
        <w:rPr>
          <w:rStyle w:val="Cityear"/>
        </w:rPr>
        <w:t>1995</w:t>
      </w:r>
      <w:r>
        <w:rPr/>
        <w:t>. “</w:t>
      </w:r>
      <w:r>
        <w:rPr>
          <w:rStyle w:val="Citarticletitle"/>
        </w:rPr>
        <w:t>Concept-mediated marking in the Lower Paleolithic</w:t>
      </w:r>
      <w:r>
        <w:rPr/>
        <w:t xml:space="preserve">,” </w:t>
      </w:r>
      <w:r>
        <w:rPr>
          <w:rStyle w:val="Citsource"/>
          <w:i/>
        </w:rPr>
        <w:t>Current Anthropology</w:t>
      </w:r>
      <w:r>
        <w:rPr/>
        <w:t xml:space="preserve"> </w:t>
      </w:r>
      <w:r>
        <w:rPr>
          <w:rStyle w:val="Citvolume"/>
        </w:rPr>
        <w:t>36</w:t>
      </w:r>
      <w:r>
        <w:rPr/>
        <w:t xml:space="preserve">: </w:t>
      </w:r>
      <w:r>
        <w:rPr>
          <w:rStyle w:val="Citfpage"/>
        </w:rPr>
        <w:t>605</w:t>
      </w:r>
      <w:r>
        <w:rPr/>
        <w:t>–34.</w:t>
        <w:br/>
      </w:r>
    </w:p>
    <w:p>
      <w:pPr>
        <w:pStyle w:val="NormalWeb"/>
        <w:spacing w:before="0" w:after="0"/>
        <w:rPr/>
      </w:pPr>
      <w:r>
        <w:rPr>
          <w:rStyle w:val="Citsurname"/>
        </w:rPr>
        <w:t>Belfer-Cohen</w:t>
      </w:r>
      <w:r>
        <w:rPr>
          <w:rStyle w:val="Citname"/>
        </w:rPr>
        <w:t xml:space="preserve">, </w:t>
      </w:r>
      <w:r>
        <w:rPr>
          <w:rStyle w:val="Citgivennames"/>
        </w:rPr>
        <w:t>A.</w:t>
      </w:r>
      <w:r>
        <w:rPr>
          <w:rStyle w:val="Citname"/>
        </w:rPr>
        <w:t xml:space="preserve"> </w:t>
      </w:r>
      <w:r>
        <w:rPr/>
        <w:t xml:space="preserve">and </w:t>
      </w:r>
      <w:r>
        <w:rPr>
          <w:rStyle w:val="Citgivennames"/>
        </w:rPr>
        <w:t>N.</w:t>
      </w:r>
      <w:r>
        <w:rPr>
          <w:rStyle w:val="Citname"/>
        </w:rPr>
        <w:t xml:space="preserve"> </w:t>
      </w:r>
      <w:r>
        <w:rPr>
          <w:rStyle w:val="Citsurname"/>
        </w:rPr>
        <w:t>Goren-Inbar</w:t>
      </w:r>
      <w:r>
        <w:rPr/>
        <w:t xml:space="preserve">. </w:t>
      </w:r>
      <w:r>
        <w:rPr>
          <w:rStyle w:val="Cityear"/>
        </w:rPr>
        <w:t>1994</w:t>
      </w:r>
      <w:r>
        <w:rPr/>
        <w:t>. “</w:t>
      </w:r>
      <w:r>
        <w:rPr>
          <w:rStyle w:val="Citarticletitle"/>
        </w:rPr>
        <w:t>Cognition and communication in the Levantine Lower Palaeolithic,”</w:t>
      </w:r>
      <w:r>
        <w:rPr/>
        <w:t xml:space="preserve"> </w:t>
      </w:r>
      <w:r>
        <w:rPr>
          <w:rStyle w:val="Citsource"/>
          <w:i/>
        </w:rPr>
        <w:t>World Archaeology</w:t>
      </w:r>
      <w:r>
        <w:rPr>
          <w:i/>
        </w:rPr>
        <w:t xml:space="preserve"> </w:t>
      </w:r>
      <w:r>
        <w:rPr>
          <w:rStyle w:val="Citvolume"/>
        </w:rPr>
        <w:t>26</w:t>
      </w:r>
      <w:r>
        <w:rPr/>
        <w:t xml:space="preserve">: </w:t>
      </w:r>
      <w:r>
        <w:rPr>
          <w:rStyle w:val="Citfpage"/>
        </w:rPr>
        <w:t>144</w:t>
      </w:r>
      <w:r>
        <w:rPr/>
        <w:t>–57.</w:t>
      </w:r>
    </w:p>
    <w:p>
      <w:pPr>
        <w:pStyle w:val="NormalWeb"/>
        <w:spacing w:before="0" w:after="0"/>
        <w:rPr/>
      </w:pPr>
      <w:r>
        <w:rPr/>
      </w:r>
    </w:p>
    <w:p>
      <w:pPr>
        <w:pStyle w:val="Normal"/>
        <w:rPr/>
      </w:pPr>
      <w:r>
        <w:rPr/>
        <w:t>Clark, J. Desmond, A. V. Eggers and Jean de Heinzel</w:t>
      </w:r>
      <w:r>
        <w:rPr>
          <w:bCs/>
          <w:kern w:val="2"/>
          <w:lang w:eastAsia="en-US"/>
        </w:rPr>
        <w:t xml:space="preserve">. [1966] </w:t>
      </w:r>
      <w:r>
        <w:rPr>
          <w:bCs/>
          <w:i/>
          <w:kern w:val="2"/>
          <w:lang w:eastAsia="en-US"/>
        </w:rPr>
        <w:t>Further excavations (1965) at the Middle Acheulian occupation site at Latamne, northern Syria: general results, definitions and interpretation</w:t>
      </w:r>
      <w:r>
        <w:rPr/>
        <w:t xml:space="preserve">. [Damas] : [Direction générale des antiquités et des musées]. Offprint from </w:t>
      </w:r>
      <w:r>
        <w:rPr>
          <w:i/>
        </w:rPr>
        <w:t>Annales archéologiques arabes syriennes</w:t>
      </w:r>
      <w:r>
        <w:rPr/>
        <w:t>, 16: [31]-74.</w:t>
      </w:r>
    </w:p>
    <w:p>
      <w:pPr>
        <w:pStyle w:val="NormalWeb"/>
        <w:spacing w:before="0" w:after="0"/>
        <w:rPr>
          <w:color w:val="252525"/>
        </w:rPr>
      </w:pPr>
      <w:r>
        <w:rPr>
          <w:color w:val="252525"/>
        </w:rPr>
      </w:r>
    </w:p>
    <w:p>
      <w:pPr>
        <w:pStyle w:val="NormalWeb"/>
        <w:spacing w:before="0" w:after="0"/>
        <w:rPr>
          <w:color w:val="252525"/>
        </w:rPr>
      </w:pPr>
      <w:r>
        <w:rPr>
          <w:color w:val="252525"/>
        </w:rPr>
        <w:t>d'Errico, F. and A. Nowell. 2000. "A new look at the Berekhat Ram figurine: implications for the origins of symbolism",</w:t>
      </w:r>
      <w:r>
        <w:rPr>
          <w:rStyle w:val="Appleconvertedspace"/>
          <w:color w:val="252525"/>
        </w:rPr>
        <w:t> </w:t>
      </w:r>
      <w:r>
        <w:rPr>
          <w:i/>
          <w:iCs/>
          <w:color w:val="252525"/>
        </w:rPr>
        <w:t>Cambridge Archaeological Journal</w:t>
      </w:r>
      <w:r>
        <w:rPr>
          <w:rStyle w:val="Appleconvertedspace"/>
          <w:color w:val="252525"/>
        </w:rPr>
        <w:t> </w:t>
      </w:r>
      <w:r>
        <w:rPr>
          <w:b/>
          <w:bCs/>
          <w:color w:val="252525"/>
        </w:rPr>
        <w:t>10</w:t>
      </w:r>
      <w:r>
        <w:rPr>
          <w:color w:val="252525"/>
        </w:rPr>
        <w:t>, 123-67.</w:t>
      </w:r>
    </w:p>
    <w:p>
      <w:pPr>
        <w:pStyle w:val="NormalWeb"/>
        <w:spacing w:before="0" w:after="0"/>
        <w:rPr>
          <w:color w:val="252525"/>
        </w:rPr>
      </w:pPr>
      <w:r>
        <w:rPr>
          <w:color w:val="252525"/>
        </w:rPr>
      </w:r>
    </w:p>
    <w:p>
      <w:pPr>
        <w:pStyle w:val="NormalWeb"/>
        <w:spacing w:before="0" w:after="0"/>
        <w:rPr>
          <w:rStyle w:val="Reference"/>
        </w:rPr>
      </w:pPr>
      <w:r>
        <w:rPr>
          <w:rStyle w:val="Reference"/>
          <w:bCs/>
        </w:rPr>
        <w:t xml:space="preserve">Feraud, G., D. York, C. Hall, N. </w:t>
      </w:r>
      <w:r>
        <w:rPr>
          <w:rStyle w:val="Citsurname"/>
        </w:rPr>
        <w:t>Goren-Inbar</w:t>
      </w:r>
      <w:r>
        <w:rPr>
          <w:rStyle w:val="Reference"/>
          <w:bCs/>
        </w:rPr>
        <w:t>, and H. Scgwarcz</w:t>
      </w:r>
      <w:r>
        <w:rPr>
          <w:rStyle w:val="Reference"/>
        </w:rPr>
        <w:t xml:space="preserve">. 1983 “40Ar/39Ar age limit for an Acheulian site in Israel,” </w:t>
      </w:r>
      <w:r>
        <w:rPr>
          <w:rStyle w:val="Reference"/>
          <w:i/>
          <w:iCs/>
        </w:rPr>
        <w:t>Nature</w:t>
      </w:r>
      <w:r>
        <w:rPr>
          <w:rStyle w:val="Reference"/>
        </w:rPr>
        <w:t>, 304: 263 – 265.</w:t>
      </w:r>
    </w:p>
    <w:p>
      <w:pPr>
        <w:pStyle w:val="NormalWeb"/>
        <w:spacing w:before="0" w:after="0"/>
        <w:rPr>
          <w:rStyle w:val="Reference"/>
        </w:rPr>
      </w:pPr>
      <w:r>
        <w:rPr/>
      </w:r>
    </w:p>
    <w:p>
      <w:pPr>
        <w:pStyle w:val="NormalWeb"/>
        <w:spacing w:before="0" w:after="0"/>
        <w:rPr/>
      </w:pPr>
      <w:r>
        <w:rPr>
          <w:rStyle w:val="Reference"/>
          <w:bCs/>
        </w:rPr>
        <w:t>Goren-Inbar, N.</w:t>
      </w:r>
      <w:r>
        <w:rPr>
          <w:rStyle w:val="Reference"/>
        </w:rPr>
        <w:t xml:space="preserve"> 1985. “The lithic assemblages of Berekhat Ram Acheulean site, Golan Heights,” </w:t>
      </w:r>
      <w:r>
        <w:rPr>
          <w:rStyle w:val="Reference"/>
          <w:i/>
          <w:iCs/>
        </w:rPr>
        <w:t>Paléorient</w:t>
      </w:r>
      <w:r>
        <w:rPr>
          <w:rStyle w:val="Reference"/>
        </w:rPr>
        <w:t>, 11, 7 – 28.</w:t>
      </w:r>
    </w:p>
    <w:p>
      <w:pPr>
        <w:pStyle w:val="NormalWeb"/>
        <w:spacing w:before="0" w:after="0"/>
        <w:rPr/>
      </w:pPr>
      <w:r>
        <w:rPr/>
      </w:r>
    </w:p>
    <w:p>
      <w:pPr>
        <w:pStyle w:val="NormalWeb"/>
        <w:spacing w:before="0" w:after="0"/>
        <w:rPr/>
      </w:pPr>
      <w:r>
        <w:rPr/>
        <w:t xml:space="preserve">Marshack, A. 1997. “The Berekhat Ram figurine: a late Acheulian carving from the Middle East,” </w:t>
      </w:r>
      <w:r>
        <w:rPr>
          <w:i/>
          <w:iCs/>
        </w:rPr>
        <w:t>Antiquity</w:t>
      </w:r>
      <w:r>
        <w:rPr/>
        <w:t>, 71(272): 327–337.</w:t>
      </w:r>
    </w:p>
    <w:p>
      <w:pPr>
        <w:pStyle w:val="NormalWeb"/>
        <w:spacing w:before="0" w:after="0"/>
        <w:rPr/>
      </w:pPr>
      <w:r>
        <w:rPr/>
      </w:r>
    </w:p>
    <w:p>
      <w:pPr>
        <w:pStyle w:val="Normal"/>
        <w:rPr/>
      </w:pPr>
      <w:r>
        <w:rPr>
          <w:rStyle w:val="Referencetext"/>
        </w:rPr>
        <w:t xml:space="preserve">Mithen, Steven. 1999. In Robin Ian MacDonald Dunbar, Chris Knight, Camilla Power, </w:t>
      </w:r>
      <w:r>
        <w:rPr>
          <w:rStyle w:val="Referencetext"/>
          <w:i/>
          <w:iCs/>
        </w:rPr>
        <w:t>The evolution of culture: an interdisciplinary view.</w:t>
      </w:r>
      <w:r>
        <w:rPr>
          <w:rStyle w:val="Referencetext"/>
        </w:rPr>
        <w:t xml:space="preserve"> Edinburgh University Press</w:t>
      </w:r>
    </w:p>
    <w:p>
      <w:pPr>
        <w:pStyle w:val="NormalWeb"/>
        <w:spacing w:before="0" w:after="0"/>
        <w:rPr>
          <w:rStyle w:val="Referencetext"/>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10"/>
  <w:displayBackgroundShape/>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character" w:styleId="InternetLink">
    <w:name w:val="Internet Link"/>
    <w:rPr>
      <w:color w:val="0000FF"/>
      <w:u w:val="single"/>
    </w:rPr>
  </w:style>
  <w:style w:type="character" w:styleId="StrongEmphasis">
    <w:name w:val="Strong Emphasis"/>
    <w:qFormat/>
    <w:rPr>
      <w:b/>
      <w:bCs/>
    </w:rPr>
  </w:style>
  <w:style w:type="character" w:styleId="VisitedInternetLink">
    <w:name w:val="Visited Internet Link"/>
    <w:rPr>
      <w:color w:val="800080"/>
      <w:u w:val="single"/>
    </w:rPr>
  </w:style>
  <w:style w:type="character" w:styleId="Appleconvertedspace">
    <w:name w:val="apple-converted-space"/>
    <w:basedOn w:val="DefaultParagraphFont"/>
    <w:qFormat/>
    <w:rPr/>
  </w:style>
  <w:style w:type="character" w:styleId="Referencetext">
    <w:name w:val="reference-text"/>
    <w:basedOn w:val="DefaultParagraphFont"/>
    <w:qFormat/>
    <w:rPr/>
  </w:style>
  <w:style w:type="character" w:styleId="Mwcitebacklink">
    <w:name w:val="mw-cite-backlink"/>
    <w:basedOn w:val="DefaultParagraphFont"/>
    <w:qFormat/>
    <w:rPr/>
  </w:style>
  <w:style w:type="character" w:styleId="Citeaccessibilitylabel">
    <w:name w:val="cite-accessibility-label"/>
    <w:basedOn w:val="DefaultParagraphFont"/>
    <w:qFormat/>
    <w:rPr/>
  </w:style>
  <w:style w:type="character" w:styleId="Citname">
    <w:name w:val="cit-name"/>
    <w:qFormat/>
    <w:rPr/>
  </w:style>
  <w:style w:type="character" w:styleId="Citgivennames">
    <w:name w:val="cit-given-names"/>
    <w:qFormat/>
    <w:rPr/>
  </w:style>
  <w:style w:type="character" w:styleId="Citsurname">
    <w:name w:val="cit-surname"/>
    <w:qFormat/>
    <w:rPr/>
  </w:style>
  <w:style w:type="character" w:styleId="Cityear">
    <w:name w:val="cit-year"/>
    <w:qFormat/>
    <w:rPr/>
  </w:style>
  <w:style w:type="character" w:styleId="Citarticletitle">
    <w:name w:val="cit-article-title"/>
    <w:qFormat/>
    <w:rPr/>
  </w:style>
  <w:style w:type="character" w:styleId="Citsource">
    <w:name w:val="cit-source"/>
    <w:qFormat/>
    <w:rPr/>
  </w:style>
  <w:style w:type="character" w:styleId="Citvolume">
    <w:name w:val="cit-volume"/>
    <w:qFormat/>
    <w:rPr/>
  </w:style>
  <w:style w:type="character" w:styleId="Citfpage">
    <w:name w:val="cit-fpage"/>
    <w:qFormat/>
    <w:rPr/>
  </w:style>
  <w:style w:type="character" w:styleId="St">
    <w:name w:val="st"/>
    <w:qFormat/>
    <w:rPr/>
  </w:style>
  <w:style w:type="character" w:styleId="Heading1Char">
    <w:name w:val="Heading 1 Char"/>
    <w:qFormat/>
    <w:rPr>
      <w:b/>
      <w:bCs/>
      <w:kern w:val="2"/>
      <w:sz w:val="48"/>
      <w:szCs w:val="48"/>
    </w:rPr>
  </w:style>
  <w:style w:type="character" w:styleId="Reference">
    <w:name w:val="referenc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www.donsmaps.com/images33/berekhatrambwallviews.jpg" TargetMode="External"/><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2017-03-04T11:50:00Z</dcterms:created>
  <dc:creator>Ralph</dc:creator>
  <dc:description/>
  <cp:keywords/>
  <dc:language>en-US</dc:language>
  <cp:lastModifiedBy>Ralph Coffman</cp:lastModifiedBy>
  <dcterms:modified xsi:type="dcterms:W3CDTF">2017-03-04T11:50:00Z</dcterms:modified>
  <cp:revision>2</cp:revision>
  <dc:subject/>
  <dc:title>Dis-Venus-Israel-Berekhat Ram-700,000-230,000 BCE</dc:title>
</cp:coreProperties>
</file>