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MEX-Colima-Tlaloc-200 BCE-200CE</w:t>
        <w:br/>
      </w:r>
      <w:r>
        <w:rPr>
          <w:rFonts w:cs="Verdana" w:ascii="Verdana" w:hAnsi="Verdana"/>
          <w:b/>
          <w:bCs/>
          <w:color w:val="000000"/>
          <w:sz w:val="20"/>
          <w:szCs w:val="20"/>
        </w:rPr>
        <w:t>Pre-Columbian, West Coast, Mexico, Ca 200 BCE to CE. Large pottery incensario featuring Tlaloc. Each side features to god, seated in the nude with prominent genitals and applied semi abstract facial features; large looping handle. Size: 14" H. #107144</w:t>
      </w:r>
    </w:p>
    <w:p>
      <w:pPr>
        <w:pStyle w:val="NormalWeb"/>
        <w:spacing w:before="280" w:after="240"/>
        <w:rPr>
          <w:b/>
          <w:b/>
          <w:bCs/>
        </w:rPr>
      </w:pPr>
      <w:r>
        <w:rPr>
          <w:rFonts w:cs="Verdana" w:ascii="Verdana" w:hAnsi="Verdana"/>
          <w:b/>
          <w:bCs/>
          <w:color w:val="000000"/>
          <w:sz w:val="20"/>
          <w:szCs w:val="20"/>
        </w:rPr>
        <w:t>Condition: A few invisible repairs to handle, encrusted surface</w:t>
        <w:br/>
        <w:br/>
        <w:t>Provenance: Ex-Laguna Niguel, CA collection acquired in the 1980's.</w:t>
        <w:br/>
        <w:br/>
        <w:t xml:space="preserve">All items legal to buy/sell under U.S. Statute covering cultural patrimony Code 2600, CHAPTER 14, and are guaranteed to be as described or your money back. </w:t>
        <w:br/>
      </w:r>
    </w:p>
    <w:p>
      <w:pPr>
        <w:pStyle w:val="Normal"/>
        <w:rPr/>
      </w:pPr>
      <w:r>
        <w:rPr/>
        <w:drawing>
          <wp:inline distT="0" distB="0" distL="0" distR="0">
            <wp:extent cx="6315075" cy="9525000"/>
            <wp:effectExtent l="0" t="0" r="0" b="0"/>
            <wp:docPr id="1" name="107144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144_2" descr="" title=""/>
                    <pic:cNvPicPr>
                      <a:picLocks noChangeAspect="1" noChangeArrowheads="1"/>
                    </pic:cNvPicPr>
                  </pic:nvPicPr>
                  <pic:blipFill>
                    <a:blip r:embed="rId2"/>
                    <a:srcRect l="-7" t="-5" r="-7" b="-5"/>
                    <a:stretch>
                      <a:fillRect/>
                    </a:stretch>
                  </pic:blipFill>
                  <pic:spPr bwMode="auto">
                    <a:xfrm>
                      <a:off x="0" y="0"/>
                      <a:ext cx="6315075" cy="9525000"/>
                    </a:xfrm>
                    <a:prstGeom prst="rect">
                      <a:avLst/>
                    </a:prstGeom>
                  </pic:spPr>
                </pic:pic>
              </a:graphicData>
            </a:graphic>
          </wp:inline>
        </w:drawing>
      </w:r>
    </w:p>
    <w:p>
      <w:pPr>
        <w:pStyle w:val="Normal"/>
        <w:rPr/>
      </w:pPr>
      <w:r>
        <w:rPr/>
        <w:drawing>
          <wp:inline distT="0" distB="0" distL="0" distR="0">
            <wp:extent cx="4867275" cy="8772525"/>
            <wp:effectExtent l="0" t="0" r="0" b="0"/>
            <wp:docPr id="2"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 descr="" title=""/>
                    <pic:cNvPicPr>
                      <a:picLocks noChangeAspect="1" noChangeArrowheads="1"/>
                    </pic:cNvPicPr>
                  </pic:nvPicPr>
                  <pic:blipFill>
                    <a:blip r:embed="rId3"/>
                    <a:srcRect l="-9" t="-5" r="-9" b="-5"/>
                    <a:stretch>
                      <a:fillRect/>
                    </a:stretch>
                  </pic:blipFill>
                  <pic:spPr bwMode="auto">
                    <a:xfrm>
                      <a:off x="0" y="0"/>
                      <a:ext cx="4867275" cy="8772525"/>
                    </a:xfrm>
                    <a:prstGeom prst="rect">
                      <a:avLst/>
                    </a:prstGeom>
                  </pic:spPr>
                </pic:pic>
              </a:graphicData>
            </a:graphic>
          </wp:inline>
        </w:drawing>
      </w:r>
      <w:r>
        <w:rPr/>
        <w:t xml:space="preserve"> </w:t>
      </w:r>
      <w:r>
        <w:rPr/>
        <w:drawing>
          <wp:inline distT="0" distB="0" distL="0" distR="0">
            <wp:extent cx="6361430" cy="9524365"/>
            <wp:effectExtent l="0" t="0" r="0" b="0"/>
            <wp:docPr id="3" name="107144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7144_3" descr="" title=""/>
                    <pic:cNvPicPr>
                      <a:picLocks noChangeAspect="1" noChangeArrowheads="1"/>
                    </pic:cNvPicPr>
                  </pic:nvPicPr>
                  <pic:blipFill>
                    <a:blip r:embed="rId4"/>
                    <a:srcRect l="-7" t="-5" r="-7" b="-5"/>
                    <a:stretch>
                      <a:fillRect/>
                    </a:stretch>
                  </pic:blipFill>
                  <pic:spPr bwMode="auto">
                    <a:xfrm>
                      <a:off x="0" y="0"/>
                      <a:ext cx="6361430" cy="9524365"/>
                    </a:xfrm>
                    <a:prstGeom prst="rect">
                      <a:avLst/>
                    </a:prstGeom>
                  </pic:spPr>
                </pic:pic>
              </a:graphicData>
            </a:graphic>
          </wp:inline>
        </w:drawing>
      </w:r>
      <w:r>
        <w:rPr/>
        <w:t xml:space="preserve"> </w:t>
      </w:r>
      <w:r>
        <w:rPr/>
        <w:drawing>
          <wp:inline distT="0" distB="0" distL="0" distR="0">
            <wp:extent cx="6486525" cy="9525000"/>
            <wp:effectExtent l="0" t="0" r="0" b="0"/>
            <wp:docPr id="4" name="107144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7144_4" descr="" title=""/>
                    <pic:cNvPicPr>
                      <a:picLocks noChangeAspect="1" noChangeArrowheads="1"/>
                    </pic:cNvPicPr>
                  </pic:nvPicPr>
                  <pic:blipFill>
                    <a:blip r:embed="rId5"/>
                    <a:srcRect l="-7" t="-5" r="-7" b="-5"/>
                    <a:stretch>
                      <a:fillRect/>
                    </a:stretch>
                  </pic:blipFill>
                  <pic:spPr bwMode="auto">
                    <a:xfrm>
                      <a:off x="0" y="0"/>
                      <a:ext cx="6486525" cy="9525000"/>
                    </a:xfrm>
                    <a:prstGeom prst="rect">
                      <a:avLst/>
                    </a:prstGeom>
                  </pic:spPr>
                </pic:pic>
              </a:graphicData>
            </a:graphic>
          </wp:inline>
        </w:drawing>
      </w:r>
      <w:r>
        <w:rPr/>
        <w:t xml:space="preserve"> </w:t>
      </w:r>
      <w:r>
        <w:rPr/>
        <w:drawing>
          <wp:inline distT="0" distB="0" distL="0" distR="0">
            <wp:extent cx="6210300" cy="9524365"/>
            <wp:effectExtent l="0" t="0" r="0" b="0"/>
            <wp:docPr id="5" name="107144_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7144_5" descr="" title=""/>
                    <pic:cNvPicPr>
                      <a:picLocks noChangeAspect="1" noChangeArrowheads="1"/>
                    </pic:cNvPicPr>
                  </pic:nvPicPr>
                  <pic:blipFill>
                    <a:blip r:embed="rId6"/>
                    <a:srcRect l="-7" t="-5" r="-7" b="-5"/>
                    <a:stretch>
                      <a:fillRect/>
                    </a:stretch>
                  </pic:blipFill>
                  <pic:spPr bwMode="auto">
                    <a:xfrm>
                      <a:off x="0" y="0"/>
                      <a:ext cx="6210300" cy="9524365"/>
                    </a:xfrm>
                    <a:prstGeom prst="rect">
                      <a:avLst/>
                    </a:prstGeom>
                  </pic:spPr>
                </pic:pic>
              </a:graphicData>
            </a:graphic>
          </wp:inline>
        </w:drawing>
      </w:r>
      <w:r>
        <w:br w:type="page"/>
      </w:r>
    </w:p>
    <w:p>
      <w:pPr>
        <w:pStyle w:val="Heading1"/>
        <w:rPr/>
      </w:pPr>
      <w:r>
        <w:rPr/>
        <w:t>Order details</w:t>
      </w:r>
    </w:p>
    <w:p>
      <w:pPr>
        <w:pStyle w:val="Heading2"/>
        <w:rPr/>
      </w:pPr>
      <w:r>
        <w:rPr/>
        <w:t>Sales order</w:t>
      </w:r>
    </w:p>
    <w:p>
      <w:pPr>
        <w:pStyle w:val="Normal"/>
        <w:rPr/>
      </w:pPr>
      <w:r>
        <w:rPr/>
        <w:t xml:space="preserve">Sold by </w:t>
      </w:r>
      <w:hyperlink r:id="rId7" w:tgtFrame="_blank">
        <w:r>
          <w:rPr>
            <w:rStyle w:val="StrongEmphasis"/>
            <w:color w:val="0000FF"/>
            <w:u w:val="single"/>
          </w:rPr>
          <w:t>artemisgallery</w:t>
        </w:r>
      </w:hyperlink>
      <w:r>
        <w:rPr/>
        <w:t xml:space="preserve"> ( </w:t>
      </w:r>
      <w:hyperlink r:id="rId8" w:tgtFrame="_blank">
        <w:r>
          <w:rPr>
            <w:rStyle w:val="InternetLink"/>
          </w:rPr>
          <w:t>637</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Feb 2, 2016</w:t>
      </w:r>
      <w:r>
        <w:rPr>
          <w:rStyle w:val="Ngbindingngscope"/>
        </w:rPr>
        <w:t xml:space="preserve"> </w:t>
      </w:r>
    </w:p>
    <w:p>
      <w:pPr>
        <w:pStyle w:val="Normal"/>
        <w:rPr/>
      </w:pPr>
      <w:r>
        <w:rPr/>
        <w:drawing>
          <wp:inline distT="0" distB="0" distL="0" distR="0">
            <wp:extent cx="2419350" cy="3810000"/>
            <wp:effectExtent l="0" t="0" r="0" b="0"/>
            <wp:docPr id="6" name="38125812682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1258126822_itemImage" descr="" title=""/>
                    <pic:cNvPicPr>
                      <a:picLocks noChangeAspect="1" noChangeArrowheads="1"/>
                    </pic:cNvPicPr>
                  </pic:nvPicPr>
                  <pic:blipFill>
                    <a:blip r:embed="rId9"/>
                    <a:srcRect l="-23" t="-14" r="-23" b="-14"/>
                    <a:stretch>
                      <a:fillRect/>
                    </a:stretch>
                  </pic:blipFill>
                  <pic:spPr bwMode="auto">
                    <a:xfrm>
                      <a:off x="0" y="0"/>
                      <a:ext cx="2419350" cy="3810000"/>
                    </a:xfrm>
                    <a:prstGeom prst="rect">
                      <a:avLst/>
                    </a:prstGeom>
                  </pic:spPr>
                </pic:pic>
              </a:graphicData>
            </a:graphic>
          </wp:inline>
        </w:drawing>
      </w:r>
    </w:p>
    <w:p>
      <w:pPr>
        <w:pStyle w:val="Heading4"/>
        <w:spacing w:lineRule="atLeast" w:line="360"/>
        <w:ind w:start="90" w:hanging="0"/>
        <w:rPr/>
      </w:pPr>
      <w:hyperlink r:id="rId10" w:tgtFrame="_blank">
        <w:r>
          <w:rPr>
            <w:rStyle w:val="InternetLink"/>
          </w:rPr>
          <w:t>Colima Incensario in Form of Tlaloc</w:t>
        </w:r>
      </w:hyperlink>
      <w:r>
        <w:rPr/>
        <w:t xml:space="preserve"> </w:t>
      </w:r>
    </w:p>
    <w:tbl>
      <w:tblPr>
        <w:tblW w:w="3257" w:type="dxa"/>
        <w:jc w:val="start"/>
        <w:tblInd w:w="-60" w:type="dxa"/>
        <w:tblBorders/>
        <w:tblCellMar>
          <w:top w:w="15" w:type="dxa"/>
          <w:start w:w="15" w:type="dxa"/>
          <w:bottom w:w="15" w:type="dxa"/>
          <w:end w:w="15" w:type="dxa"/>
        </w:tblCellMar>
      </w:tblPr>
      <w:tblGrid>
        <w:gridCol w:w="1712"/>
        <w:gridCol w:w="1545"/>
      </w:tblGrid>
      <w:tr>
        <w:trPr/>
        <w:tc>
          <w:tcPr>
            <w:tcW w:w="1712" w:type="dxa"/>
            <w:tcBorders/>
            <w:shd w:fill="auto" w:val="clear"/>
            <w:vAlign w:val="center"/>
          </w:tcPr>
          <w:p>
            <w:pPr>
              <w:pStyle w:val="Normal"/>
              <w:rPr/>
            </w:pPr>
            <w:r>
              <w:rPr/>
              <w:t>Item price</w:t>
            </w:r>
          </w:p>
        </w:tc>
        <w:tc>
          <w:tcPr>
            <w:tcW w:w="1545" w:type="dxa"/>
            <w:tcBorders/>
            <w:shd w:fill="auto" w:val="clear"/>
            <w:vAlign w:val="center"/>
          </w:tcPr>
          <w:p>
            <w:pPr>
              <w:pStyle w:val="Normal"/>
              <w:rPr/>
            </w:pPr>
            <w:r>
              <w:rPr/>
              <w:t>$595.00</w:t>
            </w:r>
          </w:p>
        </w:tc>
      </w:tr>
      <w:tr>
        <w:trPr/>
        <w:tc>
          <w:tcPr>
            <w:tcW w:w="1712" w:type="dxa"/>
            <w:tcBorders/>
            <w:shd w:fill="auto" w:val="clear"/>
            <w:vAlign w:val="center"/>
          </w:tcPr>
          <w:p>
            <w:pPr>
              <w:pStyle w:val="Normal"/>
              <w:rPr/>
            </w:pPr>
            <w:r>
              <w:rPr/>
              <w:t>Quantity</w:t>
            </w:r>
          </w:p>
        </w:tc>
        <w:tc>
          <w:tcPr>
            <w:tcW w:w="1545"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545" w:type="dxa"/>
            <w:tcBorders/>
            <w:shd w:fill="auto" w:val="clear"/>
            <w:vAlign w:val="center"/>
          </w:tcPr>
          <w:p>
            <w:pPr>
              <w:pStyle w:val="Normal"/>
              <w:rPr/>
            </w:pPr>
            <w:r>
              <w:rPr/>
              <w:t>381258126822</w:t>
            </w:r>
          </w:p>
        </w:tc>
      </w:tr>
      <w:tr>
        <w:trPr/>
        <w:tc>
          <w:tcPr>
            <w:tcW w:w="1712" w:type="dxa"/>
            <w:tcBorders/>
            <w:shd w:fill="auto" w:val="clear"/>
            <w:vAlign w:val="center"/>
          </w:tcPr>
          <w:p>
            <w:pPr>
              <w:pStyle w:val="Normal"/>
              <w:rPr/>
            </w:pPr>
            <w:r>
              <w:rPr/>
              <w:t>Shipping service</w:t>
            </w:r>
          </w:p>
        </w:tc>
        <w:tc>
          <w:tcPr>
            <w:tcW w:w="1545" w:type="dxa"/>
            <w:tcBorders/>
            <w:shd w:fill="auto" w:val="clear"/>
            <w:vAlign w:val="center"/>
          </w:tcPr>
          <w:p>
            <w:pPr>
              <w:pStyle w:val="Normal"/>
              <w:rPr/>
            </w:pPr>
            <w:r>
              <w:rPr>
                <w:rStyle w:val="Ngbindingngscope"/>
              </w:rPr>
              <w:t>UPS Ground</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857" w:type="dxa"/>
        <w:jc w:val="start"/>
        <w:tblInd w:w="-60" w:type="dxa"/>
        <w:tblBorders/>
        <w:tblCellMar>
          <w:top w:w="15" w:type="dxa"/>
          <w:start w:w="15" w:type="dxa"/>
          <w:bottom w:w="15" w:type="dxa"/>
          <w:end w:w="15" w:type="dxa"/>
        </w:tblCellMar>
      </w:tblPr>
      <w:tblGrid>
        <w:gridCol w:w="972"/>
        <w:gridCol w:w="885"/>
      </w:tblGrid>
      <w:tr>
        <w:trPr/>
        <w:tc>
          <w:tcPr>
            <w:tcW w:w="972" w:type="dxa"/>
            <w:tcBorders/>
            <w:shd w:fill="auto" w:val="clear"/>
            <w:vAlign w:val="center"/>
          </w:tcPr>
          <w:p>
            <w:pPr>
              <w:pStyle w:val="Normal"/>
              <w:rPr/>
            </w:pPr>
            <w:r>
              <w:rPr/>
              <w:t>Subtotal</w:t>
            </w:r>
          </w:p>
        </w:tc>
        <w:tc>
          <w:tcPr>
            <w:tcW w:w="885" w:type="dxa"/>
            <w:tcBorders/>
            <w:shd w:fill="auto" w:val="clear"/>
            <w:vAlign w:val="center"/>
          </w:tcPr>
          <w:p>
            <w:pPr>
              <w:pStyle w:val="Normal"/>
              <w:rPr/>
            </w:pPr>
            <w:r>
              <w:rPr>
                <w:rStyle w:val="Ngbinding"/>
              </w:rPr>
              <w:t>$595.00</w:t>
            </w:r>
          </w:p>
        </w:tc>
      </w:tr>
      <w:tr>
        <w:trPr/>
        <w:tc>
          <w:tcPr>
            <w:tcW w:w="972" w:type="dxa"/>
            <w:tcBorders/>
            <w:shd w:fill="auto" w:val="clear"/>
            <w:vAlign w:val="center"/>
          </w:tcPr>
          <w:p>
            <w:pPr>
              <w:pStyle w:val="Normal"/>
              <w:rPr/>
            </w:pPr>
            <w:r>
              <w:rPr/>
              <w:t>Shipping</w:t>
            </w:r>
          </w:p>
        </w:tc>
        <w:tc>
          <w:tcPr>
            <w:tcW w:w="885" w:type="dxa"/>
            <w:tcBorders/>
            <w:shd w:fill="auto" w:val="clear"/>
            <w:vAlign w:val="center"/>
          </w:tcPr>
          <w:p>
            <w:pPr>
              <w:pStyle w:val="Normal"/>
              <w:rPr/>
            </w:pPr>
            <w:r>
              <w:rPr>
                <w:rStyle w:val="Ngbindingngscope"/>
              </w:rPr>
              <w:t>$44.99</w:t>
            </w:r>
            <w:r>
              <w:rPr/>
              <w:t xml:space="preserve"> </w:t>
            </w:r>
          </w:p>
        </w:tc>
      </w:tr>
    </w:tbl>
    <w:p>
      <w:pPr>
        <w:pStyle w:val="Normal"/>
        <w:spacing w:before="0" w:after="540"/>
        <w:rPr>
          <w:b/>
          <w:b/>
          <w:bCs/>
        </w:rPr>
      </w:pPr>
      <w:r>
        <w:rPr>
          <w:b/>
          <w:bCs/>
        </w:rPr>
        <w:t>Total</w:t>
      </w:r>
    </w:p>
    <w:p>
      <w:pPr>
        <w:pStyle w:val="Normal"/>
        <w:spacing w:before="0" w:after="540"/>
        <w:rPr/>
      </w:pPr>
      <w:r>
        <w:rPr>
          <w:rStyle w:val="Ordertotalcostngbinding"/>
        </w:rPr>
        <w:t>$639.99</w:t>
      </w:r>
    </w:p>
    <w:p>
      <w:pPr>
        <w:pStyle w:val="Normal"/>
        <w:rPr/>
      </w:pPr>
      <w:r>
        <w:rPr/>
      </w:r>
    </w:p>
    <w:p>
      <w:pPr>
        <w:pStyle w:val="Normal"/>
        <w:rPr/>
      </w:pPr>
      <w:r>
        <w:rPr/>
        <w:t>Order placed on</w:t>
      </w:r>
    </w:p>
    <w:p>
      <w:pPr>
        <w:pStyle w:val="Normal"/>
        <w:rPr/>
      </w:pPr>
      <w:r>
        <w:rPr>
          <w:rStyle w:val="Ngbindingngscope"/>
        </w:rPr>
        <w:t>Monday, Jan 25, 2016</w:t>
      </w:r>
      <w:r>
        <w:rPr/>
        <w:t xml:space="preserve"> </w:t>
      </w:r>
    </w:p>
    <w:p>
      <w:pPr>
        <w:pStyle w:val="Normal"/>
        <w:rPr/>
      </w:pPr>
      <w:r>
        <w:rPr/>
        <w:t>Payment method</w:t>
      </w:r>
    </w:p>
    <w:p>
      <w:pPr>
        <w:pStyle w:val="Normal"/>
        <w:rPr/>
      </w:pPr>
      <w:r>
        <w:rPr>
          <w:rStyle w:val="Ngbindingngscope"/>
        </w:rPr>
        <w:t>PayPal</w:t>
      </w:r>
      <w:r>
        <w:rPr/>
        <w:t xml:space="preserve"> </w:t>
      </w:r>
    </w:p>
    <w:p>
      <w:pPr>
        <w:pStyle w:val="Normal"/>
        <w:rPr/>
      </w:pPr>
      <w:r>
        <w:rPr/>
        <w:t>Payment date</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myworld.ebay.com/artemisgallery" TargetMode="External"/><Relationship Id="rId8" Type="http://schemas.openxmlformats.org/officeDocument/2006/relationships/hyperlink" Target="http://feedback.ebay.com/ws/eBayISAPI.dll?ViewFeedback&amp;userid=artemisgallery" TargetMode="External"/><Relationship Id="rId9" Type="http://schemas.openxmlformats.org/officeDocument/2006/relationships/image" Target="media/image6.jpeg"/><Relationship Id="rId10" Type="http://schemas.openxmlformats.org/officeDocument/2006/relationships/hyperlink" Target="http://www.ebay.com/itm/381258126822"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2016-01-25T17:05:00Z</dcterms:created>
  <dc:creator>owner</dc:creator>
  <dc:description/>
  <dc:language>en-US</dc:language>
  <cp:lastModifiedBy>owner</cp:lastModifiedBy>
  <dcterms:modified xsi:type="dcterms:W3CDTF">2016-01-25T17:08:00Z</dcterms:modified>
  <cp:revision>2</cp:revision>
  <dc:subject/>
  <dc:title>MEX-Colima-Tlaloc-200 BCE-200CE</dc:title>
</cp:coreProperties>
</file>