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C23C48" w:rsidRPr="00C23C48" w:rsidRDefault="002D3231" w:rsidP="00C23C48">
      <w:pPr>
        <w:rPr>
          <w:b/>
        </w:rPr>
      </w:pPr>
      <w:bookmarkStart w:id="0" w:name="_GoBack"/>
      <w:r>
        <w:t>A</w:t>
      </w:r>
      <w:r w:rsidR="00C23C48">
        <w:t>493-</w:t>
      </w:r>
      <w:r>
        <w:t>AM</w:t>
      </w:r>
      <w:proofErr w:type="gramStart"/>
      <w:r>
        <w:t>,N</w:t>
      </w:r>
      <w:proofErr w:type="gramEnd"/>
      <w:r>
        <w:t>-NW-</w:t>
      </w:r>
      <w:r w:rsidR="00C23C48" w:rsidRPr="00C23C48">
        <w:t xml:space="preserve"> </w:t>
      </w:r>
      <w:r w:rsidR="00C23C48" w:rsidRPr="00F15030">
        <w:t>Kwakwaka'wakw</w:t>
      </w:r>
      <w:r w:rsidR="00C23C48">
        <w:rPr>
          <w:rStyle w:val="Strong"/>
        </w:rPr>
        <w:t>–</w:t>
      </w:r>
      <w:r w:rsidR="00C23C48" w:rsidRPr="00C23C48">
        <w:rPr>
          <w:rStyle w:val="Strong"/>
          <w:b w:val="0"/>
        </w:rPr>
        <w:t>Totem Pole-Owl-Bear-mid 20</w:t>
      </w:r>
      <w:r w:rsidR="00C23C48" w:rsidRPr="00C23C48">
        <w:rPr>
          <w:rStyle w:val="Strong"/>
          <w:b w:val="0"/>
          <w:vertAlign w:val="superscript"/>
        </w:rPr>
        <w:t>th</w:t>
      </w:r>
      <w:r w:rsidR="00C23C48" w:rsidRPr="00C23C48">
        <w:rPr>
          <w:rStyle w:val="Strong"/>
          <w:b w:val="0"/>
        </w:rPr>
        <w:t xml:space="preserve"> century</w:t>
      </w:r>
    </w:p>
    <w:bookmarkEnd w:id="0"/>
    <w:p w:rsidR="002D3231" w:rsidRDefault="002D3231" w:rsidP="00C23C48">
      <w:pPr>
        <w:spacing w:after="0"/>
        <w:rPr>
          <w:noProof/>
        </w:rPr>
      </w:pPr>
      <w:r>
        <w:rPr>
          <w:noProof/>
        </w:rPr>
        <w:drawing>
          <wp:inline distT="0" distB="0" distL="0" distR="0" wp14:anchorId="096E34E4" wp14:editId="441820B1">
            <wp:extent cx="2391803" cy="35750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97389" cy="3583399"/>
                    </a:xfrm>
                    <a:prstGeom prst="rect">
                      <a:avLst/>
                    </a:prstGeom>
                  </pic:spPr>
                </pic:pic>
              </a:graphicData>
            </a:graphic>
          </wp:inline>
        </w:drawing>
      </w:r>
      <w:r w:rsidR="00E640C3" w:rsidRPr="00E640C3">
        <w:rPr>
          <w:noProof/>
        </w:rPr>
        <w:t xml:space="preserve"> </w:t>
      </w:r>
      <w:r w:rsidR="00E640C3">
        <w:rPr>
          <w:noProof/>
        </w:rPr>
        <w:drawing>
          <wp:inline distT="0" distB="0" distL="0" distR="0" wp14:anchorId="31015590" wp14:editId="08794490">
            <wp:extent cx="2432050" cy="35659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2297" cy="3580934"/>
                    </a:xfrm>
                    <a:prstGeom prst="rect">
                      <a:avLst/>
                    </a:prstGeom>
                  </pic:spPr>
                </pic:pic>
              </a:graphicData>
            </a:graphic>
          </wp:inline>
        </w:drawing>
      </w:r>
    </w:p>
    <w:p w:rsidR="00C23C48" w:rsidRPr="00C23C48" w:rsidRDefault="00C23C48" w:rsidP="00C23C48">
      <w:pPr>
        <w:spacing w:after="0"/>
        <w:rPr>
          <w:b/>
        </w:rPr>
      </w:pPr>
      <w:r>
        <w:rPr>
          <w:noProof/>
        </w:rPr>
        <w:t xml:space="preserve">Figs. 1-2. </w:t>
      </w:r>
      <w:r w:rsidRPr="00F15030">
        <w:t>Kwakwaka'wakw</w:t>
      </w:r>
      <w:r>
        <w:rPr>
          <w:rStyle w:val="Strong"/>
        </w:rPr>
        <w:t>–</w:t>
      </w:r>
      <w:r w:rsidRPr="00C23C48">
        <w:rPr>
          <w:rStyle w:val="Strong"/>
          <w:b w:val="0"/>
        </w:rPr>
        <w:t>Totem Pole-Owl-Bear-mid 20</w:t>
      </w:r>
      <w:r w:rsidRPr="00C23C48">
        <w:rPr>
          <w:rStyle w:val="Strong"/>
          <w:b w:val="0"/>
          <w:vertAlign w:val="superscript"/>
        </w:rPr>
        <w:t>th</w:t>
      </w:r>
      <w:r w:rsidRPr="00C23C48">
        <w:rPr>
          <w:rStyle w:val="Strong"/>
          <w:b w:val="0"/>
        </w:rPr>
        <w:t xml:space="preserve"> century</w:t>
      </w:r>
    </w:p>
    <w:p w:rsidR="00C23C48" w:rsidRDefault="00C23C48" w:rsidP="00C23C48">
      <w:pPr>
        <w:spacing w:after="0"/>
        <w:rPr>
          <w:rStyle w:val="Strong"/>
        </w:rPr>
      </w:pPr>
      <w:r>
        <w:rPr>
          <w:rStyle w:val="Strong"/>
        </w:rPr>
        <w:t>Case no.:</w:t>
      </w:r>
      <w:r>
        <w:rPr>
          <w:rStyle w:val="Strong"/>
        </w:rPr>
        <w:t xml:space="preserve"> 8</w:t>
      </w:r>
    </w:p>
    <w:p w:rsidR="00C23C48" w:rsidRDefault="00C23C48" w:rsidP="00C23C48">
      <w:pPr>
        <w:spacing w:after="0"/>
        <w:rPr>
          <w:rStyle w:val="Strong"/>
        </w:rPr>
      </w:pPr>
      <w:r>
        <w:rPr>
          <w:rStyle w:val="Strong"/>
        </w:rPr>
        <w:t>Accession Number:</w:t>
      </w:r>
      <w:r>
        <w:rPr>
          <w:rStyle w:val="Strong"/>
        </w:rPr>
        <w:t xml:space="preserve"> A493</w:t>
      </w:r>
    </w:p>
    <w:p w:rsidR="00C23C48" w:rsidRDefault="00C23C48" w:rsidP="00C23C48">
      <w:pPr>
        <w:spacing w:after="0"/>
        <w:rPr>
          <w:rStyle w:val="Strong"/>
        </w:rPr>
      </w:pPr>
      <w:r>
        <w:rPr>
          <w:rStyle w:val="Strong"/>
        </w:rPr>
        <w:t>Formal Label:</w:t>
      </w:r>
      <w:r>
        <w:rPr>
          <w:rStyle w:val="Strong"/>
        </w:rPr>
        <w:t xml:space="preserve"> </w:t>
      </w:r>
      <w:r w:rsidRPr="00F15030">
        <w:t>Kwakwaka'wakw</w:t>
      </w:r>
      <w:r>
        <w:rPr>
          <w:rStyle w:val="Strong"/>
        </w:rPr>
        <w:t>–</w:t>
      </w:r>
      <w:r w:rsidRPr="00C23C48">
        <w:rPr>
          <w:rStyle w:val="Strong"/>
          <w:b w:val="0"/>
        </w:rPr>
        <w:t>Totem Pole-Owl-Bear-mid 20</w:t>
      </w:r>
      <w:r w:rsidRPr="00C23C48">
        <w:rPr>
          <w:rStyle w:val="Strong"/>
          <w:b w:val="0"/>
          <w:vertAlign w:val="superscript"/>
        </w:rPr>
        <w:t>th</w:t>
      </w:r>
      <w:r w:rsidRPr="00C23C48">
        <w:rPr>
          <w:rStyle w:val="Strong"/>
          <w:b w:val="0"/>
        </w:rPr>
        <w:t xml:space="preserve"> century</w:t>
      </w:r>
    </w:p>
    <w:p w:rsidR="00C23C48" w:rsidRDefault="00C23C48" w:rsidP="00C23C48">
      <w:pPr>
        <w:spacing w:after="0"/>
        <w:rPr>
          <w:b/>
          <w:bCs/>
        </w:rPr>
      </w:pPr>
      <w:r w:rsidRPr="00ED4BF3">
        <w:rPr>
          <w:b/>
          <w:bCs/>
        </w:rPr>
        <w:t>Display Description:</w:t>
      </w:r>
      <w:r>
        <w:rPr>
          <w:b/>
          <w:bCs/>
        </w:rPr>
        <w:t xml:space="preserve"> </w:t>
      </w:r>
    </w:p>
    <w:p w:rsidR="00C23C48" w:rsidRPr="00C23C48" w:rsidRDefault="00C23C48" w:rsidP="00C23C48">
      <w:r>
        <w:rPr>
          <w:b/>
          <w:bCs/>
        </w:rPr>
        <w:tab/>
      </w:r>
      <w:r w:rsidRPr="00C23C48">
        <w:t>This rare totem pole is constructed of bone and carved with two of the most powerful mythological figures: the Owl perched on top of the Bear.</w:t>
      </w:r>
    </w:p>
    <w:p w:rsidR="00C23C48" w:rsidRPr="00C23C48" w:rsidRDefault="00C23C48" w:rsidP="00C23C48">
      <w:r w:rsidRPr="00C23C48">
        <w:t xml:space="preserve">The Owl is one of the characters that appear in both the </w:t>
      </w:r>
      <w:proofErr w:type="spellStart"/>
      <w:r w:rsidRPr="00C23C48">
        <w:t>T</w:t>
      </w:r>
      <w:proofErr w:type="gramStart"/>
      <w:r w:rsidRPr="00C23C48">
        <w:t>?seka</w:t>
      </w:r>
      <w:proofErr w:type="spellEnd"/>
      <w:proofErr w:type="gramEnd"/>
      <w:r w:rsidRPr="00C23C48">
        <w:t xml:space="preserve"> and </w:t>
      </w:r>
      <w:proofErr w:type="spellStart"/>
      <w:r w:rsidRPr="00C23C48">
        <w:t>T?a’sala</w:t>
      </w:r>
      <w:proofErr w:type="spellEnd"/>
      <w:r w:rsidRPr="00C23C48">
        <w:t xml:space="preserve"> ceremonies. Owl represents the “Wise One” and the keeper of knowledge. Owl is associated with ill fortune and is often the messenger of death. If Owl calls your name he is a calling you to join the spirits of the dead, and it is believed you will soon die. When the </w:t>
      </w:r>
      <w:proofErr w:type="spellStart"/>
      <w:r w:rsidRPr="00C23C48">
        <w:t>T?seka</w:t>
      </w:r>
      <w:proofErr w:type="spellEnd"/>
      <w:r w:rsidRPr="00C23C48">
        <w:t xml:space="preserve"> dance is performed the dancer will accentuate the distinctive bulging eyes and fierce expression of the mask with the owl-like movements, keeping his head forward and eyes straight ahead.</w:t>
      </w:r>
    </w:p>
    <w:p w:rsidR="00C23C48" w:rsidRPr="00C23C48" w:rsidRDefault="00C23C48" w:rsidP="00C23C48">
      <w:r w:rsidRPr="00C23C48">
        <w:t xml:space="preserve">The Bear, on the other hand, is a symbol of power, courage, physical strength and leadership. Warriors wear bear claw necklaces for protection in battle. A Chief's daughter was abducted by a bear after picking berries when she stepped on Bear dung and curse all bears out loud for their lack of cleanliness. Two Bears nearby heard her and decided they would not tolerate such insolence. They felt she had to be punished. One Bear transformed himself into a very handsome man who approached this woman, and seductively lured her to accompany him to his mountain home. When she did, she fell in love with him and became partially Bear-like herself. She later </w:t>
      </w:r>
      <w:r w:rsidRPr="00C23C48">
        <w:lastRenderedPageBreak/>
        <w:t>married him and had twin cubs. Their children were born as little creatures that resembled bears who could metamorphose themselves into human form like their father. The woman's brothers eventually found her and, in an unequal contest, killed her husband. They returned to the village but the two bear sons did not feel comfortable and eventually left to return to the forest. All Bear Clan members are descended from this woman and her two sons.</w:t>
      </w:r>
    </w:p>
    <w:p w:rsidR="00C23C48" w:rsidRPr="00EB5DE2" w:rsidRDefault="00C23C48" w:rsidP="00C23C48">
      <w:pPr>
        <w:spacing w:after="0"/>
        <w:rPr>
          <w:b/>
          <w:bCs/>
        </w:rPr>
      </w:pPr>
      <w:r w:rsidRPr="00EB5DE2">
        <w:rPr>
          <w:b/>
          <w:bCs/>
        </w:rPr>
        <w:t>LC Classification:</w:t>
      </w:r>
      <w:r w:rsidR="0051760B">
        <w:rPr>
          <w:b/>
          <w:bCs/>
        </w:rPr>
        <w:t xml:space="preserve"> E99.K9</w:t>
      </w:r>
    </w:p>
    <w:p w:rsidR="00C23C48" w:rsidRDefault="00C23C48" w:rsidP="00C23C48">
      <w:pPr>
        <w:spacing w:after="0"/>
      </w:pPr>
      <w:r>
        <w:rPr>
          <w:rStyle w:val="Strong"/>
        </w:rPr>
        <w:t>Date or Time Horizon:</w:t>
      </w:r>
      <w:r>
        <w:t xml:space="preserve"> </w:t>
      </w:r>
      <w:r w:rsidR="0051760B">
        <w:t>Early 20</w:t>
      </w:r>
      <w:r w:rsidR="0051760B" w:rsidRPr="0051760B">
        <w:rPr>
          <w:vertAlign w:val="superscript"/>
        </w:rPr>
        <w:t>th</w:t>
      </w:r>
      <w:r w:rsidR="0051760B">
        <w:t xml:space="preserve"> century</w:t>
      </w:r>
    </w:p>
    <w:p w:rsidR="002812FA" w:rsidRPr="0058684F" w:rsidRDefault="002812FA" w:rsidP="002812FA">
      <w:pPr>
        <w:spacing w:after="0"/>
      </w:pPr>
      <w:r w:rsidRPr="00FD2924">
        <w:rPr>
          <w:rStyle w:val="Strong"/>
        </w:rPr>
        <w:t>Geographical Area:</w:t>
      </w:r>
      <w:r w:rsidRPr="0058684F">
        <w:t xml:space="preserve"> Fort Rupert, northeastern Vancouver Island.</w:t>
      </w:r>
    </w:p>
    <w:p w:rsidR="002812FA" w:rsidRDefault="002812FA" w:rsidP="002812FA">
      <w:pPr>
        <w:spacing w:after="0"/>
      </w:pPr>
      <w:r w:rsidRPr="0058684F">
        <w:rPr>
          <w:b/>
        </w:rPr>
        <w:t xml:space="preserve">Map, GPS coordinates: </w:t>
      </w:r>
      <w:r w:rsidRPr="0058684F">
        <w:t>50º41'51.16" N 127º25'32.09" W</w:t>
      </w:r>
    </w:p>
    <w:p w:rsidR="002812FA" w:rsidRDefault="002812FA" w:rsidP="002812FA">
      <w:pPr>
        <w:spacing w:after="0"/>
        <w:rPr>
          <w:color w:val="000000" w:themeColor="text1"/>
        </w:rPr>
      </w:pPr>
      <w:r>
        <w:rPr>
          <w:noProof/>
        </w:rPr>
        <w:drawing>
          <wp:inline distT="0" distB="0" distL="0" distR="0" wp14:anchorId="02B5C718" wp14:editId="12A398C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2812FA" w:rsidRPr="00D22447" w:rsidRDefault="002812FA" w:rsidP="002812FA">
      <w:pPr>
        <w:spacing w:after="0"/>
      </w:pPr>
      <w:r>
        <w:rPr>
          <w:color w:val="000000" w:themeColor="text1"/>
        </w:rPr>
        <w:t xml:space="preserve">Fig. 3. Map of Fort Rupert and the </w:t>
      </w:r>
      <w:r w:rsidRPr="00F15030">
        <w:t>Kwakwaka'wakw</w:t>
      </w:r>
      <w:r>
        <w:t xml:space="preserve"> Reserve. After </w:t>
      </w:r>
      <w:r w:rsidRPr="00D22447">
        <w:t>www.bing.com</w:t>
      </w:r>
    </w:p>
    <w:p w:rsidR="002812FA" w:rsidRPr="0058684F" w:rsidRDefault="002812FA" w:rsidP="002812FA">
      <w:pPr>
        <w:spacing w:after="0"/>
      </w:pPr>
    </w:p>
    <w:p w:rsidR="002812FA" w:rsidRPr="0058684F" w:rsidRDefault="002812FA" w:rsidP="002812FA">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2812FA" w:rsidRDefault="00C23C48" w:rsidP="00C23C48">
      <w:pPr>
        <w:spacing w:after="0"/>
      </w:pPr>
      <w:r>
        <w:rPr>
          <w:rStyle w:val="Strong"/>
        </w:rPr>
        <w:t>Media:</w:t>
      </w:r>
      <w:r>
        <w:t xml:space="preserve"> </w:t>
      </w:r>
      <w:r w:rsidR="002812FA">
        <w:t>Bone</w:t>
      </w:r>
    </w:p>
    <w:p w:rsidR="002812FA" w:rsidRDefault="00C23C48" w:rsidP="00C23C48">
      <w:pPr>
        <w:spacing w:after="0"/>
      </w:pPr>
      <w:r>
        <w:rPr>
          <w:rStyle w:val="Strong"/>
        </w:rPr>
        <w:t>Dimensions:</w:t>
      </w:r>
      <w:r>
        <w:t xml:space="preserve"> </w:t>
      </w:r>
      <w:r w:rsidR="002812FA">
        <w:t>H 99.50 mm, 3.92; W 99.05 mm, 3.11 in.</w:t>
      </w:r>
    </w:p>
    <w:p w:rsidR="00C23C48" w:rsidRDefault="00C23C48" w:rsidP="00C23C48">
      <w:pPr>
        <w:spacing w:after="0"/>
        <w:rPr>
          <w:rStyle w:val="Strong"/>
        </w:rPr>
      </w:pPr>
      <w:r>
        <w:rPr>
          <w:rStyle w:val="Strong"/>
        </w:rPr>
        <w:t xml:space="preserve">Weight:  </w:t>
      </w:r>
      <w:r w:rsidR="002812FA">
        <w:t>23 gm, ¾ oz</w:t>
      </w:r>
    </w:p>
    <w:p w:rsidR="00C23C48" w:rsidRDefault="00C23C48" w:rsidP="00C23C48">
      <w:pPr>
        <w:spacing w:after="0"/>
        <w:rPr>
          <w:rStyle w:val="Strong"/>
        </w:rPr>
      </w:pPr>
      <w:r>
        <w:rPr>
          <w:rStyle w:val="Strong"/>
        </w:rPr>
        <w:t>Condition:</w:t>
      </w:r>
      <w:r w:rsidR="002812FA">
        <w:rPr>
          <w:rStyle w:val="Strong"/>
        </w:rPr>
        <w:t xml:space="preserve"> original</w:t>
      </w:r>
    </w:p>
    <w:p w:rsidR="00C23C48" w:rsidRDefault="00C23C48" w:rsidP="00C23C48">
      <w:pPr>
        <w:spacing w:after="0"/>
        <w:rPr>
          <w:b/>
          <w:bCs/>
        </w:rPr>
      </w:pPr>
      <w:r>
        <w:rPr>
          <w:rStyle w:val="Strong"/>
        </w:rPr>
        <w:t>Provenance:</w:t>
      </w:r>
      <w:r>
        <w:t xml:space="preserve"> </w:t>
      </w:r>
      <w:proofErr w:type="gramStart"/>
      <w:r w:rsidR="002812FA">
        <w:t>artists</w:t>
      </w:r>
      <w:proofErr w:type="gramEnd"/>
      <w:r w:rsidR="002812FA">
        <w:t xml:space="preserve"> estate</w:t>
      </w:r>
    </w:p>
    <w:p w:rsidR="002812FA" w:rsidRDefault="00C23C48" w:rsidP="002812FA">
      <w:pPr>
        <w:spacing w:after="0"/>
        <w:rPr>
          <w:b/>
          <w:bCs/>
        </w:rPr>
      </w:pPr>
      <w:r>
        <w:rPr>
          <w:b/>
          <w:bCs/>
        </w:rPr>
        <w:t>Discussion:</w:t>
      </w:r>
      <w:r w:rsidR="002812FA">
        <w:rPr>
          <w:b/>
          <w:bCs/>
        </w:rPr>
        <w:t xml:space="preserve"> </w:t>
      </w:r>
    </w:p>
    <w:p w:rsidR="00FE4352" w:rsidRPr="002812FA" w:rsidRDefault="00FE4352" w:rsidP="002812FA">
      <w:pPr>
        <w:spacing w:after="0"/>
        <w:rPr>
          <w:b/>
          <w:bCs/>
        </w:rPr>
      </w:pPr>
      <w:r>
        <w:t xml:space="preserve">Technically, the style and form of </w:t>
      </w:r>
      <w:r w:rsidR="002812FA">
        <w:t>model totem poles</w:t>
      </w:r>
      <w:r>
        <w:t xml:space="preserve">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FE4352" w:rsidRPr="00683D2A" w:rsidRDefault="00FE4352" w:rsidP="00FE4352">
      <w:pPr>
        <w:pStyle w:val="NormalWeb"/>
      </w:pPr>
      <w:r>
        <w:lastRenderedPageBreak/>
        <w:tab/>
        <w:t xml:space="preserve">However, the role of the past is still evident in the conservatism among some sculptors who refer to the </w:t>
      </w:r>
      <w:r w:rsidR="002812FA">
        <w:t xml:space="preserve">totem poles </w:t>
      </w:r>
      <w:r>
        <w:t xml:space="preserve">of the past </w:t>
      </w:r>
      <w:r w:rsidR="002812FA">
        <w:t xml:space="preserve">for models </w:t>
      </w:r>
      <w:r>
        <w:t xml:space="preserve">in their </w:t>
      </w:r>
      <w:r w:rsidR="002812FA">
        <w:t xml:space="preserve">current </w:t>
      </w:r>
      <w:r>
        <w:t xml:space="preserve">work. In this respect, </w:t>
      </w:r>
      <w:r w:rsidR="002812FA">
        <w:t xml:space="preserve">older totem pole models </w:t>
      </w:r>
      <w:r>
        <w:t xml:space="preserve">are highly valued by the </w:t>
      </w:r>
      <w:r w:rsidRPr="00F15030">
        <w:t>Kwakwaka'wakw</w:t>
      </w:r>
      <w:r>
        <w:t xml:space="preserve"> as manifestations of ancestral spirits and supernatural beings. Northwest Coast tribes vary in their use of different myths</w:t>
      </w:r>
      <w:r w:rsidR="002812FA">
        <w:t xml:space="preserve"> and</w:t>
      </w:r>
      <w:r>
        <w:t xml:space="preserve"> characters</w:t>
      </w:r>
      <w:r w:rsidR="002812FA">
        <w:t xml:space="preserve"> they configure in totem poles because unlike masks </w:t>
      </w:r>
      <w:proofErr w:type="spellStart"/>
      <w:r w:rsidR="002812FA">
        <w:t>otem</w:t>
      </w:r>
      <w:proofErr w:type="spellEnd"/>
      <w:r w:rsidR="002812FA">
        <w:t xml:space="preserve"> poles </w:t>
      </w:r>
      <w:r w:rsidR="003472EE">
        <w:t>do not have performance as a me</w:t>
      </w:r>
      <w:r w:rsidR="002812FA">
        <w:t>thod</w:t>
      </w:r>
      <w:r w:rsidR="003472EE">
        <w:t xml:space="preserve"> of engaging with and audience </w:t>
      </w:r>
      <w:r>
        <w:t>(</w:t>
      </w:r>
      <w:proofErr w:type="spellStart"/>
      <w:r>
        <w:t>Malin</w:t>
      </w:r>
      <w:proofErr w:type="spellEnd"/>
      <w:r>
        <w:t xml:space="preserve"> 1978: 47). </w:t>
      </w:r>
      <w:proofErr w:type="gramStart"/>
      <w:r w:rsidR="003472EE">
        <w:t>Engagement ,</w:t>
      </w:r>
      <w:proofErr w:type="gramEnd"/>
      <w:r w:rsidR="003472EE">
        <w:t xml:space="preserve"> therefore, must come about by way of the viewer being able to read the configuration of entities on the totem pole silently. Often these totem poles like masks</w:t>
      </w:r>
      <w:r>
        <w:t xml:space="preserve">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w:t>
      </w:r>
      <w:r w:rsidR="003472EE">
        <w:t>totem poles</w:t>
      </w:r>
      <w:r>
        <w:t xml:space="preserve"> </w:t>
      </w:r>
      <w:r w:rsidR="003472EE">
        <w:t xml:space="preserve">as well as masks </w:t>
      </w:r>
      <w:r>
        <w:t>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2D3231" w:rsidRPr="00F37640" w:rsidRDefault="002D3231" w:rsidP="002D3231">
      <w:pPr>
        <w:pStyle w:val="NormalWeb"/>
      </w:pPr>
    </w:p>
    <w:p w:rsidR="002D3231" w:rsidRDefault="002D3231" w:rsidP="002D3231">
      <w:pPr>
        <w:spacing w:after="0"/>
        <w:rPr>
          <w:b/>
          <w:bCs/>
        </w:rPr>
      </w:pPr>
      <w:r>
        <w:rPr>
          <w:b/>
          <w:bCs/>
        </w:rPr>
        <w:t>References:</w:t>
      </w:r>
    </w:p>
    <w:p w:rsidR="002D3231" w:rsidRDefault="002D3231" w:rsidP="002812FA">
      <w:pPr>
        <w:pStyle w:val="NormalWeb"/>
      </w:pPr>
      <w:r w:rsidRPr="00F37640">
        <w:t>Greenville, Bruce</w:t>
      </w:r>
      <w:r w:rsidRPr="00F37640">
        <w:br/>
      </w:r>
      <w:r>
        <w:t xml:space="preserve">1998 Introduction in Down from the Shimmering Sky: Masks of the Northwest Coast, Peter </w:t>
      </w:r>
      <w:proofErr w:type="spellStart"/>
      <w:r>
        <w:t>Macnair</w:t>
      </w:r>
      <w:proofErr w:type="spellEnd"/>
      <w:r>
        <w:t>, et al, 14-16. Vancouver, BC, Seattle: Douglas &amp; McIntyre and University of Washington Press.</w:t>
      </w:r>
    </w:p>
    <w:p w:rsidR="002D3231" w:rsidRDefault="002D3231" w:rsidP="002812FA">
      <w:pPr>
        <w:pStyle w:val="NormalWeb"/>
      </w:pPr>
      <w:r>
        <w:t>Hawthorn, Audrey</w:t>
      </w:r>
      <w:r>
        <w:br/>
        <w:t>1979 Kwakiutl Art. Seattle: University of Washington Press.</w:t>
      </w:r>
      <w:r>
        <w:br/>
      </w:r>
    </w:p>
    <w:p w:rsidR="002D3231" w:rsidRPr="00F37640" w:rsidRDefault="002D3231" w:rsidP="002812FA">
      <w:pPr>
        <w:pStyle w:val="NormalWeb"/>
      </w:pPr>
      <w:r>
        <w:t>Holm, Bill</w:t>
      </w:r>
      <w:r>
        <w:br/>
        <w:t>1984 Form in Northwest Coast Art in Indian Art Traditions of the Northwest Coast, ed. Roy L. Carlson. Burnaby, B.C.: Archaeology Press &amp; Simon Frasier University.</w:t>
      </w:r>
      <w:r>
        <w:br/>
        <w:t>1972 Crooked Beak of Heaven. Seattle: University of Washington Press.</w:t>
      </w:r>
      <w:r>
        <w:br/>
      </w:r>
      <w:r w:rsidRPr="00F37640">
        <w:t>1965 Northwest Coast Indian Art. Seattle: University of Washington Press.</w:t>
      </w:r>
    </w:p>
    <w:p w:rsidR="002D3231" w:rsidRDefault="002D3231" w:rsidP="002812FA">
      <w:pPr>
        <w:pStyle w:val="NormalWeb"/>
      </w:pPr>
      <w:proofErr w:type="spellStart"/>
      <w:r w:rsidRPr="00F37640">
        <w:t>Jonaitis</w:t>
      </w:r>
      <w:proofErr w:type="spellEnd"/>
      <w:proofErr w:type="gramStart"/>
      <w:r w:rsidRPr="00F37640">
        <w:t>, ;</w:t>
      </w:r>
      <w:proofErr w:type="gramEnd"/>
      <w:r w:rsidRPr="00F37640">
        <w:t xml:space="preserve"> 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2D3231" w:rsidRDefault="002D3231" w:rsidP="002812FA">
      <w:pPr>
        <w:pStyle w:val="NormalWeb"/>
      </w:pPr>
      <w:proofErr w:type="spellStart"/>
      <w:r>
        <w:t>Macnair</w:t>
      </w:r>
      <w:proofErr w:type="spellEnd"/>
      <w:r>
        <w:t>, Peter</w:t>
      </w:r>
      <w:r>
        <w:br/>
        <w:t>1998 Power of the Shining Heavens in Down from the Shimmering Sky: Masks of the Northwest Coast. Vancouver and Seattle: Douglas &amp; McIntyre and University of Washington Press.</w:t>
      </w:r>
    </w:p>
    <w:p w:rsidR="002D3231" w:rsidRPr="00F37640" w:rsidRDefault="002D3231" w:rsidP="002812FA">
      <w:pPr>
        <w:pStyle w:val="NormalWeb"/>
      </w:pPr>
      <w:proofErr w:type="spellStart"/>
      <w:r w:rsidRPr="00F37640">
        <w:t>Malin</w:t>
      </w:r>
      <w:proofErr w:type="spellEnd"/>
      <w:r w:rsidRPr="00F37640">
        <w:t>, Edward</w:t>
      </w:r>
      <w:r w:rsidRPr="00F37640">
        <w:br/>
      </w:r>
      <w:r>
        <w:t>1999 Northwest Coast Indian Painting: House Fronts and Interior Screens. Portland, OR: Timber Press.</w:t>
      </w:r>
      <w:r>
        <w:br/>
        <w:t xml:space="preserve">1978 A World of Faces: Masks of the Northwest Coast Indians. Portland, OR: Timber </w:t>
      </w:r>
      <w:r w:rsidRPr="00F37640">
        <w:t>Press.</w:t>
      </w:r>
    </w:p>
    <w:p w:rsidR="002D3231" w:rsidRDefault="002D3231" w:rsidP="002812FA">
      <w:pPr>
        <w:pStyle w:val="NormalWeb"/>
      </w:pPr>
      <w:r w:rsidRPr="00F37640">
        <w:lastRenderedPageBreak/>
        <w:t>Masco, Joseph</w:t>
      </w:r>
      <w:r w:rsidRPr="003E6B9C">
        <w:rPr>
          <w:b/>
        </w:rPr>
        <w:br/>
      </w:r>
      <w:r>
        <w:t>1995 ’It is a Strict Law That Bids Us Dance’: Cosmologies, Colonialism, Death, and Ritual Authority in the Kwakwaka'wakw Potlatch, 1849 to 1922 in Comparative Studies in Society and History 37 (1): 41-75.</w:t>
      </w:r>
    </w:p>
    <w:p w:rsidR="002D3231" w:rsidRDefault="002D3231" w:rsidP="002812FA">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New York and Seattle: American Museum of Natural History and University of Washington Press.</w:t>
      </w:r>
    </w:p>
    <w:p w:rsidR="002D3231" w:rsidRDefault="002D3231" w:rsidP="002812FA">
      <w:pPr>
        <w:pStyle w:val="NormalWeb"/>
      </w:pPr>
      <w:r w:rsidRPr="00F37640">
        <w:t>Pollock, Donald</w:t>
      </w:r>
      <w:r>
        <w:rPr>
          <w:b/>
        </w:rPr>
        <w:t xml:space="preserve">. </w:t>
      </w:r>
      <w:r>
        <w:t>1995 “Masks and the Semiotics of Identity,” The Journal of the Royal Anthropological Institute 1(3): 581-597.</w:t>
      </w:r>
    </w:p>
    <w:p w:rsidR="002D3231" w:rsidRDefault="002D3231" w:rsidP="002812FA">
      <w:pPr>
        <w:spacing w:after="0"/>
      </w:pPr>
    </w:p>
    <w:p w:rsidR="002D3231" w:rsidRDefault="002D3231"/>
    <w:sectPr w:rsidR="002D3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231"/>
    <w:rsid w:val="00151F1C"/>
    <w:rsid w:val="002812FA"/>
    <w:rsid w:val="002D3231"/>
    <w:rsid w:val="003472EE"/>
    <w:rsid w:val="003D719D"/>
    <w:rsid w:val="0051760B"/>
    <w:rsid w:val="00586A1C"/>
    <w:rsid w:val="00816B32"/>
    <w:rsid w:val="00BB4F3F"/>
    <w:rsid w:val="00C23C48"/>
    <w:rsid w:val="00D36834"/>
    <w:rsid w:val="00E640C3"/>
    <w:rsid w:val="00F873D5"/>
    <w:rsid w:val="00FE4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9DC4C3-B616-4DAB-81F7-6E68EE8B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D3231"/>
    <w:rPr>
      <w:b/>
      <w:bCs/>
    </w:rPr>
  </w:style>
  <w:style w:type="paragraph" w:styleId="NormalWeb">
    <w:name w:val="Normal (Web)"/>
    <w:basedOn w:val="Normal"/>
    <w:uiPriority w:val="99"/>
    <w:unhideWhenUsed/>
    <w:rsid w:val="002D3231"/>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5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4</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2017-10-22T11:02:00Z</dcterms:created>
  <dcterms:modified xsi:type="dcterms:W3CDTF">2017-10-24T10:12:00Z</dcterms:modified>
</cp:coreProperties>
</file>