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DIS-CAN-NW Coast-Stone  Bowl--Owl Face-pre 1800 2</w:t>
      </w:r>
    </w:p>
    <w:p>
      <w:pPr>
        <w:pStyle w:val="Normal"/>
        <w:rPr/>
      </w:pPr>
      <w:r>
        <w:rPr/>
        <w:drawing>
          <wp:inline distT="0" distB="0" distL="0" distR="0">
            <wp:extent cx="4988560" cy="2699385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041775" cy="194945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04335" cy="2493010"/>
            <wp:effectExtent l="0" t="0" r="0" b="0"/>
            <wp:docPr id="3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88130" cy="3982085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78555" cy="1924050"/>
            <wp:effectExtent l="0" t="0" r="0" b="0"/>
            <wp:docPr id="5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2016-04-14T10:03:00Z</dcterms:created>
  <dc:creator>owner</dc:creator>
  <dc:description/>
  <dc:language>en-US</dc:language>
  <cp:lastModifiedBy>owner</cp:lastModifiedBy>
  <dcterms:modified xsi:type="dcterms:W3CDTF">2016-04-14T10:19:00Z</dcterms:modified>
  <cp:revision>1</cp:revision>
  <dc:subject/>
  <dc:title>DIS-CAN-NW Coast-Stone  Bowl--Owl Face-pre 1800 2</dc:title>
</cp:coreProperties>
</file>