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9.jpeg" ContentType="image/jpeg"/>
  <Override PartName="/word/media/image8.jpeg" ContentType="image/jpeg"/>
  <Override PartName="/word/media/image7.jpeg" ContentType="image/jpeg"/>
  <Override PartName="/word/media/image6.jpeg" ContentType="image/jpeg"/>
  <Override PartName="/word/media/image5.jpeg" ContentType="image/jpeg"/>
  <Override PartName="/word/media/image10.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DIS-AM,S-Peru-Paracas</w:t>
      </w:r>
    </w:p>
    <w:p>
      <w:pPr>
        <w:pStyle w:val="Heading1"/>
        <w:rPr/>
      </w:pPr>
      <w:r>
        <w:rPr/>
        <w:drawing>
          <wp:inline distT="0" distB="0" distL="0" distR="0">
            <wp:extent cx="2484755" cy="4258945"/>
            <wp:effectExtent l="0" t="0" r="0" b="0"/>
            <wp:docPr id="1" name="scl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18" descr="" title=""/>
                    <pic:cNvPicPr>
                      <a:picLocks noChangeAspect="1" noChangeArrowheads="1"/>
                    </pic:cNvPicPr>
                  </pic:nvPicPr>
                  <pic:blipFill>
                    <a:blip r:embed="rId2"/>
                    <a:srcRect l="-10" t="-6" r="-10" b="-6"/>
                    <a:stretch>
                      <a:fillRect/>
                    </a:stretch>
                  </pic:blipFill>
                  <pic:spPr bwMode="auto">
                    <a:xfrm>
                      <a:off x="0" y="0"/>
                      <a:ext cx="2484755" cy="4258945"/>
                    </a:xfrm>
                    <a:prstGeom prst="rect">
                      <a:avLst/>
                    </a:prstGeom>
                  </pic:spPr>
                </pic:pic>
              </a:graphicData>
            </a:graphic>
          </wp:inline>
        </w:drawing>
      </w:r>
      <w:r>
        <w:rPr/>
        <w:drawing>
          <wp:inline distT="0" distB="0" distL="0" distR="0">
            <wp:extent cx="2224405" cy="3283585"/>
            <wp:effectExtent l="0" t="0" r="0" b="0"/>
            <wp:docPr id="2" name="icIm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Img" descr="" title=""/>
                    <pic:cNvPicPr>
                      <a:picLocks noChangeAspect="1" noChangeArrowheads="1"/>
                    </pic:cNvPicPr>
                  </pic:nvPicPr>
                  <pic:blipFill>
                    <a:blip r:embed="rId3"/>
                    <a:srcRect l="-8" t="-5" r="-8" b="-5"/>
                    <a:stretch>
                      <a:fillRect/>
                    </a:stretch>
                  </pic:blipFill>
                  <pic:spPr bwMode="auto">
                    <a:xfrm>
                      <a:off x="0" y="0"/>
                      <a:ext cx="2224405" cy="3283585"/>
                    </a:xfrm>
                    <a:prstGeom prst="rect">
                      <a:avLst/>
                    </a:prstGeom>
                  </pic:spPr>
                </pic:pic>
              </a:graphicData>
            </a:graphic>
          </wp:inline>
        </w:drawing>
      </w:r>
      <w:r>
        <w:rPr/>
        <w:t xml:space="preserve"> </w:t>
      </w:r>
      <w:r>
        <w:rPr/>
        <w:drawing>
          <wp:inline distT="0" distB="0" distL="0" distR="0">
            <wp:extent cx="2186305" cy="3168650"/>
            <wp:effectExtent l="0" t="0" r="0" b="0"/>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4"/>
                    <a:srcRect l="-8" t="-5" r="-8" b="-5"/>
                    <a:stretch>
                      <a:fillRect/>
                    </a:stretch>
                  </pic:blipFill>
                  <pic:spPr bwMode="auto">
                    <a:xfrm>
                      <a:off x="0" y="0"/>
                      <a:ext cx="2186305" cy="3168650"/>
                    </a:xfrm>
                    <a:prstGeom prst="rect">
                      <a:avLst/>
                    </a:prstGeom>
                  </pic:spPr>
                </pic:pic>
              </a:graphicData>
            </a:graphic>
          </wp:inline>
        </w:drawing>
      </w:r>
    </w:p>
    <w:p>
      <w:pPr>
        <w:pStyle w:val="P1"/>
        <w:rPr/>
      </w:pPr>
      <w:r>
        <w:rPr>
          <w:rStyle w:val="S1"/>
        </w:rPr>
        <w:t>Precolumbian Paracas Terra Cotta figure Peru</w:t>
      </w:r>
    </w:p>
    <w:p>
      <w:pPr>
        <w:pStyle w:val="P1"/>
        <w:rPr/>
      </w:pPr>
      <w:r>
        <w:rPr>
          <w:rStyle w:val="S1"/>
        </w:rPr>
        <w:t>Esman collection</w:t>
      </w:r>
    </w:p>
    <w:p>
      <w:pPr>
        <w:pStyle w:val="P1"/>
        <w:rPr/>
      </w:pPr>
      <w:r>
        <w:rPr>
          <w:rStyle w:val="S1"/>
        </w:rPr>
        <w:t xml:space="preserve">Purchased 1950 s  </w:t>
      </w:r>
      <w:r>
        <w:rPr>
          <w:rStyle w:val="S2"/>
        </w:rPr>
        <w:t>4" tall</w:t>
      </w:r>
    </w:p>
    <w:p>
      <w:pPr>
        <w:pStyle w:val="NormalWeb"/>
        <w:rPr/>
      </w:pPr>
      <w:r>
        <w:rPr/>
        <w:t xml:space="preserve">The </w:t>
      </w:r>
      <w:r>
        <w:rPr>
          <w:b/>
          <w:bCs/>
        </w:rPr>
        <w:t>Paracas culture</w:t>
      </w:r>
      <w:r>
        <w:rPr/>
        <w:t xml:space="preserve"> was an </w:t>
      </w:r>
      <w:hyperlink r:id="rId5">
        <w:r>
          <w:rPr>
            <w:rStyle w:val="InternetLink"/>
          </w:rPr>
          <w:t>Andean</w:t>
        </w:r>
      </w:hyperlink>
      <w:r>
        <w:rPr/>
        <w:t xml:space="preserve"> society between approximately 800 BCE and 100 BCE, with an extensive knowledge of </w:t>
      </w:r>
      <w:hyperlink r:id="rId6">
        <w:r>
          <w:rPr>
            <w:rStyle w:val="InternetLink"/>
          </w:rPr>
          <w:t>irrigation</w:t>
        </w:r>
      </w:hyperlink>
      <w:r>
        <w:rPr/>
        <w:t xml:space="preserve"> and water management and significant contributions in the textile arts. It was located in what today is the </w:t>
      </w:r>
      <w:hyperlink r:id="rId7">
        <w:r>
          <w:rPr>
            <w:rStyle w:val="InternetLink"/>
          </w:rPr>
          <w:t>Ica Region</w:t>
        </w:r>
      </w:hyperlink>
      <w:r>
        <w:rPr/>
        <w:t xml:space="preserve"> of </w:t>
      </w:r>
      <w:hyperlink r:id="rId8">
        <w:r>
          <w:rPr>
            <w:rStyle w:val="InternetLink"/>
          </w:rPr>
          <w:t>Peru</w:t>
        </w:r>
      </w:hyperlink>
      <w:r>
        <w:rPr/>
        <w:t xml:space="preserve">. Most information about the lives of the Paracas people comes from excavations at the large seaside Paracas </w:t>
      </w:r>
      <w:hyperlink r:id="rId9">
        <w:r>
          <w:rPr>
            <w:rStyle w:val="InternetLink"/>
          </w:rPr>
          <w:t>site</w:t>
        </w:r>
      </w:hyperlink>
      <w:r>
        <w:rPr/>
        <w:t xml:space="preserve"> on the Paracas Peninsula, first investigated by the Peruvian archaeologist </w:t>
      </w:r>
      <w:hyperlink r:id="rId10">
        <w:r>
          <w:rPr>
            <w:rStyle w:val="InternetLink"/>
          </w:rPr>
          <w:t>Julio Tello</w:t>
        </w:r>
      </w:hyperlink>
      <w:r>
        <w:rPr/>
        <w:t xml:space="preserve"> in the 1920s.</w:t>
      </w:r>
    </w:p>
    <w:p>
      <w:pPr>
        <w:pStyle w:val="NormalWeb"/>
        <w:rPr/>
      </w:pPr>
      <w:r>
        <w:rPr/>
        <w:t xml:space="preserve">The </w:t>
      </w:r>
      <w:r>
        <w:rPr>
          <w:i/>
          <w:iCs/>
        </w:rPr>
        <w:t>Paracas Cavernas</w:t>
      </w:r>
      <w:r>
        <w:rPr/>
        <w:t xml:space="preserve"> are </w:t>
      </w:r>
      <w:hyperlink r:id="rId11">
        <w:r>
          <w:rPr>
            <w:rStyle w:val="InternetLink"/>
          </w:rPr>
          <w:t>shaft tombs</w:t>
        </w:r>
      </w:hyperlink>
      <w:r>
        <w:rPr/>
        <w:t xml:space="preserve"> set into the top of Cerro Colorado, each containing multiple burials. There is evidence that these tombs were reused over centuries. In some cases, the heads of the deceased were taken out, apparently for rituals, and later reburied. The associated ceramics include incised </w:t>
      </w:r>
      <w:hyperlink r:id="rId12">
        <w:r>
          <w:rPr>
            <w:rStyle w:val="InternetLink"/>
          </w:rPr>
          <w:t>polychrome</w:t>
        </w:r>
      </w:hyperlink>
      <w:r>
        <w:rPr/>
        <w:t xml:space="preserve">, "negative" resist decoration and other wares of the Paracas tradition. The associated textiles include many complex </w:t>
      </w:r>
      <w:hyperlink r:id="rId13">
        <w:r>
          <w:rPr>
            <w:rStyle w:val="InternetLink"/>
          </w:rPr>
          <w:t>weave</w:t>
        </w:r>
      </w:hyperlink>
      <w:r>
        <w:rPr/>
        <w:t xml:space="preserve"> structures as well as elaborate plaiting and knotting techniques.</w:t>
      </w:r>
    </w:p>
    <w:p>
      <w:pPr>
        <w:pStyle w:val="NormalWeb"/>
        <w:rPr/>
      </w:pPr>
      <w:r>
        <w:rPr/>
        <w:t xml:space="preserve">The </w:t>
      </w:r>
      <w:hyperlink r:id="rId14">
        <w:r>
          <w:rPr>
            <w:rStyle w:val="InternetLink"/>
          </w:rPr>
          <w:t>necropolis</w:t>
        </w:r>
      </w:hyperlink>
      <w:r>
        <w:rPr/>
        <w:t xml:space="preserve"> of </w:t>
      </w:r>
      <w:r>
        <w:rPr>
          <w:i/>
          <w:iCs/>
        </w:rPr>
        <w:t>Wari Kayan</w:t>
      </w:r>
      <w:r>
        <w:rPr/>
        <w:t xml:space="preserve"> consisted of two clusters of hundreds of burials set closely together inside and around abandoned buildings on the steep north slope of Cerro Colorado. The associated ceramics are very fine plain wares, some with white and red slips and other with pattern-burnished decoration, and other wares of the Topara tradition. Each burial consisted of a conical textile-wrapped bundle, most containing a seated individual facing north across the bay of Paracas, next to offerings such as ceramics, foodstuffs, baskets and weapons. Each body was bound with cord to hold it in a seated position, before being wrapped in many layers of intricate, ornate, and finely woven textiles. The Paracas Necropolis embroideries are now known as some of the finest ever produced by </w:t>
      </w:r>
      <w:hyperlink r:id="rId15">
        <w:r>
          <w:rPr>
            <w:rStyle w:val="InternetLink"/>
          </w:rPr>
          <w:t>Pre-Columbian</w:t>
        </w:r>
      </w:hyperlink>
      <w:r>
        <w:rPr/>
        <w:t xml:space="preserve"> Andean societies, and are the primary works of art by which Paracas is known. Burials at the necropolis of </w:t>
      </w:r>
      <w:r>
        <w:rPr>
          <w:i/>
          <w:iCs/>
        </w:rPr>
        <w:t>Wari Kayan</w:t>
      </w:r>
      <w:r>
        <w:rPr/>
        <w:t xml:space="preserve"> continued until about 250 CE, and many of the mortuary bundles include textiles like those of early Nazca.</w:t>
      </w:r>
    </w:p>
    <w:p>
      <w:pPr>
        <w:pStyle w:val="Normal"/>
        <w:rPr>
          <w:color w:val="0000FF"/>
        </w:rPr>
      </w:pPr>
      <w:r>
        <w:rPr>
          <w:color w:val="0000FF"/>
        </w:rPr>
        <w:drawing>
          <wp:inline distT="0" distB="0" distL="0" distR="0">
            <wp:extent cx="2794000" cy="3860800"/>
            <wp:effectExtent l="0" t="0" r="0" b="0"/>
            <wp:docPr id="4" name="220px-Turban%2C_Paracas%2C_300_B.C.E.-100_C.E%2C34.159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0px-Turban%2C_Paracas%2C_300_B.C.E.-100_C.E%2C34.1594" descr="" title=""/>
                    <pic:cNvPicPr>
                      <a:picLocks noChangeAspect="1" noChangeArrowheads="1"/>
                    </pic:cNvPicPr>
                  </pic:nvPicPr>
                  <pic:blipFill>
                    <a:blip r:embed="rId16"/>
                    <a:srcRect l="-12" t="-9" r="-12" b="-9"/>
                    <a:stretch>
                      <a:fillRect/>
                    </a:stretch>
                  </pic:blipFill>
                  <pic:spPr bwMode="auto">
                    <a:xfrm>
                      <a:off x="0" y="0"/>
                      <a:ext cx="2794000" cy="3860800"/>
                    </a:xfrm>
                    <a:prstGeom prst="rect">
                      <a:avLst/>
                    </a:prstGeom>
                  </pic:spPr>
                </pic:pic>
              </a:graphicData>
            </a:graphic>
          </wp:inline>
        </w:drawing>
      </w:r>
    </w:p>
    <w:p>
      <w:pPr>
        <w:pStyle w:val="Normal"/>
        <w:rPr/>
      </w:pPr>
      <w:r>
        <w:rPr>
          <w:i/>
          <w:iCs/>
        </w:rPr>
        <w:t>Turban</w:t>
      </w:r>
      <w:r>
        <w:rPr/>
        <w:t xml:space="preserve">, Paracas, 300 B.C.E.-100 C.E, </w:t>
      </w:r>
      <w:hyperlink r:id="rId17">
        <w:r>
          <w:rPr>
            <w:rStyle w:val="InternetLink"/>
          </w:rPr>
          <w:t>Brooklyn Museum</w:t>
        </w:r>
      </w:hyperlink>
    </w:p>
    <w:p>
      <w:pPr>
        <w:pStyle w:val="Heading2"/>
        <w:rPr/>
      </w:pPr>
      <w:r>
        <w:rPr/>
        <w:t>Contents</w:t>
      </w:r>
    </w:p>
    <w:p>
      <w:pPr>
        <w:pStyle w:val="Normal"/>
        <w:numPr>
          <w:ilvl w:val="0"/>
          <w:numId w:val="3"/>
        </w:numPr>
        <w:spacing w:before="0" w:after="0"/>
        <w:rPr/>
      </w:pPr>
      <w:r>
        <w:fldChar w:fldCharType="begin"/>
      </w:r>
      <w:r>
        <w:rPr>
          <w:rStyle w:val="Tocnumber"/>
          <w:u w:val="single"/>
        </w:rPr>
        <w:instrText> HYPERLINK "https://en.wikipedia.org/wiki/Paracas_culture" \l "Topara"</w:instrText>
      </w:r>
      <w:r>
        <w:rPr>
          <w:rStyle w:val="Tocnumber"/>
          <w:u w:val="single"/>
        </w:rPr>
        <w:fldChar w:fldCharType="separate"/>
      </w:r>
      <w:r>
        <w:rPr>
          <w:rStyle w:val="Tocnumber"/>
          <w:color w:val="0000FF"/>
          <w:u w:val="single"/>
        </w:rPr>
        <w:t>1</w:t>
      </w:r>
      <w:r>
        <w:rPr>
          <w:rStyle w:val="Tocnumber"/>
          <w:u w:val="single"/>
        </w:rPr>
        <w:fldChar w:fldCharType="end"/>
      </w:r>
      <w:r>
        <w:rPr>
          <w:rStyle w:val="InternetLink"/>
        </w:rPr>
        <w:t xml:space="preserve"> </w:t>
      </w:r>
      <w:r>
        <w:rPr>
          <w:rStyle w:val="Toctext"/>
          <w:color w:val="0000FF"/>
          <w:u w:val="single"/>
        </w:rPr>
        <w:t>Topara</w:t>
      </w:r>
    </w:p>
    <w:p>
      <w:pPr>
        <w:pStyle w:val="Normal"/>
        <w:numPr>
          <w:ilvl w:val="0"/>
          <w:numId w:val="3"/>
        </w:numPr>
        <w:spacing w:before="0" w:after="0"/>
        <w:rPr/>
      </w:pPr>
      <w:r>
        <w:fldChar w:fldCharType="begin"/>
      </w:r>
      <w:r>
        <w:rPr>
          <w:rStyle w:val="Tocnumber"/>
          <w:u w:val="single"/>
        </w:rPr>
        <w:instrText> HYPERLINK "https://en.wikipedia.org/wiki/Paracas_culture" \l "See_also"</w:instrText>
      </w:r>
      <w:r>
        <w:rPr>
          <w:rStyle w:val="Tocnumber"/>
          <w:u w:val="single"/>
        </w:rPr>
        <w:fldChar w:fldCharType="separate"/>
      </w:r>
      <w:r>
        <w:rPr>
          <w:rStyle w:val="Tocnumber"/>
          <w:color w:val="0000FF"/>
          <w:u w:val="single"/>
        </w:rPr>
        <w:t>2</w:t>
      </w:r>
      <w:r>
        <w:rPr>
          <w:rStyle w:val="Tocnumber"/>
          <w:u w:val="single"/>
        </w:rPr>
        <w:fldChar w:fldCharType="end"/>
      </w:r>
      <w:r>
        <w:rPr>
          <w:rStyle w:val="InternetLink"/>
        </w:rPr>
        <w:t xml:space="preserve"> </w:t>
      </w:r>
      <w:r>
        <w:rPr>
          <w:rStyle w:val="Toctext"/>
          <w:color w:val="0000FF"/>
          <w:u w:val="single"/>
        </w:rPr>
        <w:t>See also</w:t>
      </w:r>
    </w:p>
    <w:p>
      <w:pPr>
        <w:pStyle w:val="Normal"/>
        <w:numPr>
          <w:ilvl w:val="0"/>
          <w:numId w:val="3"/>
        </w:numPr>
        <w:spacing w:before="0" w:after="0"/>
        <w:rPr/>
      </w:pPr>
      <w:r>
        <w:fldChar w:fldCharType="begin"/>
      </w:r>
      <w:r>
        <w:rPr>
          <w:rStyle w:val="Tocnumber"/>
          <w:u w:val="single"/>
        </w:rPr>
        <w:instrText> HYPERLINK "https://en.wikipedia.org/wiki/Paracas_culture" \l "References"</w:instrText>
      </w:r>
      <w:r>
        <w:rPr>
          <w:rStyle w:val="Tocnumber"/>
          <w:u w:val="single"/>
        </w:rPr>
        <w:fldChar w:fldCharType="separate"/>
      </w:r>
      <w:r>
        <w:rPr>
          <w:rStyle w:val="Tocnumber"/>
          <w:color w:val="0000FF"/>
          <w:u w:val="single"/>
        </w:rPr>
        <w:t>3</w:t>
      </w:r>
      <w:r>
        <w:rPr>
          <w:rStyle w:val="Tocnumber"/>
          <w:u w:val="single"/>
        </w:rPr>
        <w:fldChar w:fldCharType="end"/>
      </w:r>
      <w:r>
        <w:rPr>
          <w:rStyle w:val="InternetLink"/>
        </w:rPr>
        <w:t xml:space="preserve"> </w:t>
      </w:r>
      <w:r>
        <w:rPr>
          <w:rStyle w:val="Toctext"/>
          <w:color w:val="0000FF"/>
          <w:u w:val="single"/>
        </w:rPr>
        <w:t>References</w:t>
      </w:r>
    </w:p>
    <w:p>
      <w:pPr>
        <w:pStyle w:val="Normal"/>
        <w:numPr>
          <w:ilvl w:val="0"/>
          <w:numId w:val="3"/>
        </w:numPr>
        <w:spacing w:before="0" w:after="280"/>
        <w:rPr/>
      </w:pPr>
      <w:r>
        <w:fldChar w:fldCharType="begin"/>
      </w:r>
      <w:r>
        <w:rPr>
          <w:rStyle w:val="Tocnumber"/>
          <w:u w:val="single"/>
        </w:rPr>
        <w:instrText> HYPERLINK "https://en.wikipedia.org/wiki/Paracas_culture" \l "External_links"</w:instrText>
      </w:r>
      <w:r>
        <w:rPr>
          <w:rStyle w:val="Tocnumber"/>
          <w:u w:val="single"/>
        </w:rPr>
        <w:fldChar w:fldCharType="separate"/>
      </w:r>
      <w:r>
        <w:rPr>
          <w:rStyle w:val="Tocnumber"/>
          <w:color w:val="0000FF"/>
          <w:u w:val="single"/>
        </w:rPr>
        <w:t>4</w:t>
      </w:r>
      <w:r>
        <w:rPr>
          <w:rStyle w:val="Tocnumber"/>
          <w:u w:val="single"/>
        </w:rPr>
        <w:fldChar w:fldCharType="end"/>
      </w:r>
      <w:r>
        <w:rPr>
          <w:rStyle w:val="InternetLink"/>
        </w:rPr>
        <w:t xml:space="preserve"> </w:t>
      </w:r>
      <w:r>
        <w:rPr>
          <w:rStyle w:val="Toctext"/>
          <w:color w:val="0000FF"/>
          <w:u w:val="single"/>
        </w:rPr>
        <w:t>External links</w:t>
      </w:r>
    </w:p>
    <w:p>
      <w:pPr>
        <w:pStyle w:val="Heading2"/>
        <w:rPr/>
      </w:pPr>
      <w:r>
        <w:rPr>
          <w:rStyle w:val="Mwheadline"/>
        </w:rPr>
        <w:t>Topara</w:t>
      </w:r>
    </w:p>
    <w:p>
      <w:pPr>
        <w:pStyle w:val="NormalWeb"/>
        <w:rPr/>
      </w:pPr>
      <w:r>
        <w:rPr/>
        <w:t>While the Paracas culture developed in this region between about 1200 BCE and 100 BCE, the Topará culture is thought to have "invaded" from the north at approximately 150 BCE. The two cultures then coexisted for one or more generations, both on the Paracas Peninsula and in the nearby Ica Valley, and their interaction played a key role in the development of the Nazca culture and ceramic and textile traditions. Though the elaborate textiles have only been preserved in the coastal desert sites, there is growing evidence that people associated with these cultures lived and traveled between the Pacific lowlands and the Andean highland valleys and mountain pastures to the east.</w:t>
      </w:r>
    </w:p>
    <w:p>
      <w:pPr>
        <w:pStyle w:val="Normal"/>
        <w:rPr/>
      </w:pPr>
      <w:hyperlink r:id="rId18">
        <w:r>
          <w:rPr>
            <w:rStyle w:val="InternetLink"/>
          </w:rPr>
          <w:t xml:space="preserve"> </w:t>
        </w:r>
        <w:r>
          <w:rPr>
            <w:rStyle w:val="InternetLink"/>
          </w:rPr>
          <w:drawing>
            <wp:inline distT="0" distB="0" distL="0" distR="0">
              <wp:extent cx="2876550" cy="3105150"/>
              <wp:effectExtent l="0" t="0" r="0" b="0"/>
              <wp:docPr id="5" name="scl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l19" descr="" title=""/>
                      <pic:cNvPicPr>
                        <a:picLocks noChangeAspect="1" noChangeArrowheads="1"/>
                      </pic:cNvPicPr>
                    </pic:nvPicPr>
                    <pic:blipFill>
                      <a:blip r:embed="rId19"/>
                      <a:srcRect l="-16" t="-15" r="-16" b="-15"/>
                      <a:stretch>
                        <a:fillRect/>
                      </a:stretch>
                    </pic:blipFill>
                    <pic:spPr bwMode="auto">
                      <a:xfrm>
                        <a:off x="0" y="0"/>
                        <a:ext cx="2876550" cy="3105150"/>
                      </a:xfrm>
                      <a:prstGeom prst="rect">
                        <a:avLst/>
                      </a:prstGeom>
                    </pic:spPr>
                  </pic:pic>
                </a:graphicData>
              </a:graphic>
            </wp:inline>
          </w:drawing>
        </w:r>
      </w:hyperlink>
    </w:p>
    <w:p>
      <w:pPr>
        <w:pStyle w:val="NormalWeb"/>
        <w:rPr/>
      </w:pPr>
      <w:r>
        <w:rPr/>
        <w:drawing>
          <wp:inline distT="0" distB="0" distL="0" distR="0">
            <wp:extent cx="4460240" cy="7426960"/>
            <wp:effectExtent l="0" t="0" r="0" b="0"/>
            <wp:docPr id="6" name="scl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l21" descr="" title=""/>
                    <pic:cNvPicPr>
                      <a:picLocks noChangeAspect="1" noChangeArrowheads="1"/>
                    </pic:cNvPicPr>
                  </pic:nvPicPr>
                  <pic:blipFill>
                    <a:blip r:embed="rId20"/>
                    <a:srcRect l="-8" t="-4" r="-8" b="-4"/>
                    <a:stretch>
                      <a:fillRect/>
                    </a:stretch>
                  </pic:blipFill>
                  <pic:spPr bwMode="auto">
                    <a:xfrm>
                      <a:off x="0" y="0"/>
                      <a:ext cx="4460240" cy="7426960"/>
                    </a:xfrm>
                    <a:prstGeom prst="rect">
                      <a:avLst/>
                    </a:prstGeom>
                  </pic:spPr>
                </pic:pic>
              </a:graphicData>
            </a:graphic>
          </wp:inline>
        </w:drawing>
      </w:r>
      <w:r>
        <w:rPr/>
        <w:t xml:space="preserve"> </w:t>
      </w:r>
      <w:r>
        <w:rPr/>
        <w:t>Mantle -- Peru, Paracas -- 200 BCE - 200 CE</w:t>
      </w:r>
    </w:p>
    <w:p>
      <w:pPr>
        <w:pStyle w:val="NormalWeb"/>
        <w:rPr/>
      </w:pPr>
      <w:hyperlink r:id="rId21">
        <w:r>
          <w:rPr>
            <w:rStyle w:val="InternetLink"/>
          </w:rPr>
          <w:t>LACMA</w:t>
        </w:r>
      </w:hyperlink>
      <w:r>
        <w:rPr/>
        <w:t xml:space="preserve"> textile collections</w:t>
      </w:r>
    </w:p>
    <w:p>
      <w:pPr>
        <w:pStyle w:val="Normal"/>
        <w:rPr/>
      </w:pPr>
      <w:r>
        <w:rPr/>
      </w:r>
    </w:p>
    <w:p>
      <w:pPr>
        <w:pStyle w:val="Normal"/>
        <w:rPr/>
      </w:pPr>
      <w:hyperlink r:id="rId22">
        <w:r>
          <w:rPr>
            <w:rStyle w:val="InternetLink"/>
          </w:rPr>
          <w:t>Paracas textiles</w:t>
        </w:r>
      </w:hyperlink>
      <w:r>
        <w:rPr/>
        <w:t xml:space="preserve"> at the </w:t>
      </w:r>
      <w:hyperlink r:id="rId23">
        <w:r>
          <w:rPr>
            <w:rStyle w:val="InternetLink"/>
          </w:rPr>
          <w:t>British Museum</w:t>
        </w:r>
      </w:hyperlink>
      <w:r>
        <w:rPr/>
        <w:t xml:space="preserve">. Object 24 of </w:t>
      </w:r>
      <w:hyperlink r:id="rId24">
        <w:r>
          <w:rPr>
            <w:rStyle w:val="InternetLink"/>
          </w:rPr>
          <w:t>A History of the World in 100 Objects</w:t>
        </w:r>
      </w:hyperlink>
      <w:r>
        <w:rPr/>
        <w:t>.</w:t>
      </w:r>
    </w:p>
    <w:p>
      <w:pPr>
        <w:pStyle w:val="Heading2"/>
        <w:rPr/>
      </w:pPr>
      <w:r>
        <w:rPr>
          <w:rStyle w:val="Mwheadline"/>
        </w:rPr>
        <w:t>See also</w:t>
      </w:r>
    </w:p>
    <w:p>
      <w:pPr>
        <w:pStyle w:val="Normal"/>
        <w:numPr>
          <w:ilvl w:val="0"/>
          <w:numId w:val="2"/>
        </w:numPr>
        <w:spacing w:before="0" w:after="0"/>
        <w:rPr/>
      </w:pPr>
      <w:hyperlink r:id="rId25">
        <w:r>
          <w:rPr>
            <w:rStyle w:val="InternetLink"/>
          </w:rPr>
          <w:t>Nazca culture</w:t>
        </w:r>
      </w:hyperlink>
    </w:p>
    <w:p>
      <w:pPr>
        <w:pStyle w:val="Normal"/>
        <w:numPr>
          <w:ilvl w:val="0"/>
          <w:numId w:val="2"/>
        </w:numPr>
        <w:spacing w:before="0" w:after="280"/>
        <w:rPr/>
      </w:pPr>
      <w:hyperlink r:id="rId26">
        <w:r>
          <w:rPr>
            <w:rStyle w:val="InternetLink"/>
          </w:rPr>
          <w:t>Artificial cranial deformation</w:t>
        </w:r>
      </w:hyperlink>
    </w:p>
    <w:p>
      <w:pPr>
        <w:pStyle w:val="Heading2"/>
        <w:rPr/>
      </w:pPr>
      <w:r>
        <w:rPr>
          <w:rStyle w:val="Mwheadline"/>
        </w:rPr>
        <w:t>References</w:t>
      </w:r>
    </w:p>
    <w:p>
      <w:pPr>
        <w:pStyle w:val="Normal"/>
        <w:numPr>
          <w:ilvl w:val="0"/>
          <w:numId w:val="4"/>
        </w:numPr>
        <w:spacing w:before="0" w:after="0"/>
        <w:rPr/>
      </w:pPr>
      <w:r>
        <w:rPr/>
        <w:t xml:space="preserve">Paracas Art and Architecture: Object and Context in South Coastal Peru by Anne Paul, Publisher: University Of Iowa Press, 1991 </w:t>
      </w:r>
      <w:hyperlink r:id="rId27">
        <w:r>
          <w:rPr>
            <w:rStyle w:val="InternetLink"/>
          </w:rPr>
          <w:t>ISBN 0-87745-327-6</w:t>
        </w:r>
      </w:hyperlink>
    </w:p>
    <w:p>
      <w:pPr>
        <w:pStyle w:val="Normal"/>
        <w:numPr>
          <w:ilvl w:val="0"/>
          <w:numId w:val="4"/>
        </w:numPr>
        <w:spacing w:before="0" w:after="0"/>
        <w:rPr/>
      </w:pPr>
      <w:r>
        <w:rPr/>
        <w:t xml:space="preserve">Ancient Peruvian Textiles by Ferdinand Anton, Publisher: Thames &amp; Hudson, 1987, </w:t>
      </w:r>
      <w:hyperlink r:id="rId28">
        <w:r>
          <w:rPr>
            <w:rStyle w:val="InternetLink"/>
          </w:rPr>
          <w:t>ISBN 0-500-01402-7</w:t>
        </w:r>
      </w:hyperlink>
    </w:p>
    <w:p>
      <w:pPr>
        <w:pStyle w:val="Normal"/>
        <w:numPr>
          <w:ilvl w:val="0"/>
          <w:numId w:val="4"/>
        </w:numPr>
        <w:spacing w:before="0" w:after="280"/>
        <w:rPr/>
      </w:pPr>
      <w:r>
        <w:rPr/>
        <w:t>Textile art of Peru by Jose Antoni Lavalle, Publisher: Textil Piura in the Textile (January 1, 1989), ASIN: B0021VU4DO</w:t>
      </w:r>
    </w:p>
    <w:p>
      <w:pPr>
        <w:pStyle w:val="P1"/>
        <w:rPr/>
      </w:pPr>
      <w:r>
        <w:rPr/>
      </w:r>
      <w:r>
        <w:br w:type="page"/>
      </w:r>
    </w:p>
    <w:p>
      <w:pPr>
        <w:pStyle w:val="Heading1"/>
        <w:rPr/>
      </w:pPr>
      <w:r>
        <w:rPr/>
        <w:t>Order details</w:t>
      </w:r>
    </w:p>
    <w:p>
      <w:pPr>
        <w:pStyle w:val="Heading2"/>
        <w:rPr/>
      </w:pPr>
      <w:r>
        <w:rPr/>
        <w:t>Sales order</w:t>
      </w:r>
    </w:p>
    <w:p>
      <w:pPr>
        <w:pStyle w:val="Normal"/>
        <w:rPr/>
      </w:pPr>
      <w:r>
        <w:rPr/>
        <w:t xml:space="preserve">Sold by </w:t>
      </w:r>
      <w:hyperlink r:id="rId29" w:tgtFrame="_blank">
        <w:r>
          <w:rPr>
            <w:rStyle w:val="StrongEmphasis"/>
            <w:color w:val="0000FF"/>
            <w:u w:val="single"/>
          </w:rPr>
          <w:t>bibliovendor</w:t>
        </w:r>
      </w:hyperlink>
      <w:r>
        <w:rPr/>
        <w:t xml:space="preserve"> ( </w:t>
      </w:r>
      <w:hyperlink r:id="rId30" w:tgtFrame="_blank">
        <w:r>
          <w:rPr>
            <w:rStyle w:val="InternetLink"/>
          </w:rPr>
          <w:t>863</w:t>
        </w:r>
      </w:hyperlink>
      <w:r>
        <w:rPr/>
        <w:t xml:space="preserve"> ) </w:t>
      </w:r>
    </w:p>
    <w:p>
      <w:pPr>
        <w:pStyle w:val="Heading3"/>
        <w:rPr/>
      </w:pPr>
      <w:r>
        <w:rPr/>
        <w:t xml:space="preserve">Delivery package 1 of 1 </w:t>
      </w:r>
    </w:p>
    <w:p>
      <w:pPr>
        <w:pStyle w:val="Normal"/>
        <w:rPr/>
      </w:pPr>
      <w:r>
        <w:rPr>
          <w:rStyle w:val="Ngbindingngscope"/>
        </w:rPr>
        <w:t xml:space="preserve">Estimated delivery </w:t>
      </w:r>
      <w:r>
        <w:rPr>
          <w:rStyle w:val="StrongEmphasis"/>
        </w:rPr>
        <w:t>Monday, Apr 4, 2016</w:t>
      </w:r>
      <w:r>
        <w:rPr>
          <w:rStyle w:val="Ngbindingngscope"/>
        </w:rPr>
        <w:t xml:space="preserve"> </w:t>
      </w:r>
      <w:r>
        <w:rPr>
          <w:rStyle w:val="StrongEmphasis"/>
        </w:rPr>
        <w:t>- Friday, Apr 8, 2016</w:t>
      </w:r>
      <w:r>
        <w:rPr>
          <w:rStyle w:val="Ngbindingngscope"/>
        </w:rPr>
        <w:t xml:space="preserve"> </w:t>
      </w:r>
    </w:p>
    <w:p>
      <w:pPr>
        <w:pStyle w:val="Normal"/>
        <w:rPr/>
      </w:pPr>
      <w:r>
        <w:rPr/>
        <w:drawing>
          <wp:inline distT="0" distB="0" distL="0" distR="0">
            <wp:extent cx="4305300" cy="6350000"/>
            <wp:effectExtent l="0" t="0" r="0" b="0"/>
            <wp:docPr id="7" name="272171801797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72171801797_itemImage" descr="" title=""/>
                    <pic:cNvPicPr>
                      <a:picLocks noChangeAspect="1" noChangeArrowheads="1"/>
                    </pic:cNvPicPr>
                  </pic:nvPicPr>
                  <pic:blipFill>
                    <a:blip r:embed="rId31"/>
                    <a:srcRect l="-8" t="-5" r="-8" b="-5"/>
                    <a:stretch>
                      <a:fillRect/>
                    </a:stretch>
                  </pic:blipFill>
                  <pic:spPr bwMode="auto">
                    <a:xfrm>
                      <a:off x="0" y="0"/>
                      <a:ext cx="4305300" cy="6350000"/>
                    </a:xfrm>
                    <a:prstGeom prst="rect">
                      <a:avLst/>
                    </a:prstGeom>
                  </pic:spPr>
                </pic:pic>
              </a:graphicData>
            </a:graphic>
          </wp:inline>
        </w:drawing>
      </w:r>
    </w:p>
    <w:p>
      <w:pPr>
        <w:pStyle w:val="Heading4"/>
        <w:spacing w:lineRule="atLeast" w:line="369"/>
        <w:ind w:start="92" w:hanging="0"/>
        <w:rPr/>
      </w:pPr>
      <w:hyperlink r:id="rId32" w:tgtFrame="_blank">
        <w:r>
          <w:rPr>
            <w:rStyle w:val="InternetLink"/>
          </w:rPr>
          <w:t>Precolumbian Paracas Terra Cotta Figure Peru Esman Collection</w:t>
        </w:r>
      </w:hyperlink>
      <w:r>
        <w:rPr/>
        <w:t xml:space="preserve"> </w:t>
      </w:r>
    </w:p>
    <w:tbl>
      <w:tblPr>
        <w:tblW w:w="4331" w:type="dxa"/>
        <w:jc w:val="start"/>
        <w:tblInd w:w="-60" w:type="dxa"/>
        <w:tblBorders/>
        <w:tblCellMar>
          <w:top w:w="15" w:type="dxa"/>
          <w:start w:w="15" w:type="dxa"/>
          <w:bottom w:w="15" w:type="dxa"/>
          <w:end w:w="15" w:type="dxa"/>
        </w:tblCellMar>
      </w:tblPr>
      <w:tblGrid>
        <w:gridCol w:w="1712"/>
        <w:gridCol w:w="2619"/>
      </w:tblGrid>
      <w:tr>
        <w:trPr/>
        <w:tc>
          <w:tcPr>
            <w:tcW w:w="1712" w:type="dxa"/>
            <w:tcBorders/>
            <w:shd w:fill="auto" w:val="clear"/>
            <w:vAlign w:val="center"/>
          </w:tcPr>
          <w:p>
            <w:pPr>
              <w:pStyle w:val="Normal"/>
              <w:rPr/>
            </w:pPr>
            <w:r>
              <w:rPr/>
              <w:t>Item price</w:t>
            </w:r>
          </w:p>
        </w:tc>
        <w:tc>
          <w:tcPr>
            <w:tcW w:w="2619" w:type="dxa"/>
            <w:tcBorders/>
            <w:shd w:fill="auto" w:val="clear"/>
            <w:vAlign w:val="center"/>
          </w:tcPr>
          <w:p>
            <w:pPr>
              <w:pStyle w:val="Normal"/>
              <w:rPr/>
            </w:pPr>
            <w:r>
              <w:rPr/>
              <w:t>$149.00</w:t>
            </w:r>
          </w:p>
        </w:tc>
      </w:tr>
      <w:tr>
        <w:trPr/>
        <w:tc>
          <w:tcPr>
            <w:tcW w:w="1712" w:type="dxa"/>
            <w:tcBorders/>
            <w:shd w:fill="auto" w:val="clear"/>
            <w:vAlign w:val="center"/>
          </w:tcPr>
          <w:p>
            <w:pPr>
              <w:pStyle w:val="Normal"/>
              <w:rPr/>
            </w:pPr>
            <w:r>
              <w:rPr/>
              <w:t>Quantity</w:t>
            </w:r>
          </w:p>
        </w:tc>
        <w:tc>
          <w:tcPr>
            <w:tcW w:w="2619" w:type="dxa"/>
            <w:tcBorders/>
            <w:shd w:fill="auto" w:val="clear"/>
            <w:vAlign w:val="center"/>
          </w:tcPr>
          <w:p>
            <w:pPr>
              <w:pStyle w:val="Normal"/>
              <w:rPr/>
            </w:pPr>
            <w:r>
              <w:rPr/>
              <w:t>1</w:t>
            </w:r>
          </w:p>
        </w:tc>
      </w:tr>
      <w:tr>
        <w:trPr/>
        <w:tc>
          <w:tcPr>
            <w:tcW w:w="1712" w:type="dxa"/>
            <w:tcBorders/>
            <w:shd w:fill="auto" w:val="clear"/>
            <w:vAlign w:val="center"/>
          </w:tcPr>
          <w:p>
            <w:pPr>
              <w:pStyle w:val="Normal"/>
              <w:rPr/>
            </w:pPr>
            <w:r>
              <w:rPr/>
              <w:t>Item number</w:t>
            </w:r>
          </w:p>
        </w:tc>
        <w:tc>
          <w:tcPr>
            <w:tcW w:w="2619" w:type="dxa"/>
            <w:tcBorders/>
            <w:shd w:fill="auto" w:val="clear"/>
            <w:vAlign w:val="center"/>
          </w:tcPr>
          <w:p>
            <w:pPr>
              <w:pStyle w:val="Normal"/>
              <w:rPr/>
            </w:pPr>
            <w:r>
              <w:rPr/>
              <w:t>272171801797</w:t>
            </w:r>
          </w:p>
        </w:tc>
      </w:tr>
      <w:tr>
        <w:trPr/>
        <w:tc>
          <w:tcPr>
            <w:tcW w:w="1712" w:type="dxa"/>
            <w:tcBorders/>
            <w:shd w:fill="auto" w:val="clear"/>
            <w:vAlign w:val="center"/>
          </w:tcPr>
          <w:p>
            <w:pPr>
              <w:pStyle w:val="Normal"/>
              <w:rPr/>
            </w:pPr>
            <w:r>
              <w:rPr/>
              <w:t>Shipping service</w:t>
            </w:r>
          </w:p>
        </w:tc>
        <w:tc>
          <w:tcPr>
            <w:tcW w:w="2619" w:type="dxa"/>
            <w:tcBorders/>
            <w:shd w:fill="auto" w:val="clear"/>
            <w:vAlign w:val="center"/>
          </w:tcPr>
          <w:p>
            <w:pPr>
              <w:pStyle w:val="Normal"/>
              <w:rPr/>
            </w:pPr>
            <w:r>
              <w:rPr>
                <w:rStyle w:val="Ngbindingngscope"/>
              </w:rPr>
              <w:t>USPS First Class Package</w:t>
            </w:r>
            <w:r>
              <w:rPr>
                <w:rStyle w:val="Ngscope"/>
              </w:rPr>
              <w:t xml:space="preserve"> </w:t>
            </w:r>
          </w:p>
        </w:tc>
      </w:tr>
    </w:tbl>
    <w:p>
      <w:pPr>
        <w:pStyle w:val="Heading2"/>
        <w:rPr/>
      </w:pPr>
      <w:r>
        <w:rPr/>
        <w:t>Sales order</w:t>
      </w:r>
    </w:p>
    <w:p>
      <w:pPr>
        <w:pStyle w:val="Normal"/>
        <w:rPr/>
      </w:pPr>
      <w:r>
        <w:rPr/>
        <w:t xml:space="preserve">Sold by </w:t>
      </w:r>
      <w:hyperlink r:id="rId33" w:tgtFrame="_blank">
        <w:r>
          <w:rPr>
            <w:rStyle w:val="StrongEmphasis"/>
            <w:color w:val="0000FF"/>
            <w:u w:val="single"/>
          </w:rPr>
          <w:t>flapast</w:t>
        </w:r>
      </w:hyperlink>
      <w:r>
        <w:rPr/>
        <w:t xml:space="preserve"> ( </w:t>
      </w:r>
      <w:hyperlink r:id="rId34" w:tgtFrame="_blank">
        <w:r>
          <w:rPr>
            <w:rStyle w:val="InternetLink"/>
          </w:rPr>
          <w:t>13390</w:t>
        </w:r>
      </w:hyperlink>
      <w:r>
        <w:rPr/>
        <w:t xml:space="preserve"> ) </w:t>
      </w:r>
    </w:p>
    <w:p>
      <w:pPr>
        <w:pStyle w:val="Heading3"/>
        <w:rPr/>
      </w:pPr>
      <w:r>
        <w:rPr/>
        <w:t xml:space="preserve">Delivery package 1 of 1 </w:t>
      </w:r>
    </w:p>
    <w:p>
      <w:pPr>
        <w:pStyle w:val="Normal"/>
        <w:rPr/>
      </w:pPr>
      <w:r>
        <w:rPr>
          <w:rStyle w:val="Ngbindingngscope"/>
        </w:rPr>
        <w:t xml:space="preserve">Delivered on </w:t>
      </w:r>
      <w:r>
        <w:rPr>
          <w:rStyle w:val="StrongEmphasis"/>
        </w:rPr>
        <w:t>Wednesday, Mar 30, 2016</w:t>
      </w:r>
      <w:r>
        <w:rPr>
          <w:rStyle w:val="Ngbindingngscope"/>
        </w:rPr>
        <w:t xml:space="preserve"> </w:t>
      </w:r>
    </w:p>
    <w:p>
      <w:pPr>
        <w:pStyle w:val="Normal"/>
        <w:rPr/>
      </w:pPr>
      <w:r>
        <w:rPr/>
        <w:drawing>
          <wp:inline distT="0" distB="0" distL="0" distR="0">
            <wp:extent cx="4762500" cy="4762500"/>
            <wp:effectExtent l="0" t="0" r="0" b="0"/>
            <wp:docPr id="8" name="262339688374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62339688374_itemImage" descr="" title=""/>
                    <pic:cNvPicPr>
                      <a:picLocks noChangeAspect="1" noChangeArrowheads="1"/>
                    </pic:cNvPicPr>
                  </pic:nvPicPr>
                  <pic:blipFill>
                    <a:blip r:embed="rId35"/>
                    <a:srcRect l="-5" t="-5" r="-5" b="-5"/>
                    <a:stretch>
                      <a:fillRect/>
                    </a:stretch>
                  </pic:blipFill>
                  <pic:spPr bwMode="auto">
                    <a:xfrm>
                      <a:off x="0" y="0"/>
                      <a:ext cx="4762500" cy="4762500"/>
                    </a:xfrm>
                    <a:prstGeom prst="rect">
                      <a:avLst/>
                    </a:prstGeom>
                  </pic:spPr>
                </pic:pic>
              </a:graphicData>
            </a:graphic>
          </wp:inline>
        </w:drawing>
      </w:r>
    </w:p>
    <w:p>
      <w:pPr>
        <w:pStyle w:val="Heading4"/>
        <w:spacing w:lineRule="atLeast" w:line="369"/>
        <w:ind w:start="92" w:hanging="0"/>
        <w:rPr/>
      </w:pPr>
      <w:hyperlink r:id="rId36" w:tgtFrame="_blank">
        <w:r>
          <w:rPr>
            <w:rStyle w:val="InternetLink"/>
          </w:rPr>
          <w:t>Taino Owl Face Cohoba Hallucinogenic Inhaler pre-Columbian</w:t>
        </w:r>
      </w:hyperlink>
      <w:r>
        <w:rPr/>
        <w:t xml:space="preserve"> </w:t>
      </w:r>
    </w:p>
    <w:tbl>
      <w:tblPr>
        <w:tblW w:w="4331" w:type="dxa"/>
        <w:jc w:val="start"/>
        <w:tblInd w:w="-60" w:type="dxa"/>
        <w:tblBorders/>
        <w:tblCellMar>
          <w:top w:w="15" w:type="dxa"/>
          <w:start w:w="15" w:type="dxa"/>
          <w:bottom w:w="15" w:type="dxa"/>
          <w:end w:w="15" w:type="dxa"/>
        </w:tblCellMar>
      </w:tblPr>
      <w:tblGrid>
        <w:gridCol w:w="1712"/>
        <w:gridCol w:w="2619"/>
      </w:tblGrid>
      <w:tr>
        <w:trPr/>
        <w:tc>
          <w:tcPr>
            <w:tcW w:w="1712" w:type="dxa"/>
            <w:tcBorders/>
            <w:shd w:fill="auto" w:val="clear"/>
            <w:vAlign w:val="center"/>
          </w:tcPr>
          <w:p>
            <w:pPr>
              <w:pStyle w:val="Normal"/>
              <w:rPr/>
            </w:pPr>
            <w:r>
              <w:rPr/>
              <w:t>Item price</w:t>
            </w:r>
          </w:p>
        </w:tc>
        <w:tc>
          <w:tcPr>
            <w:tcW w:w="2619" w:type="dxa"/>
            <w:tcBorders/>
            <w:shd w:fill="auto" w:val="clear"/>
            <w:vAlign w:val="center"/>
          </w:tcPr>
          <w:p>
            <w:pPr>
              <w:pStyle w:val="Normal"/>
              <w:rPr/>
            </w:pPr>
            <w:r>
              <w:rPr/>
              <w:t>$112.50</w:t>
            </w:r>
          </w:p>
        </w:tc>
      </w:tr>
      <w:tr>
        <w:trPr/>
        <w:tc>
          <w:tcPr>
            <w:tcW w:w="1712" w:type="dxa"/>
            <w:tcBorders/>
            <w:shd w:fill="auto" w:val="clear"/>
            <w:vAlign w:val="center"/>
          </w:tcPr>
          <w:p>
            <w:pPr>
              <w:pStyle w:val="Normal"/>
              <w:rPr/>
            </w:pPr>
            <w:r>
              <w:rPr/>
              <w:t>Quantity</w:t>
            </w:r>
          </w:p>
        </w:tc>
        <w:tc>
          <w:tcPr>
            <w:tcW w:w="2619" w:type="dxa"/>
            <w:tcBorders/>
            <w:shd w:fill="auto" w:val="clear"/>
            <w:vAlign w:val="center"/>
          </w:tcPr>
          <w:p>
            <w:pPr>
              <w:pStyle w:val="Normal"/>
              <w:rPr/>
            </w:pPr>
            <w:r>
              <w:rPr/>
              <w:t>1</w:t>
            </w:r>
          </w:p>
        </w:tc>
      </w:tr>
      <w:tr>
        <w:trPr/>
        <w:tc>
          <w:tcPr>
            <w:tcW w:w="1712" w:type="dxa"/>
            <w:tcBorders/>
            <w:shd w:fill="auto" w:val="clear"/>
            <w:vAlign w:val="center"/>
          </w:tcPr>
          <w:p>
            <w:pPr>
              <w:pStyle w:val="Normal"/>
              <w:rPr/>
            </w:pPr>
            <w:r>
              <w:rPr/>
              <w:t>Item number</w:t>
            </w:r>
          </w:p>
        </w:tc>
        <w:tc>
          <w:tcPr>
            <w:tcW w:w="2619" w:type="dxa"/>
            <w:tcBorders/>
            <w:shd w:fill="auto" w:val="clear"/>
            <w:vAlign w:val="center"/>
          </w:tcPr>
          <w:p>
            <w:pPr>
              <w:pStyle w:val="Normal"/>
              <w:rPr/>
            </w:pPr>
            <w:r>
              <w:rPr/>
              <w:t>262339688374</w:t>
            </w:r>
          </w:p>
        </w:tc>
      </w:tr>
      <w:tr>
        <w:trPr/>
        <w:tc>
          <w:tcPr>
            <w:tcW w:w="1712" w:type="dxa"/>
            <w:tcBorders/>
            <w:shd w:fill="auto" w:val="clear"/>
            <w:vAlign w:val="center"/>
          </w:tcPr>
          <w:p>
            <w:pPr>
              <w:pStyle w:val="Normal"/>
              <w:rPr/>
            </w:pPr>
            <w:r>
              <w:rPr/>
              <w:t>Shipping service</w:t>
            </w:r>
          </w:p>
        </w:tc>
        <w:tc>
          <w:tcPr>
            <w:tcW w:w="2619" w:type="dxa"/>
            <w:tcBorders/>
            <w:shd w:fill="auto" w:val="clear"/>
            <w:vAlign w:val="center"/>
          </w:tcPr>
          <w:p>
            <w:pPr>
              <w:pStyle w:val="Normal"/>
              <w:rPr/>
            </w:pPr>
            <w:r>
              <w:rPr>
                <w:rStyle w:val="Ngbindingngscope"/>
              </w:rPr>
              <w:t>USPS First Class Package</w:t>
            </w:r>
            <w:r>
              <w:rPr>
                <w:rStyle w:val="Ngscope"/>
              </w:rPr>
              <w:t xml:space="preserve"> </w:t>
            </w:r>
          </w:p>
        </w:tc>
      </w:tr>
    </w:tbl>
    <w:p>
      <w:pPr>
        <w:pStyle w:val="Heading2"/>
        <w:rPr/>
      </w:pPr>
      <w:r>
        <w:rPr/>
        <w:t>Sales order</w:t>
      </w:r>
    </w:p>
    <w:p>
      <w:pPr>
        <w:pStyle w:val="Normal"/>
        <w:rPr/>
      </w:pPr>
      <w:r>
        <w:rPr/>
        <w:t xml:space="preserve">Sold by </w:t>
      </w:r>
      <w:hyperlink r:id="rId37" w:tgtFrame="_blank">
        <w:r>
          <w:rPr>
            <w:rStyle w:val="StrongEmphasis"/>
            <w:color w:val="0000FF"/>
            <w:u w:val="single"/>
          </w:rPr>
          <w:t>induringart</w:t>
        </w:r>
      </w:hyperlink>
      <w:r>
        <w:rPr/>
        <w:t xml:space="preserve"> ( </w:t>
      </w:r>
      <w:hyperlink r:id="rId38" w:tgtFrame="_blank">
        <w:r>
          <w:rPr>
            <w:rStyle w:val="InternetLink"/>
          </w:rPr>
          <w:t>1509</w:t>
        </w:r>
      </w:hyperlink>
      <w:r>
        <w:rPr/>
        <w:t xml:space="preserve"> ) </w:t>
      </w:r>
    </w:p>
    <w:p>
      <w:pPr>
        <w:pStyle w:val="Heading3"/>
        <w:rPr/>
      </w:pPr>
      <w:r>
        <w:rPr/>
        <w:t xml:space="preserve">Delivery package 1 of 1 </w:t>
      </w:r>
    </w:p>
    <w:p>
      <w:pPr>
        <w:pStyle w:val="Normal"/>
        <w:rPr/>
      </w:pPr>
      <w:r>
        <w:rPr>
          <w:rStyle w:val="Ngbindingngscope"/>
        </w:rPr>
        <w:t xml:space="preserve">Delivered on </w:t>
      </w:r>
      <w:r>
        <w:rPr>
          <w:rStyle w:val="StrongEmphasis"/>
        </w:rPr>
        <w:t>Wednesday, Mar 30, 2016</w:t>
      </w:r>
      <w:r>
        <w:rPr>
          <w:rStyle w:val="Ngbindingngscope"/>
        </w:rPr>
        <w:t xml:space="preserve"> </w:t>
      </w:r>
    </w:p>
    <w:p>
      <w:pPr>
        <w:pStyle w:val="Normal"/>
        <w:rPr/>
      </w:pPr>
      <w:r>
        <w:rPr/>
        <w:drawing>
          <wp:inline distT="0" distB="0" distL="0" distR="0">
            <wp:extent cx="3810000" cy="2533650"/>
            <wp:effectExtent l="0" t="0" r="0" b="0"/>
            <wp:docPr id="9" name="131758874176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31758874176_itemImage" descr="" title=""/>
                    <pic:cNvPicPr>
                      <a:picLocks noChangeAspect="1" noChangeArrowheads="1"/>
                    </pic:cNvPicPr>
                  </pic:nvPicPr>
                  <pic:blipFill>
                    <a:blip r:embed="rId39"/>
                    <a:srcRect l="-7" t="-10" r="-7" b="-10"/>
                    <a:stretch>
                      <a:fillRect/>
                    </a:stretch>
                  </pic:blipFill>
                  <pic:spPr bwMode="auto">
                    <a:xfrm>
                      <a:off x="0" y="0"/>
                      <a:ext cx="3810000" cy="2533650"/>
                    </a:xfrm>
                    <a:prstGeom prst="rect">
                      <a:avLst/>
                    </a:prstGeom>
                  </pic:spPr>
                </pic:pic>
              </a:graphicData>
            </a:graphic>
          </wp:inline>
        </w:drawing>
      </w:r>
    </w:p>
    <w:p>
      <w:pPr>
        <w:pStyle w:val="Heading4"/>
        <w:spacing w:lineRule="atLeast" w:line="369"/>
        <w:ind w:start="92" w:hanging="0"/>
        <w:rPr/>
      </w:pPr>
      <w:hyperlink r:id="rId40" w:tgtFrame="_blank">
        <w:r>
          <w:rPr>
            <w:rStyle w:val="InternetLink"/>
          </w:rPr>
          <w:t>Museum Quality pre columbian Teotihuacan Stone Idol/Figure</w:t>
        </w:r>
      </w:hyperlink>
      <w:r>
        <w:rPr/>
        <w:t xml:space="preserve"> </w:t>
      </w:r>
    </w:p>
    <w:tbl>
      <w:tblPr>
        <w:tblW w:w="3597" w:type="dxa"/>
        <w:jc w:val="start"/>
        <w:tblInd w:w="-60" w:type="dxa"/>
        <w:tblBorders/>
        <w:tblCellMar>
          <w:top w:w="15" w:type="dxa"/>
          <w:start w:w="15" w:type="dxa"/>
          <w:bottom w:w="15" w:type="dxa"/>
          <w:end w:w="15" w:type="dxa"/>
        </w:tblCellMar>
      </w:tblPr>
      <w:tblGrid>
        <w:gridCol w:w="1712"/>
        <w:gridCol w:w="1885"/>
      </w:tblGrid>
      <w:tr>
        <w:trPr/>
        <w:tc>
          <w:tcPr>
            <w:tcW w:w="1712" w:type="dxa"/>
            <w:tcBorders/>
            <w:shd w:fill="auto" w:val="clear"/>
            <w:vAlign w:val="center"/>
          </w:tcPr>
          <w:p>
            <w:pPr>
              <w:pStyle w:val="Normal"/>
              <w:rPr/>
            </w:pPr>
            <w:r>
              <w:rPr/>
              <w:t>Item price</w:t>
            </w:r>
          </w:p>
        </w:tc>
        <w:tc>
          <w:tcPr>
            <w:tcW w:w="1885" w:type="dxa"/>
            <w:tcBorders/>
            <w:shd w:fill="auto" w:val="clear"/>
            <w:vAlign w:val="center"/>
          </w:tcPr>
          <w:p>
            <w:pPr>
              <w:pStyle w:val="Normal"/>
              <w:rPr/>
            </w:pPr>
            <w:r>
              <w:rPr/>
              <w:t>$153.50</w:t>
            </w:r>
          </w:p>
        </w:tc>
      </w:tr>
      <w:tr>
        <w:trPr/>
        <w:tc>
          <w:tcPr>
            <w:tcW w:w="1712" w:type="dxa"/>
            <w:tcBorders/>
            <w:shd w:fill="auto" w:val="clear"/>
            <w:vAlign w:val="center"/>
          </w:tcPr>
          <w:p>
            <w:pPr>
              <w:pStyle w:val="Normal"/>
              <w:rPr/>
            </w:pPr>
            <w:r>
              <w:rPr/>
              <w:t>Quantity</w:t>
            </w:r>
          </w:p>
        </w:tc>
        <w:tc>
          <w:tcPr>
            <w:tcW w:w="1885" w:type="dxa"/>
            <w:tcBorders/>
            <w:shd w:fill="auto" w:val="clear"/>
            <w:vAlign w:val="center"/>
          </w:tcPr>
          <w:p>
            <w:pPr>
              <w:pStyle w:val="Normal"/>
              <w:rPr/>
            </w:pPr>
            <w:r>
              <w:rPr/>
              <w:t>1</w:t>
            </w:r>
          </w:p>
        </w:tc>
      </w:tr>
      <w:tr>
        <w:trPr/>
        <w:tc>
          <w:tcPr>
            <w:tcW w:w="1712" w:type="dxa"/>
            <w:tcBorders/>
            <w:shd w:fill="auto" w:val="clear"/>
            <w:vAlign w:val="center"/>
          </w:tcPr>
          <w:p>
            <w:pPr>
              <w:pStyle w:val="Normal"/>
              <w:rPr/>
            </w:pPr>
            <w:r>
              <w:rPr/>
              <w:t>Item number</w:t>
            </w:r>
          </w:p>
        </w:tc>
        <w:tc>
          <w:tcPr>
            <w:tcW w:w="1885" w:type="dxa"/>
            <w:tcBorders/>
            <w:shd w:fill="auto" w:val="clear"/>
            <w:vAlign w:val="center"/>
          </w:tcPr>
          <w:p>
            <w:pPr>
              <w:pStyle w:val="Normal"/>
              <w:rPr/>
            </w:pPr>
            <w:r>
              <w:rPr/>
              <w:t>131758874176</w:t>
            </w:r>
          </w:p>
        </w:tc>
      </w:tr>
      <w:tr>
        <w:trPr/>
        <w:tc>
          <w:tcPr>
            <w:tcW w:w="1712" w:type="dxa"/>
            <w:tcBorders/>
            <w:shd w:fill="auto" w:val="clear"/>
            <w:vAlign w:val="center"/>
          </w:tcPr>
          <w:p>
            <w:pPr>
              <w:pStyle w:val="Normal"/>
              <w:rPr/>
            </w:pPr>
            <w:r>
              <w:rPr/>
              <w:t>Shipping service</w:t>
            </w:r>
          </w:p>
        </w:tc>
        <w:tc>
          <w:tcPr>
            <w:tcW w:w="1885" w:type="dxa"/>
            <w:tcBorders/>
            <w:shd w:fill="auto" w:val="clear"/>
            <w:vAlign w:val="center"/>
          </w:tcPr>
          <w:p>
            <w:pPr>
              <w:pStyle w:val="Normal"/>
              <w:rPr/>
            </w:pPr>
            <w:r>
              <w:rPr>
                <w:rStyle w:val="Ngbindingngscope"/>
              </w:rPr>
              <w:t>Standard Shipping</w:t>
            </w:r>
            <w:r>
              <w:rPr>
                <w:rStyle w:val="Ngscope"/>
              </w:rPr>
              <w:t xml:space="preserve"> </w:t>
            </w:r>
          </w:p>
        </w:tc>
      </w:tr>
    </w:tbl>
    <w:p>
      <w:pPr>
        <w:pStyle w:val="Normal"/>
        <w:spacing w:before="92" w:after="92"/>
        <w:rPr/>
      </w:pPr>
      <w:r>
        <w:rPr/>
        <w:drawing>
          <wp:inline distT="0" distB="0" distL="0" distR="0">
            <wp:extent cx="3810000" cy="2534285"/>
            <wp:effectExtent l="0" t="0" r="0" b="0"/>
            <wp:docPr id="10" name="141936238572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41936238572_itemImage" descr="" title=""/>
                    <pic:cNvPicPr>
                      <a:picLocks noChangeAspect="1" noChangeArrowheads="1"/>
                    </pic:cNvPicPr>
                  </pic:nvPicPr>
                  <pic:blipFill>
                    <a:blip r:embed="rId41"/>
                    <a:srcRect l="-7" t="-10" r="-7" b="-10"/>
                    <a:stretch>
                      <a:fillRect/>
                    </a:stretch>
                  </pic:blipFill>
                  <pic:spPr bwMode="auto">
                    <a:xfrm>
                      <a:off x="0" y="0"/>
                      <a:ext cx="3810000" cy="2534285"/>
                    </a:xfrm>
                    <a:prstGeom prst="rect">
                      <a:avLst/>
                    </a:prstGeom>
                  </pic:spPr>
                </pic:pic>
              </a:graphicData>
            </a:graphic>
          </wp:inline>
        </w:drawing>
      </w:r>
    </w:p>
    <w:p>
      <w:pPr>
        <w:pStyle w:val="Heading4"/>
        <w:spacing w:lineRule="atLeast" w:line="369"/>
        <w:ind w:start="92" w:hanging="0"/>
        <w:rPr/>
      </w:pPr>
      <w:hyperlink r:id="rId42" w:tgtFrame="_blank">
        <w:r>
          <w:rPr>
            <w:rStyle w:val="InternetLink"/>
          </w:rPr>
          <w:t>Museum Quality pre columbian inca Jamacoaque female w/c classic period 2 1/2 in.</w:t>
        </w:r>
      </w:hyperlink>
      <w:r>
        <w:rPr/>
        <w:t xml:space="preserve"> </w:t>
      </w:r>
    </w:p>
    <w:tbl>
      <w:tblPr>
        <w:tblW w:w="3597" w:type="dxa"/>
        <w:jc w:val="start"/>
        <w:tblInd w:w="-60" w:type="dxa"/>
        <w:tblBorders/>
        <w:tblCellMar>
          <w:top w:w="15" w:type="dxa"/>
          <w:start w:w="15" w:type="dxa"/>
          <w:bottom w:w="15" w:type="dxa"/>
          <w:end w:w="15" w:type="dxa"/>
        </w:tblCellMar>
      </w:tblPr>
      <w:tblGrid>
        <w:gridCol w:w="1712"/>
        <w:gridCol w:w="1885"/>
      </w:tblGrid>
      <w:tr>
        <w:trPr/>
        <w:tc>
          <w:tcPr>
            <w:tcW w:w="1712" w:type="dxa"/>
            <w:tcBorders/>
            <w:shd w:fill="auto" w:val="clear"/>
            <w:vAlign w:val="center"/>
          </w:tcPr>
          <w:p>
            <w:pPr>
              <w:pStyle w:val="Normal"/>
              <w:rPr/>
            </w:pPr>
            <w:r>
              <w:rPr/>
              <w:t>Item price</w:t>
            </w:r>
          </w:p>
        </w:tc>
        <w:tc>
          <w:tcPr>
            <w:tcW w:w="1885" w:type="dxa"/>
            <w:tcBorders/>
            <w:shd w:fill="auto" w:val="clear"/>
            <w:vAlign w:val="center"/>
          </w:tcPr>
          <w:p>
            <w:pPr>
              <w:pStyle w:val="Normal"/>
              <w:rPr/>
            </w:pPr>
            <w:r>
              <w:rPr/>
              <w:t>$21.50</w:t>
            </w:r>
          </w:p>
        </w:tc>
      </w:tr>
      <w:tr>
        <w:trPr/>
        <w:tc>
          <w:tcPr>
            <w:tcW w:w="1712" w:type="dxa"/>
            <w:tcBorders/>
            <w:shd w:fill="auto" w:val="clear"/>
            <w:vAlign w:val="center"/>
          </w:tcPr>
          <w:p>
            <w:pPr>
              <w:pStyle w:val="Normal"/>
              <w:rPr/>
            </w:pPr>
            <w:r>
              <w:rPr/>
              <w:t>Quantity</w:t>
            </w:r>
          </w:p>
        </w:tc>
        <w:tc>
          <w:tcPr>
            <w:tcW w:w="1885" w:type="dxa"/>
            <w:tcBorders/>
            <w:shd w:fill="auto" w:val="clear"/>
            <w:vAlign w:val="center"/>
          </w:tcPr>
          <w:p>
            <w:pPr>
              <w:pStyle w:val="Normal"/>
              <w:rPr/>
            </w:pPr>
            <w:r>
              <w:rPr/>
              <w:t>1</w:t>
            </w:r>
          </w:p>
        </w:tc>
      </w:tr>
      <w:tr>
        <w:trPr/>
        <w:tc>
          <w:tcPr>
            <w:tcW w:w="1712" w:type="dxa"/>
            <w:tcBorders/>
            <w:shd w:fill="auto" w:val="clear"/>
            <w:vAlign w:val="center"/>
          </w:tcPr>
          <w:p>
            <w:pPr>
              <w:pStyle w:val="Normal"/>
              <w:rPr/>
            </w:pPr>
            <w:r>
              <w:rPr/>
              <w:t>Item number</w:t>
            </w:r>
          </w:p>
        </w:tc>
        <w:tc>
          <w:tcPr>
            <w:tcW w:w="1885" w:type="dxa"/>
            <w:tcBorders/>
            <w:shd w:fill="auto" w:val="clear"/>
            <w:vAlign w:val="center"/>
          </w:tcPr>
          <w:p>
            <w:pPr>
              <w:pStyle w:val="Normal"/>
              <w:rPr/>
            </w:pPr>
            <w:r>
              <w:rPr/>
              <w:t>141936238572</w:t>
            </w:r>
          </w:p>
        </w:tc>
      </w:tr>
      <w:tr>
        <w:trPr/>
        <w:tc>
          <w:tcPr>
            <w:tcW w:w="1712" w:type="dxa"/>
            <w:tcBorders/>
            <w:shd w:fill="auto" w:val="clear"/>
            <w:vAlign w:val="center"/>
          </w:tcPr>
          <w:p>
            <w:pPr>
              <w:pStyle w:val="Normal"/>
              <w:rPr/>
            </w:pPr>
            <w:r>
              <w:rPr/>
              <w:t>Shipping service</w:t>
            </w:r>
          </w:p>
        </w:tc>
        <w:tc>
          <w:tcPr>
            <w:tcW w:w="1885" w:type="dxa"/>
            <w:tcBorders/>
            <w:shd w:fill="auto" w:val="clear"/>
            <w:vAlign w:val="center"/>
          </w:tcPr>
          <w:p>
            <w:pPr>
              <w:pStyle w:val="Normal"/>
              <w:rPr/>
            </w:pPr>
            <w:r>
              <w:rPr>
                <w:rStyle w:val="Ngbindingngscope"/>
              </w:rPr>
              <w:t>Standard Shipping</w:t>
            </w:r>
            <w:r>
              <w:rPr>
                <w:rStyle w:val="Ngscope"/>
              </w:rPr>
              <w:t xml:space="preserve"> </w:t>
            </w:r>
          </w:p>
        </w:tc>
      </w:tr>
    </w:tbl>
    <w:p>
      <w:pPr>
        <w:pStyle w:val="Heading2"/>
        <w:spacing w:lineRule="atLeast" w:line="312"/>
        <w:rPr/>
      </w:pPr>
      <w:r>
        <w:rPr/>
        <w:t>Shipping address</w:t>
      </w:r>
    </w:p>
    <w:p>
      <w:pPr>
        <w:pStyle w:val="Normal"/>
        <w:spacing w:lineRule="atLeast" w:line="312"/>
        <w:rPr/>
      </w:pPr>
      <w:r>
        <w:rPr/>
        <w:br/>
      </w:r>
    </w:p>
    <w:p>
      <w:pPr>
        <w:pStyle w:val="Normal"/>
        <w:spacing w:lineRule="atLeast" w:line="312"/>
        <w:rPr/>
      </w:pPr>
      <w:r>
        <w:rPr>
          <w:rStyle w:val="StrongEmphasis"/>
        </w:rPr>
        <w:t>Ralph J Coffman Jr</w:t>
      </w:r>
    </w:p>
    <w:p>
      <w:pPr>
        <w:pStyle w:val="Normal"/>
        <w:spacing w:lineRule="atLeast" w:line="312"/>
        <w:rPr/>
      </w:pPr>
      <w:r>
        <w:rPr/>
        <w:t>149 Atlantic Ave</w:t>
      </w:r>
    </w:p>
    <w:p>
      <w:pPr>
        <w:pStyle w:val="Normal"/>
        <w:spacing w:lineRule="atLeast" w:line="312"/>
        <w:rPr/>
      </w:pPr>
      <w:r>
        <w:rPr/>
        <w:t>Swampscott MA 01907-2427</w:t>
      </w:r>
    </w:p>
    <w:p>
      <w:pPr>
        <w:pStyle w:val="Normal"/>
        <w:spacing w:lineRule="atLeast" w:line="312"/>
        <w:rPr/>
      </w:pPr>
      <w:r>
        <w:rPr/>
        <w:t>United States</w:t>
      </w:r>
    </w:p>
    <w:p>
      <w:pPr>
        <w:pStyle w:val="Heading2"/>
        <w:rPr/>
      </w:pPr>
      <w:r>
        <w:rPr/>
        <w:t>Order total</w:t>
      </w:r>
    </w:p>
    <w:p>
      <w:pPr>
        <w:pStyle w:val="Normal"/>
        <w:rPr/>
      </w:pPr>
      <w:r>
        <w:rPr/>
      </w:r>
    </w:p>
    <w:tbl>
      <w:tblPr>
        <w:tblW w:w="1857" w:type="dxa"/>
        <w:jc w:val="start"/>
        <w:tblInd w:w="-60" w:type="dxa"/>
        <w:tblBorders/>
        <w:tblCellMar>
          <w:top w:w="15" w:type="dxa"/>
          <w:start w:w="15" w:type="dxa"/>
          <w:bottom w:w="15" w:type="dxa"/>
          <w:end w:w="15" w:type="dxa"/>
        </w:tblCellMar>
      </w:tblPr>
      <w:tblGrid>
        <w:gridCol w:w="972"/>
        <w:gridCol w:w="885"/>
      </w:tblGrid>
      <w:tr>
        <w:trPr/>
        <w:tc>
          <w:tcPr>
            <w:tcW w:w="972" w:type="dxa"/>
            <w:tcBorders/>
            <w:shd w:fill="auto" w:val="clear"/>
            <w:vAlign w:val="center"/>
          </w:tcPr>
          <w:p>
            <w:pPr>
              <w:pStyle w:val="Normal"/>
              <w:rPr/>
            </w:pPr>
            <w:r>
              <w:rPr/>
              <w:t>Subtotal</w:t>
            </w:r>
          </w:p>
        </w:tc>
        <w:tc>
          <w:tcPr>
            <w:tcW w:w="885" w:type="dxa"/>
            <w:tcBorders/>
            <w:shd w:fill="auto" w:val="clear"/>
            <w:vAlign w:val="center"/>
          </w:tcPr>
          <w:p>
            <w:pPr>
              <w:pStyle w:val="Normal"/>
              <w:rPr/>
            </w:pPr>
            <w:r>
              <w:rPr>
                <w:rStyle w:val="Ngbinding"/>
              </w:rPr>
              <w:t>$436.50</w:t>
            </w:r>
          </w:p>
        </w:tc>
      </w:tr>
      <w:tr>
        <w:trPr/>
        <w:tc>
          <w:tcPr>
            <w:tcW w:w="972" w:type="dxa"/>
            <w:tcBorders/>
            <w:shd w:fill="auto" w:val="clear"/>
            <w:vAlign w:val="center"/>
          </w:tcPr>
          <w:p>
            <w:pPr>
              <w:pStyle w:val="Normal"/>
              <w:rPr/>
            </w:pPr>
            <w:r>
              <w:rPr/>
              <w:t>Shipping</w:t>
            </w:r>
          </w:p>
        </w:tc>
        <w:tc>
          <w:tcPr>
            <w:tcW w:w="885" w:type="dxa"/>
            <w:tcBorders/>
            <w:shd w:fill="auto" w:val="clear"/>
            <w:vAlign w:val="center"/>
          </w:tcPr>
          <w:p>
            <w:pPr>
              <w:pStyle w:val="Normal"/>
              <w:rPr/>
            </w:pPr>
            <w:r>
              <w:rPr>
                <w:rStyle w:val="Ngbindingngscope"/>
              </w:rPr>
              <w:t>$25.93</w:t>
            </w:r>
            <w:r>
              <w:rPr/>
              <w:t xml:space="preserve"> </w:t>
            </w:r>
          </w:p>
        </w:tc>
      </w:tr>
    </w:tbl>
    <w:p>
      <w:pPr>
        <w:pStyle w:val="Normal"/>
        <w:spacing w:before="0" w:after="554"/>
        <w:rPr>
          <w:b/>
          <w:b/>
          <w:bCs/>
        </w:rPr>
      </w:pPr>
      <w:r>
        <w:rPr>
          <w:b/>
          <w:bCs/>
        </w:rPr>
        <w:t>Total</w:t>
      </w:r>
    </w:p>
    <w:p>
      <w:pPr>
        <w:pStyle w:val="Normal"/>
        <w:spacing w:before="0" w:after="554"/>
        <w:rPr/>
      </w:pPr>
      <w:r>
        <w:rPr>
          <w:rStyle w:val="Ngbindingordertotalcost"/>
        </w:rPr>
        <w:t>$462.43</w:t>
      </w:r>
      <w:r>
        <w:rPr/>
        <w:t xml:space="preserve"> </w:t>
      </w:r>
    </w:p>
    <w:p>
      <w:pPr>
        <w:pStyle w:val="Normal"/>
        <w:spacing w:before="185" w:after="554"/>
        <w:rPr/>
      </w:pPr>
      <w:r>
        <w:rPr/>
      </w:r>
    </w:p>
    <w:p>
      <w:pPr>
        <w:pStyle w:val="Ngbinding1"/>
        <w:rPr/>
      </w:pPr>
      <w:r>
        <w:rPr/>
        <w:t>Order placed on</w:t>
      </w:r>
    </w:p>
    <w:p>
      <w:pPr>
        <w:pStyle w:val="Normal"/>
        <w:rPr/>
      </w:pPr>
      <w:r>
        <w:rPr>
          <w:rStyle w:val="Ngbindingngscope"/>
        </w:rPr>
        <w:t>Sunday, Mar 27, 2016</w:t>
      </w:r>
      <w:r>
        <w:rPr/>
        <w:t xml:space="preserve"> </w:t>
      </w:r>
    </w:p>
    <w:p>
      <w:pPr>
        <w:pStyle w:val="Ngbinding1"/>
        <w:rPr/>
      </w:pPr>
      <w:r>
        <w:rPr/>
        <w:t>Payment method</w:t>
      </w:r>
    </w:p>
    <w:p>
      <w:pPr>
        <w:pStyle w:val="Normal"/>
        <w:rPr/>
      </w:pPr>
      <w:r>
        <w:rPr>
          <w:rStyle w:val="Ngbindingngscope"/>
        </w:rPr>
        <w:t>PayPal</w:t>
      </w:r>
      <w:r>
        <w:rPr/>
        <w:t xml:space="preserve"> </w:t>
      </w:r>
    </w:p>
    <w:p>
      <w:pPr>
        <w:pStyle w:val="Ngbinding1"/>
        <w:rPr/>
      </w:pPr>
      <w:r>
        <w:rPr/>
        <w:t>Payment date</w:t>
      </w:r>
    </w:p>
    <w:p>
      <w:pPr>
        <w:pStyle w:val="Normal"/>
        <w:rPr/>
      </w:pPr>
      <w:r>
        <w:rPr>
          <w:rStyle w:val="Ngbindingngscope"/>
        </w:rPr>
        <w:t>Sunday, Mar 27, 2016</w:t>
      </w:r>
      <w:r>
        <w:rPr/>
        <w:t xml:space="preserve"> </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sz w:val="20"/>
        <w:rFonts w:cs="Symbol"/>
      </w:rPr>
    </w:lvl>
  </w:abstractNum>
  <w:abstractNum w:abstractNumId="3">
    <w:lvl w:ilvl="0">
      <w:start w:val="1"/>
      <w:numFmt w:val="bullet"/>
      <w:lvlText w:val=""/>
      <w:lvlJc w:val="start"/>
      <w:pPr>
        <w:tabs>
          <w:tab w:val="num" w:pos="720"/>
        </w:tabs>
        <w:ind w:start="720" w:hanging="360"/>
      </w:pPr>
      <w:rPr>
        <w:rFonts w:ascii="Symbol" w:hAnsi="Symbol" w:cs="Symbol" w:hint="default"/>
        <w:sz w:val="20"/>
        <w:rFonts w:cs="Symbol"/>
      </w:rPr>
    </w:lvl>
  </w:abstractNum>
  <w:abstractNum w:abstractNumId="4">
    <w:lvl w:ilvl="0">
      <w:start w:val="1"/>
      <w:numFmt w:val="bullet"/>
      <w:lvlText w:val=""/>
      <w:lvlJc w:val="start"/>
      <w:pPr>
        <w:tabs>
          <w:tab w:val="num" w:pos="720"/>
        </w:tabs>
        <w:ind w:start="720" w:hanging="360"/>
      </w:pPr>
      <w:rPr>
        <w:rFonts w:ascii="Symbol" w:hAnsi="Symbol" w:cs="Symbol" w:hint="default"/>
        <w:sz w:val="20"/>
        <w:rFonts w:cs="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DefaultParagraphFont">
    <w:name w:val="Default Paragraph Font"/>
    <w:qFormat/>
    <w:rPr/>
  </w:style>
  <w:style w:type="character" w:styleId="S1">
    <w:name w:val="s1"/>
    <w:basedOn w:val="DefaultParagraphFont"/>
    <w:qFormat/>
    <w:rPr/>
  </w:style>
  <w:style w:type="character" w:styleId="Appleconvertedspace">
    <w:name w:val="apple-converted-space"/>
    <w:basedOn w:val="DefaultParagraphFont"/>
    <w:qFormat/>
    <w:rPr/>
  </w:style>
  <w:style w:type="character" w:styleId="S2">
    <w:name w:val="s2"/>
    <w:basedOn w:val="DefaultParagraphFont"/>
    <w:qFormat/>
    <w:rPr/>
  </w:style>
  <w:style w:type="character" w:styleId="InternetLink">
    <w:name w:val="Internet Link"/>
    <w:basedOn w:val="DefaultParagraphFont"/>
    <w:rPr>
      <w:color w:val="0000FF"/>
      <w:u w:val="single"/>
    </w:rPr>
  </w:style>
  <w:style w:type="character" w:styleId="Tocnumber">
    <w:name w:val="tocnumber"/>
    <w:basedOn w:val="DefaultParagraphFont"/>
    <w:qFormat/>
    <w:rPr/>
  </w:style>
  <w:style w:type="character" w:styleId="Toctext">
    <w:name w:val="toctext"/>
    <w:basedOn w:val="DefaultParagraphFont"/>
    <w:qFormat/>
    <w:rPr/>
  </w:style>
  <w:style w:type="character" w:styleId="Mwheadline">
    <w:name w:val="mw-headline"/>
    <w:basedOn w:val="DefaultParagraphFont"/>
    <w:qFormat/>
    <w:rPr/>
  </w:style>
  <w:style w:type="character" w:styleId="StrongEmphasis">
    <w:name w:val="Strong Emphasis"/>
    <w:basedOn w:val="DefaultParagraphFont"/>
    <w:qFormat/>
    <w:rPr>
      <w:b/>
      <w:bCs/>
    </w:rPr>
  </w:style>
  <w:style w:type="character" w:styleId="Ngbindingngscope">
    <w:name w:val="ng-binding ng-scope"/>
    <w:basedOn w:val="DefaultParagraphFont"/>
    <w:qFormat/>
    <w:rPr/>
  </w:style>
  <w:style w:type="character" w:styleId="Ngscope">
    <w:name w:val="ng-scope"/>
    <w:basedOn w:val="DefaultParagraphFont"/>
    <w:qFormat/>
    <w:rPr/>
  </w:style>
  <w:style w:type="character" w:styleId="Ngbinding">
    <w:name w:val="ng-binding"/>
    <w:basedOn w:val="DefaultParagraphFont"/>
    <w:qFormat/>
    <w:rPr/>
  </w:style>
  <w:style w:type="character" w:styleId="Ngbindingordertotalcost">
    <w:name w:val="ng-binding ordertotalcost"/>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1">
    <w:name w:val="p1"/>
    <w:basedOn w:val="Normal"/>
    <w:qFormat/>
    <w:pPr>
      <w:spacing w:before="280" w:after="280"/>
    </w:pPr>
    <w:rPr/>
  </w:style>
  <w:style w:type="paragraph" w:styleId="P2">
    <w:name w:val="p2"/>
    <w:basedOn w:val="Normal"/>
    <w:qFormat/>
    <w:pPr>
      <w:spacing w:before="280" w:after="280"/>
    </w:pPr>
    <w:rPr/>
  </w:style>
  <w:style w:type="paragraph" w:styleId="NormalWeb">
    <w:name w:val="Normal (Web)"/>
    <w:basedOn w:val="Normal"/>
    <w:qFormat/>
    <w:pPr>
      <w:spacing w:before="280" w:after="280"/>
    </w:pPr>
    <w:rPr/>
  </w:style>
  <w:style w:type="paragraph" w:styleId="Ngbinding1">
    <w:name w:val="ng-binding1"/>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en.wikipedia.org/wiki/Andean" TargetMode="External"/><Relationship Id="rId6" Type="http://schemas.openxmlformats.org/officeDocument/2006/relationships/hyperlink" Target="https://en.wikipedia.org/wiki/Irrigation" TargetMode="External"/><Relationship Id="rId7" Type="http://schemas.openxmlformats.org/officeDocument/2006/relationships/hyperlink" Target="https://en.wikipedia.org/wiki/Ica_Region" TargetMode="External"/><Relationship Id="rId8" Type="http://schemas.openxmlformats.org/officeDocument/2006/relationships/hyperlink" Target="https://en.wikipedia.org/wiki/Peru" TargetMode="External"/><Relationship Id="rId9" Type="http://schemas.openxmlformats.org/officeDocument/2006/relationships/hyperlink" Target="https://en.wikipedia.org/wiki/Archaeological_site" TargetMode="External"/><Relationship Id="rId10" Type="http://schemas.openxmlformats.org/officeDocument/2006/relationships/hyperlink" Target="https://en.wikipedia.org/wiki/Julio_Tello" TargetMode="External"/><Relationship Id="rId11" Type="http://schemas.openxmlformats.org/officeDocument/2006/relationships/hyperlink" Target="https://en.wikipedia.org/wiki/Shaft_tomb" TargetMode="External"/><Relationship Id="rId12" Type="http://schemas.openxmlformats.org/officeDocument/2006/relationships/hyperlink" Target="https://en.wikipedia.org/wiki/Polychrome" TargetMode="External"/><Relationship Id="rId13" Type="http://schemas.openxmlformats.org/officeDocument/2006/relationships/hyperlink" Target="https://en.wikipedia.org/wiki/Weaving" TargetMode="External"/><Relationship Id="rId14" Type="http://schemas.openxmlformats.org/officeDocument/2006/relationships/hyperlink" Target="https://en.wikipedia.org/wiki/Necropolis" TargetMode="External"/><Relationship Id="rId15" Type="http://schemas.openxmlformats.org/officeDocument/2006/relationships/hyperlink" Target="https://en.wikipedia.org/wiki/Pre-Columbian" TargetMode="External"/><Relationship Id="rId16" Type="http://schemas.openxmlformats.org/officeDocument/2006/relationships/image" Target="media/image4.jpeg"/><Relationship Id="rId17" Type="http://schemas.openxmlformats.org/officeDocument/2006/relationships/hyperlink" Target="https://en.wikipedia.org/wiki/Brooklyn_Museum" TargetMode="External"/><Relationship Id="rId18" Type="http://schemas.openxmlformats.org/officeDocument/2006/relationships/hyperlink" Target="https://en.wikipedia.org/wiki/File:Paracas_textile,_British_Museum.jpg" TargetMode="External"/><Relationship Id="rId19" Type="http://schemas.openxmlformats.org/officeDocument/2006/relationships/image" Target="media/image5.jpeg"/><Relationship Id="rId20" Type="http://schemas.openxmlformats.org/officeDocument/2006/relationships/image" Target="media/image6.jpeg"/><Relationship Id="rId21" Type="http://schemas.openxmlformats.org/officeDocument/2006/relationships/hyperlink" Target="https://en.wikipedia.org/wiki/LACMA" TargetMode="External"/><Relationship Id="rId22" Type="http://schemas.openxmlformats.org/officeDocument/2006/relationships/hyperlink" Target="https://en.wikipedia.org/wiki/Paracas_textile" TargetMode="External"/><Relationship Id="rId23" Type="http://schemas.openxmlformats.org/officeDocument/2006/relationships/hyperlink" Target="https://en.wikipedia.org/wiki/British_Museum" TargetMode="External"/><Relationship Id="rId24" Type="http://schemas.openxmlformats.org/officeDocument/2006/relationships/hyperlink" Target="https://en.wikipedia.org/wiki/A_History_of_the_World_in_100_Objects" TargetMode="External"/><Relationship Id="rId25" Type="http://schemas.openxmlformats.org/officeDocument/2006/relationships/hyperlink" Target="https://en.wikipedia.org/wiki/Nazca_culture" TargetMode="External"/><Relationship Id="rId26" Type="http://schemas.openxmlformats.org/officeDocument/2006/relationships/hyperlink" Target="https://en.wikipedia.org/wiki/Artificial_cranial_deformation" TargetMode="External"/><Relationship Id="rId27" Type="http://schemas.openxmlformats.org/officeDocument/2006/relationships/hyperlink" Target="https://en.wikipedia.org/wiki/Special:BookSources/0877453276" TargetMode="External"/><Relationship Id="rId28" Type="http://schemas.openxmlformats.org/officeDocument/2006/relationships/hyperlink" Target="https://en.wikipedia.org/wiki/Special:BookSources/0500014027" TargetMode="External"/><Relationship Id="rId29" Type="http://schemas.openxmlformats.org/officeDocument/2006/relationships/hyperlink" Target="http://myworld.ebay.com/bibliovendor" TargetMode="External"/><Relationship Id="rId30" Type="http://schemas.openxmlformats.org/officeDocument/2006/relationships/hyperlink" Target="http://feedback.ebay.com/ws/eBayISAPI.dll?ViewFeedback&amp;userid=bibliovendor" TargetMode="External"/><Relationship Id="rId31" Type="http://schemas.openxmlformats.org/officeDocument/2006/relationships/image" Target="media/image7.jpeg"/><Relationship Id="rId32" Type="http://schemas.openxmlformats.org/officeDocument/2006/relationships/hyperlink" Target="http://www.ebay.com/itm/272171801797" TargetMode="External"/><Relationship Id="rId33" Type="http://schemas.openxmlformats.org/officeDocument/2006/relationships/hyperlink" Target="http://myworld.ebay.com/flapast" TargetMode="External"/><Relationship Id="rId34" Type="http://schemas.openxmlformats.org/officeDocument/2006/relationships/hyperlink" Target="http://feedback.ebay.com/ws/eBayISAPI.dll?ViewFeedback&amp;userid=flapast" TargetMode="External"/><Relationship Id="rId35" Type="http://schemas.openxmlformats.org/officeDocument/2006/relationships/image" Target="media/image8.jpeg"/><Relationship Id="rId36" Type="http://schemas.openxmlformats.org/officeDocument/2006/relationships/hyperlink" Target="http://www.ebay.com/itm/262339688374" TargetMode="External"/><Relationship Id="rId37" Type="http://schemas.openxmlformats.org/officeDocument/2006/relationships/hyperlink" Target="http://myworld.ebay.com/induringart" TargetMode="External"/><Relationship Id="rId38" Type="http://schemas.openxmlformats.org/officeDocument/2006/relationships/hyperlink" Target="http://feedback.ebay.com/ws/eBayISAPI.dll?ViewFeedback&amp;userid=induringart" TargetMode="External"/><Relationship Id="rId39" Type="http://schemas.openxmlformats.org/officeDocument/2006/relationships/image" Target="media/image9.jpeg"/><Relationship Id="rId40" Type="http://schemas.openxmlformats.org/officeDocument/2006/relationships/hyperlink" Target="http://www.ebay.com/itm/131758874176" TargetMode="External"/><Relationship Id="rId41" Type="http://schemas.openxmlformats.org/officeDocument/2006/relationships/image" Target="media/image10.jpeg"/><Relationship Id="rId42" Type="http://schemas.openxmlformats.org/officeDocument/2006/relationships/hyperlink" Target="http://www.ebay.com/itm/141936238572" TargetMode="Externa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2016-09-11T14:20:00Z</dcterms:created>
  <dc:creator>owner</dc:creator>
  <dc:description/>
  <dc:language>en-US</dc:language>
  <cp:lastModifiedBy>owner</cp:lastModifiedBy>
  <dcterms:modified xsi:type="dcterms:W3CDTF">2016-09-11T14:20:00Z</dcterms:modified>
  <cp:revision>2</cp:revision>
  <dc:subject/>
  <dc:title>AM,S-Peru-Paracas</dc:title>
</cp:coreProperties>
</file>