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lang w:val="it-IT"/>
        </w:rPr>
        <w:t>A000-D R Congo-Lega People-</w:t>
      </w:r>
      <w:r>
        <w:rPr>
          <w:i/>
          <w:iCs/>
          <w:smallCaps/>
          <w:spacing w:val="-9"/>
          <w:w w:val="95"/>
        </w:rPr>
        <w:t xml:space="preserve"> Lukwakongo  </w:t>
      </w:r>
      <w:r>
        <w:rPr>
          <w:lang w:val="it-IT"/>
        </w:rPr>
        <w:t>Mask-</w:t>
      </w:r>
      <w:r>
        <w:rPr>
          <w:rStyle w:val="Text"/>
          <w:smallCaps/>
        </w:rPr>
        <w:t>wood, pigment and plant fiber, early 20</w:t>
      </w:r>
      <w:r>
        <w:rPr>
          <w:rStyle w:val="Text"/>
          <w:smallCaps/>
          <w:vertAlign w:val="superscript"/>
        </w:rPr>
        <w:t>th</w:t>
      </w:r>
      <w:r>
        <w:rPr>
          <w:rStyle w:val="Text"/>
          <w:smallCaps/>
        </w:rPr>
        <w:t xml:space="preserve"> c</w:t>
      </w:r>
    </w:p>
    <w:p>
      <w:pPr>
        <w:pStyle w:val="Normal"/>
        <w:tabs>
          <w:tab w:val="clear" w:pos="720"/>
          <w:tab w:val="left" w:pos="5040" w:leader="none"/>
          <w:tab w:val="left" w:pos="14880" w:leader="none"/>
        </w:tabs>
        <w:ind w:end="504" w:hanging="0"/>
        <w:rPr/>
      </w:pPr>
      <w:r>
        <w:rPr/>
        <w:drawing>
          <wp:inline distT="0" distB="0" distL="0" distR="0">
            <wp:extent cx="2997835" cy="47840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it-IT"/>
        </w:rPr>
      </w:pPr>
      <w:r>
        <w:rPr/>
        <w:t xml:space="preserve">Fig. 1. </w:t>
      </w:r>
      <w:r>
        <w:rPr>
          <w:lang w:val="it-IT"/>
        </w:rPr>
        <w:t>D R Congo-Lega People-</w:t>
      </w:r>
      <w:r>
        <w:rPr>
          <w:i/>
          <w:iCs/>
          <w:smallCaps/>
          <w:spacing w:val="-9"/>
          <w:w w:val="95"/>
        </w:rPr>
        <w:t xml:space="preserve"> Lukwakongo  </w:t>
      </w:r>
      <w:r>
        <w:rPr>
          <w:lang w:val="it-IT"/>
        </w:rPr>
        <w:t>Mask-</w:t>
      </w:r>
      <w:r>
        <w:rPr>
          <w:rStyle w:val="Text"/>
          <w:smallCaps/>
        </w:rPr>
        <w:t>wood, pigment and plant fiber, early 20</w:t>
      </w:r>
      <w:r>
        <w:rPr>
          <w:rStyle w:val="Text"/>
          <w:smallCaps/>
          <w:vertAlign w:val="superscript"/>
        </w:rPr>
        <w:t>th</w:t>
      </w:r>
      <w:r>
        <w:rPr>
          <w:rStyle w:val="Text"/>
          <w:smallCaps/>
        </w:rPr>
        <w:t xml:space="preserve"> c</w:t>
      </w:r>
    </w:p>
    <w:p>
      <w:pPr>
        <w:pStyle w:val="Normal"/>
        <w:tabs>
          <w:tab w:val="clear" w:pos="720"/>
          <w:tab w:val="left" w:pos="5040" w:leader="none"/>
          <w:tab w:val="left" w:pos="14880" w:leader="none"/>
        </w:tabs>
        <w:ind w:end="504" w:hanging="0"/>
        <w:rPr>
          <w:lang w:val="it-IT"/>
        </w:rPr>
      </w:pPr>
      <w:r>
        <w:rPr>
          <w:lang w:val="it-IT"/>
        </w:rPr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spacing w:lineRule="auto" w:line="336" w:before="36" w:after="0"/>
        <w:ind w:end="-72" w:firstLine="216"/>
        <w:jc w:val="both"/>
        <w:rPr/>
      </w:pPr>
      <w:r>
        <w:rPr>
          <w:spacing w:val="-13"/>
        </w:rPr>
        <w:t>This maskette is heart-</w:t>
      </w:r>
      <w:r>
        <w:rPr>
          <w:spacing w:val="-5"/>
        </w:rPr>
        <w:t xml:space="preserve">shaped with a concave face and with white clay applied to </w:t>
      </w:r>
      <w:r>
        <w:rPr>
          <w:spacing w:val="-8"/>
        </w:rPr>
        <w:t xml:space="preserve">the facial area. It has open slit eyes and an open mouth with </w:t>
      </w:r>
      <w:r>
        <w:rPr>
          <w:spacing w:val="-13"/>
        </w:rPr>
        <w:t xml:space="preserve">a long, narrow, straight nose dividing the face. It is adorned with the </w:t>
      </w:r>
      <w:r>
        <w:rPr>
          <w:spacing w:val="-10"/>
        </w:rPr>
        <w:t xml:space="preserve">important fiber beard </w:t>
      </w:r>
      <w:r>
        <w:rPr>
          <w:i/>
          <w:iCs/>
        </w:rPr>
        <w:t xml:space="preserve">(luzelu) </w:t>
      </w:r>
      <w:r>
        <w:rPr>
          <w:spacing w:val="-10"/>
        </w:rPr>
        <w:t xml:space="preserve">attached to a set of </w:t>
      </w:r>
      <w:r>
        <w:rPr>
          <w:spacing w:val="-7"/>
        </w:rPr>
        <w:t xml:space="preserve">holes in the area of the chin. A string in the </w:t>
      </w:r>
      <w:r>
        <w:rPr>
          <w:spacing w:val="-8"/>
        </w:rPr>
        <w:t>back is used to attach the maskette</w:t>
      </w:r>
      <w:r>
        <w:rPr>
          <w:rStyle w:val="Text"/>
        </w:rPr>
        <w:t xml:space="preserve"> to the body or it is  held in the hand or hung on a fence or pole during the initiation ceremonies of the Bwami society: it is not worn on the face. The Bwami society masks are divided into five types according to material, size, and form: </w:t>
      </w:r>
      <w:r>
        <w:rPr>
          <w:rStyle w:val="Text"/>
          <w:i/>
          <w:iCs/>
        </w:rPr>
        <w:t>lukwakongo, kayamba, idimu, muminia</w:t>
      </w:r>
      <w:r>
        <w:rPr>
          <w:rStyle w:val="Text"/>
        </w:rPr>
        <w:t xml:space="preserve">, and </w:t>
      </w:r>
      <w:r>
        <w:rPr>
          <w:rStyle w:val="Text"/>
          <w:i/>
          <w:iCs/>
        </w:rPr>
        <w:t>lukungu</w:t>
      </w:r>
      <w:r>
        <w:rPr>
          <w:rStyle w:val="Text"/>
        </w:rPr>
        <w:t xml:space="preserve"> (Biebuyck 1973,164). They outwardly serve as an important mark of rank, identifying the owners as members of specific Bwami levels. They inwardly serve as </w:t>
      </w:r>
      <w:r>
        <w:rPr>
          <w:spacing w:val="-15"/>
        </w:rPr>
        <w:t xml:space="preserve">expressions of </w:t>
      </w:r>
      <w:r>
        <w:rPr>
          <w:spacing w:val="-4"/>
        </w:rPr>
        <w:t xml:space="preserve">transcendent relationships between the living and the </w:t>
      </w:r>
      <w:r>
        <w:rPr>
          <w:spacing w:val="-5"/>
        </w:rPr>
        <w:t xml:space="preserve">dead -- links that </w:t>
      </w:r>
      <w:r>
        <w:rPr>
          <w:spacing w:val="-10"/>
        </w:rPr>
        <w:t xml:space="preserve">exist between those who have "inherited" the mask </w:t>
      </w:r>
      <w:r>
        <w:rPr>
          <w:spacing w:val="-8"/>
        </w:rPr>
        <w:t>and their aged, ancestral predecessor, symbolized by the toothless mouth, the whitened and bearded face of the maskette. These transcendent relationships are enacted in ceremonies that embody</w:t>
      </w:r>
      <w:r>
        <w:rPr>
          <w:spacing w:val="-12"/>
        </w:rPr>
        <w:t xml:space="preserve"> communal moral values by contrasting good and evil actions through </w:t>
      </w:r>
      <w:r>
        <w:rPr>
          <w:spacing w:val="-8"/>
        </w:rPr>
        <w:t>pro</w:t>
        <w:softHyphen/>
      </w:r>
      <w:r>
        <w:rPr>
          <w:spacing w:val="-3"/>
        </w:rPr>
        <w:t>found, dramatic rituals in which the masks act as persona for articulated societal values spoken by the Lukwakongo. These ritualized dramas must be learned</w:t>
      </w:r>
      <w:r>
        <w:rPr>
          <w:spacing w:val="-6"/>
        </w:rPr>
        <w:t xml:space="preserve"> only within the context of </w:t>
      </w:r>
      <w:r>
        <w:rPr>
          <w:spacing w:val="-7"/>
        </w:rPr>
        <w:t>a system of secret initiations.</w:t>
      </w:r>
      <w:r>
        <w:rPr>
          <w:spacing w:val="-8"/>
        </w:rPr>
        <w:t xml:space="preserve"> </w:t>
      </w:r>
    </w:p>
    <w:p>
      <w:pPr>
        <w:pStyle w:val="Normal"/>
        <w:rPr>
          <w:b/>
          <w:b/>
          <w:spacing w:val="-8"/>
        </w:rPr>
      </w:pPr>
      <w:r>
        <w:rPr>
          <w:b/>
          <w:spacing w:val="-8"/>
        </w:rPr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5040" w:leader="none"/>
          <w:tab w:val="left" w:pos="14880" w:leader="none"/>
        </w:tabs>
        <w:ind w:end="504" w:hanging="0"/>
        <w:rPr>
          <w:rStyle w:val="Text"/>
          <w:smallCaps/>
        </w:rPr>
      </w:pPr>
      <w:r>
        <w:rPr>
          <w:b/>
        </w:rPr>
      </w:r>
    </w:p>
    <w:p>
      <w:pPr>
        <w:pStyle w:val="Normal"/>
        <w:spacing w:lineRule="auto" w:line="336" w:before="36" w:after="0"/>
        <w:ind w:end="-72" w:firstLine="216"/>
        <w:jc w:val="both"/>
        <w:rPr>
          <w:rStyle w:val="Text"/>
          <w:smallCaps/>
          <w:spacing w:val="-8"/>
        </w:rPr>
      </w:pPr>
      <w:r>
        <w:rPr/>
      </w:r>
    </w:p>
    <w:p>
      <w:pPr>
        <w:pStyle w:val="Normal"/>
        <w:spacing w:lineRule="auto" w:line="336" w:before="36" w:after="0"/>
        <w:ind w:end="-72" w:hanging="0"/>
        <w:jc w:val="both"/>
        <w:rPr>
          <w:spacing w:val="-8"/>
        </w:rPr>
      </w:pPr>
      <w:r>
        <w:rPr>
          <w:spacing w:val="-8"/>
        </w:rPr>
        <w:t xml:space="preserve">Ref.: </w:t>
      </w:r>
      <w:r>
        <w:rPr>
          <w:rStyle w:val="Citationbook"/>
        </w:rPr>
        <w:t xml:space="preserve">Daniel P Biebuyck. </w:t>
      </w:r>
      <w:r>
        <w:rPr>
          <w:rStyle w:val="Citationbook"/>
          <w:i/>
          <w:iCs/>
        </w:rPr>
        <w:t>Lega culture; art, initiation, and moral philosophy among a Central African people</w:t>
      </w:r>
      <w:r>
        <w:rPr>
          <w:rStyle w:val="Citationbook"/>
        </w:rPr>
        <w:t>. Los Angeles: University of California Press, 1973.</w:t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Text">
    <w:name w:val="text"/>
    <w:basedOn w:val="DefaultParagraphFont"/>
    <w:qFormat/>
    <w:rPr/>
  </w:style>
  <w:style w:type="character" w:styleId="Citationbook">
    <w:name w:val="citation book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2018-07-11T20:33:00Z</dcterms:created>
  <dc:creator>USER</dc:creator>
  <dc:description/>
  <cp:keywords/>
  <dc:language>en-US</dc:language>
  <cp:lastModifiedBy>Ralph Coffman</cp:lastModifiedBy>
  <cp:lastPrinted>2012-02-12T19:06:00Z</cp:lastPrinted>
  <dcterms:modified xsi:type="dcterms:W3CDTF">2018-07-11T20:34:00Z</dcterms:modified>
  <cp:revision>3</cp:revision>
  <dc:subject/>
  <dc:title>DIS-Lega Mask</dc:title>
</cp:coreProperties>
</file>