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2.png" ContentType="image/pn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Style w:val="IntenseReference"/>
        </w:rPr>
      </w:pPr>
      <w:r>
        <w:rPr/>
        <w:t>A000-Asia-China-Bronze-Gui-Kuei-Shang-1800 BCE</w:t>
      </w:r>
    </w:p>
    <w:p>
      <w:pPr>
        <w:pStyle w:val="Normal"/>
        <w:rPr>
          <w:rStyle w:val="IntenseReferenc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63005" cy="39992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 (Counter Display)</w:t>
      </w:r>
    </w:p>
    <w:p>
      <w:pPr>
        <w:pStyle w:val="Normal"/>
        <w:rPr/>
      </w:pPr>
      <w:r>
        <w:rPr>
          <w:rStyle w:val="StrongEmphasis"/>
        </w:rPr>
        <w:t>Accession No.</w:t>
      </w:r>
    </w:p>
    <w:p>
      <w:pPr>
        <w:pStyle w:val="Normal"/>
        <w:rPr>
          <w:rStyle w:val="StrongEmphasis"/>
          <w:smallCaps/>
          <w:color w:val="5B9BD5"/>
          <w:spacing w:val="5"/>
        </w:rPr>
      </w:pPr>
      <w:r>
        <w:rPr>
          <w:rStyle w:val="StrongEmphasis"/>
        </w:rPr>
        <w:t xml:space="preserve">Formal Label: </w:t>
      </w:r>
      <w:r>
        <w:rPr/>
        <w:t>Asia-China-Bronze-Gui-Kuei-Shang-1800 BCE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Display Description: </w:t>
      </w:r>
    </w:p>
    <w:p>
      <w:pPr>
        <w:pStyle w:val="NormalWeb"/>
        <w:rPr/>
      </w:pPr>
      <w:r>
        <w:rPr/>
        <w:t xml:space="preserve">Gui-Kuei (WG) was a Shang period wide-mouthed lidded bronze food container with a ring base and an ample, bowl-shaped body with slightly rounded sides. The </w:t>
      </w:r>
      <w:r>
        <w:rPr>
          <w:rStyle w:val="Emphasis"/>
        </w:rPr>
        <w:t>gui</w:t>
      </w:r>
      <w:r>
        <w:rPr/>
        <w:t xml:space="preserve"> shape first appeared in Neolithic Period (c. 3000–2000 </w:t>
      </w:r>
      <w:r>
        <w:rPr>
          <w:rStyle w:val="Textsmallcaps"/>
        </w:rPr>
        <w:t>BCE</w:t>
      </w:r>
      <w:r>
        <w:rPr/>
        <w:t xml:space="preserve">) pottery. </w:t>
      </w:r>
      <w:r>
        <w:rPr>
          <w:rStyle w:val="Emphasis"/>
          <w:i w:val="false"/>
        </w:rPr>
        <w:t>By</w:t>
      </w:r>
      <w:r>
        <w:rPr/>
        <w:t xml:space="preserve"> the middle of the Western Zhou dynasty this form was widely used but by the end of the Zhou period, the </w:t>
      </w:r>
      <w:r>
        <w:rPr>
          <w:rStyle w:val="Emphasis"/>
        </w:rPr>
        <w:t>gui</w:t>
      </w:r>
      <w:r>
        <w:rPr/>
        <w:t xml:space="preserve">  was only  used as a funerary utensil. Stone and jade </w:t>
      </w:r>
      <w:r>
        <w:rPr>
          <w:rStyle w:val="Emphasis"/>
        </w:rPr>
        <w:t>gui</w:t>
      </w:r>
      <w:r>
        <w:rPr/>
        <w:t>, probably used in a ritual capacity, were found at Yinxu. Yinxu  (</w:t>
      </w:r>
      <w:r>
        <w:rPr>
          <w:rFonts w:ascii="MS Mincho;ＭＳ 明朝" w:hAnsi="MS Mincho;ＭＳ 明朝" w:cs="MS Mincho;ＭＳ 明朝" w:eastAsia="MS Mincho;ＭＳ 明朝"/>
        </w:rPr>
        <w:t>殷墟</w:t>
      </w:r>
      <w:r>
        <w:rPr/>
        <w:t xml:space="preserve">: "Ruins of Yin") is the last capital of China's Shang dynasty. In this location were found oxen scapulae on which were written a script (called by the locals “oracle bones”) that was the earliest known Chinese writing.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L</w:t>
      </w:r>
      <w:r>
        <w:rPr>
          <w:b/>
          <w:bCs/>
        </w:rPr>
        <w:t xml:space="preserve">C Classification: </w:t>
      </w:r>
      <w:r>
        <w:rPr/>
        <w:t>NK7983.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1800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possibly Yinxu</w:t>
      </w:r>
    </w:p>
    <w:p>
      <w:pPr>
        <w:pStyle w:val="Normal"/>
        <w:rPr/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lang w:val="en-US" w:eastAsia="en-US"/>
        </w:rPr>
        <w:drawing>
          <wp:inline distT="0" distB="0" distL="0" distR="0">
            <wp:extent cx="2793365" cy="2506980"/>
            <wp:effectExtent l="0" t="0" r="0" b="0"/>
            <wp:docPr id="2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7" t="-19" r="-1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 xml:space="preserve">GPS coordinates: </w:t>
      </w:r>
      <w:hyperlink r:id="rId4">
        <w:r>
          <w:rPr>
            <w:rStyle w:val="Latitude"/>
            <w:rFonts w:cs="Arial" w:ascii="Arial" w:hAnsi="Arial"/>
            <w:color w:val="663366"/>
            <w:sz w:val="18"/>
            <w:szCs w:val="18"/>
            <w:shd w:fill="F8F9FA" w:val="clear"/>
          </w:rPr>
          <w:t>36°08′22″N</w:t>
        </w:r>
        <w:r>
          <w:rPr>
            <w:rStyle w:val="Geodms"/>
            <w:rFonts w:cs="Arial" w:ascii="Arial" w:hAnsi="Arial"/>
            <w:color w:val="663366"/>
            <w:sz w:val="18"/>
            <w:szCs w:val="18"/>
            <w:shd w:fill="F8F9FA" w:val="clear"/>
          </w:rPr>
          <w:t> </w:t>
        </w:r>
        <w:r>
          <w:rPr>
            <w:rStyle w:val="Longitude"/>
            <w:rFonts w:cs="Arial" w:ascii="Arial" w:hAnsi="Arial"/>
            <w:color w:val="663366"/>
            <w:sz w:val="18"/>
            <w:szCs w:val="18"/>
            <w:shd w:fill="F8F9FA" w:val="clear"/>
          </w:rPr>
          <w:t>114°18′11″E</w:t>
        </w:r>
      </w:hyperlink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Shang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Bronze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Web"/>
        <w:rPr/>
      </w:pPr>
      <w:r>
        <w:rPr/>
        <w:t xml:space="preserve">In the bronze art of the Shang dynasty, the </w:t>
      </w:r>
      <w:r>
        <w:rPr>
          <w:rStyle w:val="Emphasis"/>
        </w:rPr>
        <w:t>gui</w:t>
      </w:r>
      <w:r>
        <w:rPr/>
        <w:t xml:space="preserve"> commonly had four lugs (ear-shaped protuberances) equally spaced on a decorative band just below the rim. As the shape developed in the Zhou dynasty, the lugs were replaced by two or four sturdy handles, often modeled with fanciful animal motifs. A substantial, boxlike stand often anchored the vessel in examples from the Zhou period.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1967. Bronze vessels of ancient China in the Avery Brundage Collection. San Francisco: Asian Art Museum of San Francisco. [Berkeley, Calif.]: Published by Diablo Press for the De Young Museum Society. A comparable example is in the Avery Brundage Collection ( d'Argencé 1967:34-35, no. IX).</w:t>
      </w:r>
    </w:p>
    <w:p>
      <w:pPr>
        <w:pStyle w:val="Normal"/>
        <w:rPr/>
      </w:pPr>
      <w:r>
        <w:rPr/>
        <w:t>Appendix: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57015" cy="2284730"/>
            <wp:effectExtent l="0" t="0" r="0" b="0"/>
            <wp:docPr id="3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378700" cy="4698365"/>
            <wp:effectExtent l="0" t="0" r="0" b="0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039485" cy="3583940"/>
            <wp:effectExtent l="0" t="0" r="0" b="0"/>
            <wp:docPr id="5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706235" cy="6818630"/>
            <wp:effectExtent l="0" t="0" r="0" b="0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82625" cy="9429750"/>
            <wp:effectExtent l="0" t="0" r="0" b="0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25475" cy="8181975"/>
            <wp:effectExtent l="0" t="0" r="0" b="0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4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49525" cy="8496300"/>
            <wp:effectExtent l="0" t="0" r="0" b="0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087600" cy="8648700"/>
            <wp:effectExtent l="0" t="0" r="0" b="0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01900" cy="8524875"/>
            <wp:effectExtent l="0" t="0" r="0" b="0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4373225" cy="8343900"/>
            <wp:effectExtent l="0" t="0" r="0" b="0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2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2925425" cy="9677400"/>
            <wp:effectExtent l="0" t="0" r="0" b="0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</w:t>
      </w:r>
    </w:p>
    <w:p>
      <w:pPr>
        <w:pStyle w:val="Normal"/>
        <w:rPr/>
      </w:pPr>
      <w:r>
        <w:rPr>
          <w:rStyle w:val="StrongEmphasis"/>
        </w:rPr>
        <w:t>Accession No.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>
          <w:rStyle w:val="StrongEmphasis"/>
        </w:rPr>
      </w:pPr>
      <w:r>
        <w:rPr>
          <w:b/>
          <w:bCs/>
        </w:rPr>
        <w:t>Display Description: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MS Mincho">
    <w:altName w:val="ＭＳ 明朝"/>
    <w:charset w:val="80"/>
    <w:family w:val="modern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IntenseReference">
    <w:name w:val="Intense Reference"/>
    <w:qFormat/>
    <w:rPr>
      <w:b/>
      <w:bCs/>
      <w:smallCaps/>
      <w:color w:val="5B9BD5"/>
      <w:spacing w:val="5"/>
    </w:rPr>
  </w:style>
  <w:style w:type="character" w:styleId="St">
    <w:name w:val="st"/>
    <w:qFormat/>
    <w:rPr/>
  </w:style>
  <w:style w:type="character" w:styleId="Emphasis">
    <w:name w:val="Emphasis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Textsmallcaps">
    <w:name w:val="text-smallcaps"/>
    <w:qFormat/>
    <w:rPr/>
  </w:style>
  <w:style w:type="character" w:styleId="Ipa">
    <w:name w:val="ipa"/>
    <w:qFormat/>
    <w:rPr/>
  </w:style>
  <w:style w:type="character" w:styleId="Geodms">
    <w:name w:val="geo-dms"/>
    <w:qFormat/>
    <w:rPr/>
  </w:style>
  <w:style w:type="character" w:styleId="Latitude">
    <w:name w:val="latitude"/>
    <w:qFormat/>
    <w:rPr/>
  </w:style>
  <w:style w:type="character" w:styleId="Longitude">
    <w:name w:val="longitude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>
      <w:rFonts w:eastAsia="Times New Roma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tools.wmflabs.org/geohack/geohack.php?pagename=Yinxu&amp;params=36_08_22_N_114_18_11_E_type:landmark" TargetMode="Externa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2018-07-09T05:51:00Z</dcterms:created>
  <dc:creator>USER</dc:creator>
  <dc:description/>
  <cp:keywords/>
  <dc:language>en-US</dc:language>
  <cp:lastModifiedBy>Ralph Coffman</cp:lastModifiedBy>
  <dcterms:modified xsi:type="dcterms:W3CDTF">2018-07-09T06:55:00Z</dcterms:modified>
  <cp:revision>4</cp:revision>
  <dc:subject/>
  <dc:title>Asia-China-Bronze-Shang-Kuei</dc:title>
</cp:coreProperties>
</file>