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Asia-China-Bronze-Shang-Kuei</w:t>
      </w:r>
    </w:p>
    <w:p>
      <w:pPr>
        <w:pStyle w:val="Normal"/>
        <w:rPr/>
      </w:pPr>
      <w:r>
        <w:rPr/>
        <w:t>A comparable example is in the Avery Brundage Collection ( d'Argencé 1977:34-35, no. IX).</w:t>
      </w:r>
    </w:p>
    <w:p>
      <w:pPr>
        <w:pStyle w:val="Normal"/>
        <w:rPr/>
      </w:pPr>
      <w:r>
        <w:rPr/>
        <w:drawing>
          <wp:inline distT="0" distB="0" distL="0" distR="0">
            <wp:extent cx="6263005" cy="399923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References:</w:t>
      </w:r>
    </w:p>
    <w:p>
      <w:pPr>
        <w:pStyle w:val="Normal"/>
        <w:rPr/>
      </w:pPr>
      <w:r>
        <w:rPr/>
        <w:t>d'Argencé, René-Yvon Lefebvre. 1977. Bronze vessels of ancient China in the Avery Brundage Collection. San Francisco: Asian Art Museum of San Francisco.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5240635" cy="8580120"/>
            <wp:effectExtent l="0" t="0" r="0" b="0"/>
            <wp:docPr id="2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635" cy="85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12744450" cy="811530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13916025" cy="825817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602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9124950" cy="9277350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0" cy="92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382625" cy="942975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625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325475" cy="8181975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4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249525" cy="8496300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52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087600" cy="8648700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201900" cy="8524875"/>
            <wp:effectExtent l="0" t="0" r="0" b="0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4373225" cy="8343900"/>
            <wp:effectExtent l="0" t="0" r="0" b="0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3225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2925425" cy="9677400"/>
            <wp:effectExtent l="0" t="0" r="0" b="0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5425" cy="9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858000" cy="9696450"/>
            <wp:effectExtent l="0" t="0" r="0" b="0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2013-11-22T18:57:00Z</dcterms:created>
  <dc:creator>USER</dc:creator>
  <dc:description/>
  <cp:keywords/>
  <dc:language>en-US</dc:language>
  <cp:lastModifiedBy>Susan Murcott</cp:lastModifiedBy>
  <dcterms:modified xsi:type="dcterms:W3CDTF">2016-10-11T15:17:00Z</dcterms:modified>
  <cp:revision>2</cp:revision>
  <dc:subject/>
  <dc:title>Asia-China-Bronze-Shang-Kuei</dc:title>
</cp:coreProperties>
</file>