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A000-PAC-POLY-Hawai’i-Kaia’i-Menehune-Pregnant Female-Kou wood-1200 CE</w:t>
      </w:r>
    </w:p>
    <w:p>
      <w:pPr>
        <w:pStyle w:val="Normal"/>
        <w:rPr/>
      </w:pPr>
      <w:r>
        <w:rPr/>
        <w:drawing>
          <wp:inline distT="0" distB="0" distL="0" distR="0">
            <wp:extent cx="1622425" cy="37522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0350" cy="36410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24965" cy="36480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7950" cy="36322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1-4. PAC-POLY-Hawai’i-Kaia’i-Menehune-Pregnant Female-Kou wood-1200 CE</w:t>
      </w:r>
    </w:p>
    <w:p>
      <w:pPr>
        <w:pStyle w:val="Normal"/>
        <w:rPr/>
      </w:pPr>
      <w:r>
        <w:rPr>
          <w:rStyle w:val="StrongEmphasis"/>
        </w:rPr>
        <w:t>Case No.: 13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ind w:firstLine="720"/>
        <w:rPr/>
      </w:pPr>
      <w:r>
        <w:rPr>
          <w:bCs/>
          <w:color w:val="000000"/>
          <w:szCs w:val="14"/>
          <w:shd w:fill="F8F8F8" w:val="clear"/>
        </w:rPr>
        <w:t>This wooden sculpture is carved of indigenous kou wood</w:t>
      </w:r>
      <w:r>
        <w:rPr>
          <w:color w:val="000000"/>
          <w:szCs w:val="11"/>
          <w:shd w:fill="FFFFFF" w:val="clear"/>
        </w:rPr>
        <w:t xml:space="preserve"> that is indigenous to Kaua’i</w:t>
      </w:r>
      <w:r>
        <w:rPr>
          <w:bCs/>
          <w:color w:val="000000"/>
          <w:szCs w:val="14"/>
          <w:shd w:fill="F8F8F8" w:val="clear"/>
        </w:rPr>
        <w:t>. It displays a heart-shaped face that is also found on petroglyphs of t</w:t>
      </w:r>
      <w:r>
        <w:rPr>
          <w:color w:val="000000"/>
          <w:szCs w:val="27"/>
        </w:rPr>
        <w:t xml:space="preserve">hese so-called “little” people, who were invoked by the putative first Tahitian settlers of Kaua’i, as commoner inhabitants of the island. </w:t>
      </w:r>
      <w:r>
        <w:rPr>
          <w:color w:val="000000"/>
        </w:rPr>
        <w:t xml:space="preserve">When the Tahitians, who had settled the Tahiti archipelago ca. 200 BCE, after a long migration from South East Asia via the Fijian, Samoan and Tongan Archipelagos (Kirch 2002: 230-231), migrated to Hawai’i the ruling </w:t>
      </w:r>
      <w:r>
        <w:rPr>
          <w:i/>
          <w:iCs/>
          <w:color w:val="000000"/>
        </w:rPr>
        <w:t>ali’i</w:t>
      </w:r>
      <w:r>
        <w:rPr>
          <w:color w:val="000000"/>
        </w:rPr>
        <w:t xml:space="preserve"> or hereditary nobles oppressed the "commoners," or </w:t>
      </w:r>
      <w:r>
        <w:rPr>
          <w:i/>
          <w:iCs/>
          <w:color w:val="000000"/>
        </w:rPr>
        <w:t>manahune</w:t>
      </w:r>
      <w:r>
        <w:rPr>
          <w:color w:val="000000"/>
        </w:rPr>
        <w:t xml:space="preserve"> (in the Tahitian language) who fled to the mountains to escape servitude. With the arrival of later Hawai’ian immigrants “</w:t>
      </w:r>
      <w:r>
        <w:rPr>
          <w:i/>
          <w:iCs/>
          <w:color w:val="000000"/>
        </w:rPr>
        <w:t>manahune”</w:t>
      </w:r>
      <w:r>
        <w:rPr>
          <w:color w:val="000000"/>
        </w:rPr>
        <w:t>, became “</w:t>
      </w:r>
      <w:r>
        <w:rPr>
          <w:i/>
          <w:iCs/>
          <w:color w:val="000000"/>
        </w:rPr>
        <w:t>menehune”</w:t>
      </w:r>
      <w:r>
        <w:rPr>
          <w:color w:val="000000"/>
        </w:rPr>
        <w:t xml:space="preserve"> in the Hawai’ian language. </w:t>
      </w:r>
      <w:r>
        <w:rPr>
          <w:color w:val="000000"/>
          <w:szCs w:val="27"/>
        </w:rPr>
        <w:t xml:space="preserve">The sense of “little” people, therefore, is not a physical description of the </w:t>
      </w:r>
      <w:r>
        <w:rPr>
          <w:i/>
          <w:iCs/>
          <w:color w:val="000000"/>
          <w:szCs w:val="27"/>
        </w:rPr>
        <w:t xml:space="preserve">menehune </w:t>
      </w:r>
      <w:r>
        <w:rPr>
          <w:color w:val="000000"/>
          <w:szCs w:val="27"/>
        </w:rPr>
        <w:t xml:space="preserve">but a metaphoric one, identifying them as “little” in the sense of being lower in social status and not of the elevated élite hereditary </w:t>
      </w:r>
      <w:r>
        <w:rPr>
          <w:i/>
          <w:iCs/>
          <w:color w:val="000000"/>
          <w:szCs w:val="27"/>
        </w:rPr>
        <w:t>ali’i</w:t>
      </w:r>
      <w:r>
        <w:rPr>
          <w:color w:val="000000"/>
          <w:szCs w:val="27"/>
        </w:rPr>
        <w:t xml:space="preserve"> nobles. </w:t>
      </w:r>
      <w:r>
        <w:rPr>
          <w:color w:val="000000"/>
        </w:rPr>
        <w:t xml:space="preserve">Proponents of this theory point to an 1820 census of Kaua’i by Kaumuali’i,  the ruling Ali’i Aimoku  of the island, which listed 65 people as </w:t>
      </w:r>
      <w:r>
        <w:rPr>
          <w:i/>
          <w:iCs/>
          <w:color w:val="000000"/>
        </w:rPr>
        <w:t>menehune</w:t>
      </w:r>
      <w:r>
        <w:rPr>
          <w:color w:val="000000"/>
        </w:rPr>
        <w:t xml:space="preserve"> (</w:t>
      </w:r>
      <w:r>
        <w:rPr>
          <w:rStyle w:val="Referencetext"/>
          <w:color w:val="000000"/>
        </w:rPr>
        <w:t xml:space="preserve">Joesting 1987, pp. 20-22). </w:t>
      </w:r>
      <w:r>
        <w:rPr>
          <w:color w:val="000000"/>
          <w:szCs w:val="21"/>
          <w:shd w:fill="FFFFFF" w:val="clear"/>
        </w:rPr>
        <w:t>Although folklorist</w:t>
      </w:r>
      <w:r>
        <w:rPr>
          <w:rStyle w:val="Appleconvertedspace"/>
          <w:color w:val="000000"/>
          <w:szCs w:val="21"/>
          <w:shd w:fill="FFFFFF" w:val="clear"/>
        </w:rPr>
        <w:t> </w:t>
      </w:r>
      <w:r>
        <w:rPr>
          <w:color w:val="000000"/>
          <w:szCs w:val="21"/>
          <w:shd w:fill="FFFFFF" w:val="clear"/>
        </w:rPr>
        <w:t>Katherine Luomala</w:t>
      </w:r>
      <w:r>
        <w:rPr>
          <w:rStyle w:val="Appleconvertedspace"/>
          <w:color w:val="000000"/>
          <w:szCs w:val="21"/>
          <w:shd w:fill="FFFFFF" w:val="clear"/>
        </w:rPr>
        <w:t xml:space="preserve"> (1951) </w:t>
      </w:r>
      <w:r>
        <w:rPr>
          <w:color w:val="000000"/>
          <w:szCs w:val="21"/>
          <w:shd w:fill="FFFFFF" w:val="clear"/>
        </w:rPr>
        <w:t xml:space="preserve">believes that the legends of the </w:t>
      </w:r>
      <w:r>
        <w:rPr>
          <w:i/>
          <w:iCs/>
          <w:color w:val="000000"/>
          <w:szCs w:val="21"/>
          <w:shd w:fill="FFFFFF" w:val="clear"/>
        </w:rPr>
        <w:t>menehune</w:t>
      </w:r>
      <w:r>
        <w:rPr>
          <w:color w:val="000000"/>
          <w:szCs w:val="21"/>
          <w:shd w:fill="FFFFFF" w:val="clear"/>
        </w:rPr>
        <w:t xml:space="preserve"> and similar diminutuve creatures are a post-European contact</w:t>
      </w:r>
      <w:r>
        <w:rPr>
          <w:rStyle w:val="Appleconvertedspace"/>
          <w:color w:val="000000"/>
          <w:szCs w:val="21"/>
          <w:shd w:fill="FFFFFF" w:val="clear"/>
        </w:rPr>
        <w:t> </w:t>
      </w:r>
      <w:r>
        <w:rPr>
          <w:color w:val="000000"/>
          <w:szCs w:val="21"/>
          <w:shd w:fill="FFFFFF" w:val="clear"/>
        </w:rPr>
        <w:t xml:space="preserve">mythology, this sculpture definitively places the origin of the </w:t>
      </w:r>
      <w:r>
        <w:rPr>
          <w:i/>
          <w:iCs/>
          <w:color w:val="000000"/>
          <w:szCs w:val="21"/>
          <w:shd w:fill="FFFFFF" w:val="clear"/>
        </w:rPr>
        <w:t>menehune</w:t>
      </w:r>
      <w:r>
        <w:rPr>
          <w:color w:val="000000"/>
          <w:szCs w:val="21"/>
          <w:shd w:fill="FFFFFF" w:val="clear"/>
        </w:rPr>
        <w:t xml:space="preserve"> in the pre-contact era. </w:t>
      </w:r>
      <w:r>
        <w:rPr>
          <w:color w:val="000000"/>
          <w:szCs w:val="27"/>
        </w:rPr>
        <w:t xml:space="preserve">It is completely polished and painted with a natural black pigment, further emphasizing the commoner status of the individual who is different from the fairer skinned </w:t>
      </w:r>
      <w:r>
        <w:rPr>
          <w:i/>
          <w:iCs/>
          <w:color w:val="000000"/>
          <w:szCs w:val="27"/>
        </w:rPr>
        <w:t>ali’i</w:t>
      </w:r>
      <w:r>
        <w:rPr>
          <w:color w:val="000000"/>
          <w:szCs w:val="27"/>
        </w:rPr>
        <w:t>, who do not get sun-tanned from gardening in the taro fields.</w:t>
      </w:r>
    </w:p>
    <w:p>
      <w:pPr>
        <w:pStyle w:val="Normal"/>
        <w:rPr>
          <w:b/>
          <w:b/>
          <w:color w:val="000000"/>
          <w:szCs w:val="27"/>
        </w:rPr>
      </w:pPr>
      <w:r>
        <w:rPr>
          <w:b/>
          <w:color w:val="000000"/>
          <w:szCs w:val="27"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b/>
        </w:rPr>
        <w:t xml:space="preserve">Cultural Affiliation: Kaua’I </w:t>
      </w:r>
      <w:r>
        <w:rPr>
          <w:color w:val="000000"/>
          <w:szCs w:val="27"/>
        </w:rPr>
        <w:t xml:space="preserve">pre-contact, ca. 1200 AD/CE, </w:t>
      </w:r>
      <w:r>
        <w:rPr>
          <w:bCs/>
          <w:color w:val="000000"/>
          <w:szCs w:val="14"/>
          <w:shd w:fill="F8F8F8" w:val="clear"/>
        </w:rPr>
        <w:t xml:space="preserve">pregnant female Hawai’ian Menehune figure, extremely rare. </w:t>
      </w:r>
    </w:p>
    <w:p>
      <w:pPr>
        <w:pStyle w:val="Normal"/>
        <w:rPr>
          <w:b/>
          <w:b/>
          <w:bCs/>
          <w:color w:val="000000"/>
          <w:szCs w:val="14"/>
          <w:highlight w:val="white"/>
        </w:rPr>
      </w:pPr>
      <w:r>
        <w:rPr>
          <w:b/>
          <w:bCs/>
          <w:color w:val="000000"/>
          <w:szCs w:val="14"/>
          <w:shd w:fill="F8F8F8" w:val="clear"/>
        </w:rPr>
      </w:r>
    </w:p>
    <w:p>
      <w:pPr>
        <w:pStyle w:val="Normal"/>
        <w:rPr>
          <w:b/>
          <w:b/>
        </w:rPr>
      </w:pPr>
      <w:r>
        <w:rPr>
          <w:b/>
        </w:rPr>
        <w:t>Media: Kou wood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H </w:t>
      </w:r>
      <w:r>
        <w:rPr>
          <w:bCs/>
          <w:color w:val="000000"/>
          <w:szCs w:val="14"/>
          <w:shd w:fill="F8F8F8" w:val="clear"/>
        </w:rPr>
        <w:t>23-inch,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Cs/>
          <w:color w:val="000000"/>
          <w:szCs w:val="14"/>
          <w:highlight w:val="white"/>
        </w:rPr>
      </w:pPr>
      <w:r>
        <w:rPr>
          <w:b/>
        </w:rPr>
        <w:t xml:space="preserve">Provenance: </w:t>
      </w:r>
    </w:p>
    <w:p>
      <w:pPr>
        <w:pStyle w:val="TextBodyIndent"/>
        <w:rPr/>
      </w:pPr>
      <w:r>
        <w:rPr/>
        <w:t>Provenance: From the Godeffroy Collection, Umlauf Trading, Leipzig via Frankfurt, Germany. Guaranteed authentic and as described.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Web"/>
        <w:rPr/>
      </w:pPr>
      <w:r>
        <w:rPr/>
        <w:t>The Menehune were said to be superb craftspeople. Legends say that the Menehune built temples (</w:t>
      </w:r>
      <w:hyperlink r:id="rId6">
        <w:r>
          <w:rPr>
            <w:rStyle w:val="InternetLink"/>
            <w:i/>
            <w:iCs/>
          </w:rPr>
          <w:t>heiau</w:t>
        </w:r>
      </w:hyperlink>
      <w:r>
        <w:rPr/>
        <w:t xml:space="preserve">), </w:t>
      </w:r>
      <w:hyperlink r:id="rId7">
        <w:r>
          <w:rPr>
            <w:rStyle w:val="InternetLink"/>
          </w:rPr>
          <w:t>fishponds</w:t>
        </w:r>
      </w:hyperlink>
      <w:r>
        <w:rPr/>
        <w:t xml:space="preserve">, roads, </w:t>
      </w:r>
      <w:hyperlink r:id="rId8">
        <w:r>
          <w:rPr>
            <w:rStyle w:val="InternetLink"/>
          </w:rPr>
          <w:t>canoes</w:t>
        </w:r>
      </w:hyperlink>
      <w:r>
        <w:rPr/>
        <w:t xml:space="preserve">, and houses. Some of these structures that Hawaiian folklore attributed to the Menehune still exist. They are said to have lived in </w:t>
      </w:r>
      <w:hyperlink r:id="rId9">
        <w:r>
          <w:rPr>
            <w:rStyle w:val="InternetLink"/>
          </w:rPr>
          <w:t>Hawai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before settlers arrived from </w:t>
      </w:r>
      <w:hyperlink r:id="rId10">
        <w:r>
          <w:rPr>
            <w:rStyle w:val="InternetLink"/>
          </w:rPr>
          <w:t>Polynesia</w:t>
        </w:r>
      </w:hyperlink>
      <w:r>
        <w:rPr/>
        <w:t xml:space="preserve"> many centuries ago.</w:t>
      </w:r>
    </w:p>
    <w:p>
      <w:pPr>
        <w:pStyle w:val="NormalWeb"/>
        <w:rPr>
          <w:vertAlign w:val="superscript"/>
        </w:rPr>
      </w:pPr>
      <w:r>
        <w:rPr/>
        <w:t xml:space="preserve">In Beckwith's </w:t>
      </w:r>
      <w:r>
        <w:rPr>
          <w:i/>
          <w:iCs/>
        </w:rPr>
        <w:t>Hawaiian Mythology</w:t>
      </w:r>
      <w:r>
        <w:rPr/>
        <w:t xml:space="preserve">, there are references to several other forest dwelling races: the </w:t>
      </w:r>
      <w:hyperlink r:id="rId11">
        <w:r>
          <w:rPr>
            <w:rStyle w:val="InternetLink"/>
            <w:i/>
            <w:iCs/>
          </w:rPr>
          <w:t>Nawao</w:t>
        </w:r>
      </w:hyperlink>
      <w:r>
        <w:rPr/>
        <w:t xml:space="preserve">, who were large-sized wild hunters descended from </w:t>
      </w:r>
      <w:hyperlink r:id="rId12">
        <w:r>
          <w:rPr>
            <w:rStyle w:val="InternetLink"/>
          </w:rPr>
          <w:t>Lua-nu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u</w:t>
        </w:r>
      </w:hyperlink>
      <w:r>
        <w:rPr/>
        <w:t xml:space="preserve">, the </w:t>
      </w:r>
      <w:r>
        <w:rPr>
          <w:i/>
          <w:iCs/>
        </w:rPr>
        <w:t>mu</w:t>
      </w:r>
      <w:r>
        <w:rPr/>
        <w:t xml:space="preserve"> people, and the </w:t>
      </w:r>
      <w:r>
        <w:rPr>
          <w:i/>
          <w:iCs/>
        </w:rPr>
        <w:t>wa</w:t>
      </w:r>
      <w:r>
        <w:rPr/>
        <w:t xml:space="preserve"> people.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>
          <w:vertAlign w:val="superscript"/>
        </w:rPr>
      </w:pPr>
      <w:r>
        <w:rPr/>
        <w:t>Some early scholars theorized that there was a first settlement of Hawai</w:t>
      </w:r>
      <w:r>
        <w:rPr>
          <w:rStyle w:val="Unicode"/>
        </w:rPr>
        <w:t>ʻ</w:t>
      </w:r>
      <w:r>
        <w:rPr/>
        <w:t xml:space="preserve">i, by settlers from the </w:t>
      </w:r>
      <w:hyperlink r:id="rId13">
        <w:r>
          <w:rPr>
            <w:rStyle w:val="InternetLink"/>
          </w:rPr>
          <w:t>Marquesas Islands</w:t>
        </w:r>
      </w:hyperlink>
      <w:r>
        <w:rPr/>
        <w:t xml:space="preserve">, and a second, from </w:t>
      </w:r>
      <w:hyperlink r:id="rId14">
        <w:r>
          <w:rPr>
            <w:rStyle w:val="InternetLink"/>
          </w:rPr>
          <w:t>Tahiti</w:t>
        </w:r>
      </w:hyperlink>
      <w:r>
        <w:rPr/>
        <w:t xml:space="preserve">. The Tahitian settlers oppressed the "commoners", the </w:t>
      </w:r>
      <w:r>
        <w:rPr>
          <w:i/>
          <w:iCs/>
        </w:rPr>
        <w:t>manahune</w:t>
      </w:r>
      <w:r>
        <w:rPr/>
        <w:t xml:space="preserve"> in the </w:t>
      </w:r>
      <w:hyperlink r:id="rId15">
        <w:r>
          <w:rPr>
            <w:rStyle w:val="InternetLink"/>
          </w:rPr>
          <w:t>Tahitian language</w:t>
        </w:r>
      </w:hyperlink>
      <w:r>
        <w:rPr/>
        <w:t xml:space="preserve">, who fled to the mountains and were called Menahune. Proponents of this theory point to an 1820 census of </w:t>
      </w:r>
      <w:hyperlink r:id="rId16">
        <w:r>
          <w:rPr>
            <w:rStyle w:val="InternetLink"/>
          </w:rPr>
          <w:t>Kaua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by </w:t>
      </w:r>
      <w:hyperlink r:id="rId17">
        <w:r>
          <w:rPr>
            <w:rStyle w:val="InternetLink"/>
          </w:rPr>
          <w:t>Kaumuali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, the ruling </w:t>
      </w:r>
      <w:hyperlink r:id="rId18">
        <w:r>
          <w:rPr>
            <w:rStyle w:val="InternetLink"/>
            <w:i/>
            <w:iCs/>
          </w:rPr>
          <w:t>Ali</w:t>
        </w:r>
        <w:r>
          <w:rPr>
            <w:rStyle w:val="Unicode"/>
            <w:i/>
            <w:iCs/>
            <w:color w:val="0000FF"/>
          </w:rPr>
          <w:t>ʻ</w:t>
        </w:r>
        <w:r>
          <w:rPr>
            <w:rStyle w:val="InternetLink"/>
            <w:i/>
            <w:iCs/>
          </w:rPr>
          <w:t>i Aimoku</w:t>
        </w:r>
      </w:hyperlink>
      <w:r>
        <w:rPr/>
        <w:t xml:space="preserve"> of the island, which listed 65 people as </w:t>
      </w:r>
      <w:r>
        <w:rPr>
          <w:i/>
          <w:iCs/>
        </w:rPr>
        <w:t>menehune</w:t>
      </w:r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/>
      </w:pPr>
      <w:r>
        <w:rPr/>
        <w:t xml:space="preserve">Folklorist </w:t>
      </w:r>
      <w:hyperlink r:id="rId19">
        <w:r>
          <w:rPr>
            <w:rStyle w:val="InternetLink"/>
          </w:rPr>
          <w:t>Katharine Luomala</w:t>
        </w:r>
      </w:hyperlink>
      <w:r>
        <w:rPr/>
        <w:t xml:space="preserve"> believes that the legends of the </w:t>
      </w:r>
      <w:r>
        <w:rPr>
          <w:i/>
          <w:iCs/>
        </w:rPr>
        <w:t>Menehune</w:t>
      </w:r>
      <w:r>
        <w:rPr/>
        <w:t xml:space="preserve"> are a post-European contact mythology created by adaptation of the term </w:t>
      </w:r>
      <w:r>
        <w:rPr>
          <w:i/>
          <w:iCs/>
        </w:rPr>
        <w:t>manahune</w:t>
      </w:r>
      <w:r>
        <w:rPr/>
        <w:t xml:space="preserve"> (which by the time of the colonizing of the Hawaiian Islands by Europeans had acquired a meaning of "lowly people" or "low social status" and not diminutive in stature) to European legends of </w:t>
      </w:r>
      <w:hyperlink r:id="rId20">
        <w:r>
          <w:rPr>
            <w:rStyle w:val="InternetLink"/>
          </w:rPr>
          <w:t>brownies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'"It is claimed that "Menehune </w:t>
      </w:r>
      <w:r>
        <w:rPr>
          <w:i/>
          <w:iCs/>
        </w:rPr>
        <w:t>are not mentioned in pre-contact mythology, although this is unproven since it was clearly an oral mythology; the legendary "overnight" creation of the Alekoko fishpond, for example, finds its equivalent in the legend</w:t>
      </w:r>
      <w:r>
        <w:fldChar w:fldCharType="begin"/>
      </w:r>
      <w:r>
        <w:rPr>
          <w:rStyle w:val="InternetLink"/>
          <w:vertAlign w:val="superscript"/>
          <w:i/>
          <w:iCs/>
        </w:rPr>
        <w:instrText> HYPERLINK "https://en.wikipedia.org/wiki/Menehune" \l "cite_note-4"</w:instrText>
      </w:r>
      <w:r>
        <w:rPr>
          <w:rStyle w:val="InternetLink"/>
          <w:vertAlign w:val="superscript"/>
          <w:i/>
          <w:iCs/>
        </w:rPr>
        <w:fldChar w:fldCharType="separate"/>
      </w:r>
      <w:r>
        <w:rPr>
          <w:rStyle w:val="InternetLink"/>
          <w:i/>
          <w:iCs/>
          <w:vertAlign w:val="superscript"/>
        </w:rPr>
        <w:t>[4]</w:t>
      </w:r>
      <w:r>
        <w:rPr>
          <w:rStyle w:val="InternetLink"/>
          <w:vertAlign w:val="superscript"/>
          <w:i/>
          <w:iCs/>
        </w:rPr>
        <w:fldChar w:fldCharType="end"/>
      </w:r>
      <w:r>
        <w:rPr>
          <w:i/>
          <w:iCs/>
        </w:rPr>
        <w:t xml:space="preserve"> about the creation of a corresponding structure on </w:t>
      </w:r>
      <w:hyperlink r:id="rId21">
        <w:r>
          <w:rPr>
            <w:rStyle w:val="InternetLink"/>
            <w:i/>
            <w:iCs/>
          </w:rPr>
          <w:t>O</w:t>
        </w:r>
        <w:r>
          <w:rPr>
            <w:rStyle w:val="Unicode"/>
            <w:i/>
            <w:iCs/>
            <w:color w:val="0000FF"/>
          </w:rPr>
          <w:t>ʻ</w:t>
        </w:r>
        <w:r>
          <w:rPr>
            <w:rStyle w:val="InternetLink"/>
            <w:i/>
            <w:iCs/>
          </w:rPr>
          <w:t>ahu</w:t>
        </w:r>
      </w:hyperlink>
      <w:r>
        <w:rPr>
          <w:i/>
          <w:iCs/>
        </w:rPr>
        <w:t>, which was supposedly indeed completed in a single day — not by</w:t>
      </w:r>
      <w:r>
        <w:rPr/>
        <w:t xml:space="preserve"> menehune </w:t>
      </w:r>
      <w:r>
        <w:rPr>
          <w:i/>
          <w:iCs/>
        </w:rPr>
        <w:t>but, as a show of power, by a local</w:t>
      </w:r>
      <w:r>
        <w:rPr/>
        <w:t xml:space="preserve"> </w:t>
      </w:r>
      <w:hyperlink r:id="rId22">
        <w:r>
          <w:rPr>
            <w:rStyle w:val="InternetLink"/>
          </w:rPr>
          <w:t>ali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</w:t>
      </w:r>
      <w:r>
        <w:rPr>
          <w:i/>
          <w:iCs/>
        </w:rPr>
        <w:t>who demanded every one of his subjects to appear at the construction site and assist in building.</w:t>
      </w:r>
    </w:p>
    <w:p>
      <w:pPr>
        <w:pStyle w:val="NormalWeb"/>
        <w:rPr/>
      </w:pPr>
      <w:r>
        <w:rPr/>
        <w:t>No physical evidence for the existence of a historical people that fits the description of the Menehune has been discovered.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"cite_note-5"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[5]</w:t>
      </w:r>
      <w:r>
        <w:rPr>
          <w:rStyle w:val="InternetLink"/>
          <w:vertAlign w:val="superscript"/>
        </w:rPr>
        <w:fldChar w:fldCharType="end"/>
      </w:r>
      <w:r>
        <w:rPr>
          <w:vertAlign w:val="superscript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However, the following structures have been cited as evidence: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Menehune fishpond wall at </w:t>
      </w:r>
      <w:hyperlink r:id="rId23">
        <w:r>
          <w:rPr>
            <w:rStyle w:val="InternetLink"/>
          </w:rPr>
          <w:t>Niumalu</w:t>
        </w:r>
      </w:hyperlink>
      <w:r>
        <w:rPr/>
        <w:t>, Kaua</w:t>
      </w:r>
      <w:r>
        <w:rPr>
          <w:rStyle w:val="Unicode"/>
        </w:rPr>
        <w:t>ʻ</w:t>
      </w:r>
      <w:r>
        <w:rPr/>
        <w:t>i</w:t>
      </w:r>
    </w:p>
    <w:p>
      <w:pPr>
        <w:pStyle w:val="Normal"/>
        <w:numPr>
          <w:ilvl w:val="0"/>
          <w:numId w:val="1"/>
        </w:numPr>
        <w:spacing w:before="0" w:after="0"/>
        <w:rPr/>
      </w:pPr>
      <w:hyperlink r:id="rId24">
        <w:r>
          <w:rPr>
            <w:rStyle w:val="InternetLink"/>
          </w:rPr>
          <w:t>Kīkīaola</w:t>
        </w:r>
      </w:hyperlink>
      <w:r>
        <w:rPr/>
        <w:t xml:space="preserve"> ditch at </w:t>
      </w:r>
      <w:hyperlink r:id="rId25">
        <w:r>
          <w:rPr>
            <w:rStyle w:val="InternetLink"/>
          </w:rPr>
          <w:t>Waimea</w:t>
        </w:r>
      </w:hyperlink>
      <w:r>
        <w:rPr/>
        <w:t>, Kaua</w:t>
      </w:r>
      <w:r>
        <w:rPr>
          <w:rStyle w:val="Unicode"/>
        </w:rPr>
        <w:t>ʻ</w:t>
      </w:r>
      <w:r>
        <w:rPr/>
        <w:t>i</w:t>
      </w:r>
    </w:p>
    <w:p>
      <w:pPr>
        <w:pStyle w:val="Normal"/>
        <w:numPr>
          <w:ilvl w:val="0"/>
          <w:numId w:val="1"/>
        </w:numPr>
        <w:spacing w:before="0" w:after="0"/>
        <w:rPr/>
      </w:pPr>
      <w:hyperlink r:id="rId26">
        <w:r>
          <w:rPr>
            <w:rStyle w:val="InternetLink"/>
          </w:rPr>
          <w:t>Necker Island</w:t>
        </w:r>
      </w:hyperlink>
      <w:r>
        <w:rPr/>
        <w:t xml:space="preserve"> structures</w:t>
      </w:r>
    </w:p>
    <w:p>
      <w:pPr>
        <w:pStyle w:val="Normal"/>
        <w:numPr>
          <w:ilvl w:val="0"/>
          <w:numId w:val="1"/>
        </w:numPr>
        <w:spacing w:before="0" w:after="0"/>
        <w:rPr>
          <w:vertAlign w:val="superscript"/>
        </w:rPr>
      </w:pPr>
      <w:r>
        <w:rPr>
          <w:i/>
          <w:iCs/>
        </w:rPr>
        <w:t>Pa o ka menehune</w:t>
      </w:r>
      <w:r>
        <w:rPr/>
        <w:t xml:space="preserve">, breakwater at </w:t>
      </w:r>
      <w:hyperlink r:id="rId27">
        <w:r>
          <w:rPr>
            <w:rStyle w:val="InternetLink"/>
          </w:rPr>
          <w:t>Kahalu</w:t>
        </w:r>
        <w:r>
          <w:rPr>
            <w:rStyle w:val="Unicode"/>
            <w:color w:val="0000FF"/>
          </w:rPr>
          <w:t>ʻ</w:t>
        </w:r>
        <w:r>
          <w:rPr>
            <w:rStyle w:val="InternetLink"/>
          </w:rPr>
          <w:t>u Bay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"cite_note-7"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[7]</w:t>
      </w:r>
      <w:r>
        <w:rPr>
          <w:rStyle w:val="InternetLink"/>
          <w:vertAlign w:val="superscript"/>
        </w:rPr>
        <w:fldChar w:fldCharType="end"/>
      </w:r>
    </w:p>
    <w:p>
      <w:pPr>
        <w:pStyle w:val="Normal"/>
        <w:numPr>
          <w:ilvl w:val="0"/>
          <w:numId w:val="1"/>
        </w:numPr>
        <w:spacing w:before="0" w:after="280"/>
        <w:rPr/>
      </w:pPr>
      <w:hyperlink r:id="rId28">
        <w:r>
          <w:rPr>
            <w:rStyle w:val="InternetLink"/>
          </w:rPr>
          <w:t>Ulupo Heiau</w:t>
        </w:r>
      </w:hyperlink>
      <w:r>
        <w:rPr/>
        <w:t xml:space="preserve"> at Kailua, Oahu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173" w:before="280" w:after="24"/>
        <w:ind w:start="768" w:hanging="360"/>
        <w:rPr>
          <w:rStyle w:val="Appleconvertedspace"/>
          <w:rFonts w:cs="Arial"/>
          <w:color w:val="000000"/>
          <w:szCs w:val="19"/>
        </w:rPr>
      </w:pPr>
      <w:r>
        <w:rPr>
          <w:rStyle w:val="HTMLCite"/>
          <w:rFonts w:cs="Arial"/>
          <w:i w:val="false"/>
          <w:color w:val="000000"/>
          <w:szCs w:val="19"/>
        </w:rPr>
        <w:t>Beckwith, Martha. 1970.</w:t>
      </w:r>
      <w:r>
        <w:rPr>
          <w:rStyle w:val="Appleconvertedspace"/>
          <w:rFonts w:cs="Arial"/>
          <w:iCs/>
          <w:color w:val="000000"/>
          <w:szCs w:val="19"/>
        </w:rPr>
        <w:t> </w:t>
      </w:r>
      <w:r>
        <w:rPr>
          <w:rStyle w:val="HTMLCite"/>
          <w:rFonts w:cs="Arial"/>
          <w:iCs w:val="false"/>
          <w:color w:val="000000"/>
          <w:szCs w:val="19"/>
        </w:rPr>
        <w:t>Hawai’ian Mythology</w:t>
      </w:r>
      <w:r>
        <w:rPr>
          <w:rStyle w:val="HTMLCite"/>
          <w:rFonts w:cs="Arial"/>
          <w:i w:val="false"/>
          <w:color w:val="000000"/>
          <w:szCs w:val="19"/>
        </w:rPr>
        <w:t>. Honolulu: University of Hawai’i Press.</w:t>
      </w:r>
      <w:r>
        <w:rPr>
          <w:rStyle w:val="Appleconvertedspace"/>
          <w:rFonts w:cs="Arial"/>
          <w:iCs/>
          <w:color w:val="000000"/>
          <w:szCs w:val="19"/>
        </w:rPr>
        <w:t> 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173" w:before="0" w:after="0"/>
        <w:ind w:start="768" w:hanging="360"/>
        <w:rPr>
          <w:rStyle w:val="Appleconvertedspace"/>
          <w:rFonts w:cs="Arial"/>
          <w:color w:val="000000"/>
          <w:szCs w:val="19"/>
        </w:rPr>
      </w:pPr>
      <w:r>
        <w:rPr>
          <w:rStyle w:val="HTMLCite"/>
          <w:i w:val="false"/>
          <w:color w:val="000000"/>
        </w:rPr>
        <w:t xml:space="preserve">Joesting, Edward. 1984. Kaua’i, </w:t>
      </w:r>
      <w:r>
        <w:rPr>
          <w:rStyle w:val="HTMLCite"/>
          <w:iCs w:val="false"/>
          <w:color w:val="000000"/>
        </w:rPr>
        <w:t>The Separate Kingdom</w:t>
      </w:r>
      <w:r>
        <w:rPr>
          <w:rStyle w:val="HTMLCite"/>
          <w:i w:val="false"/>
          <w:color w:val="000000"/>
        </w:rPr>
        <w:t xml:space="preserve">. Honolulu, Hawaii: </w:t>
      </w:r>
      <w:hyperlink r:id="rId29">
        <w:r>
          <w:rPr>
            <w:rStyle w:val="InternetLink"/>
            <w:iCs/>
            <w:color w:val="000000"/>
            <w:u w:val="none"/>
          </w:rPr>
          <w:t xml:space="preserve">University of </w:t>
        </w:r>
        <w:r>
          <w:rPr>
            <w:rStyle w:val="HTMLCite"/>
            <w:rFonts w:cs="Arial"/>
            <w:i w:val="false"/>
            <w:color w:val="000000"/>
            <w:szCs w:val="19"/>
          </w:rPr>
          <w:t>Hawai’i</w:t>
        </w:r>
        <w:r>
          <w:rPr>
            <w:rStyle w:val="InternetLink"/>
            <w:iCs/>
            <w:color w:val="000000"/>
            <w:u w:val="none"/>
          </w:rPr>
          <w:t xml:space="preserve"> Press</w:t>
        </w:r>
      </w:hyperlink>
      <w:r>
        <w:rPr>
          <w:rStyle w:val="HTMLCite"/>
          <w:i w:val="false"/>
          <w:color w:val="000000"/>
        </w:rPr>
        <w:t xml:space="preserve"> and Kaua’i Museum Association.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173" w:before="0" w:after="0"/>
        <w:ind w:start="768" w:hanging="360"/>
        <w:rPr>
          <w:rFonts w:cs="Arial"/>
          <w:color w:val="000000"/>
          <w:szCs w:val="19"/>
        </w:rPr>
      </w:pPr>
      <w:r>
        <w:rPr>
          <w:rStyle w:val="Referencetext"/>
          <w:color w:val="000000"/>
        </w:rPr>
        <w:t xml:space="preserve">P.V. Kirch. 2002. </w:t>
      </w:r>
      <w:r>
        <w:rPr>
          <w:rStyle w:val="Referencetext"/>
          <w:i/>
          <w:iCs/>
          <w:color w:val="000000"/>
        </w:rPr>
        <w:t>On the Road of the Winds – An Archaeological History of the Pacific Islands Before European Contact</w:t>
      </w:r>
      <w:r>
        <w:rPr>
          <w:rStyle w:val="Referencetext"/>
          <w:color w:val="000000"/>
        </w:rPr>
        <w:t xml:space="preserve">. Berkeley, Los Angeles, London: 2002, 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173" w:before="0" w:after="280"/>
        <w:ind w:start="768" w:hanging="360"/>
        <w:rPr>
          <w:rStyle w:val="HTMLCite"/>
          <w:rFonts w:cs="Arial"/>
          <w:i w:val="false"/>
          <w:i w:val="false"/>
          <w:iCs w:val="false"/>
          <w:color w:val="000000"/>
          <w:szCs w:val="19"/>
        </w:rPr>
      </w:pPr>
      <w:r>
        <w:rPr>
          <w:rStyle w:val="HTMLCite"/>
          <w:rFonts w:cs="Arial"/>
          <w:i w:val="false"/>
          <w:color w:val="000000"/>
          <w:szCs w:val="19"/>
        </w:rPr>
        <w:t>Luomala, Katharine. 1951.</w:t>
      </w:r>
      <w:r>
        <w:rPr>
          <w:rStyle w:val="Appleconvertedspace"/>
          <w:rFonts w:cs="Arial"/>
          <w:iCs/>
          <w:color w:val="000000"/>
          <w:szCs w:val="19"/>
        </w:rPr>
        <w:t> </w:t>
      </w:r>
      <w:r>
        <w:rPr>
          <w:rStyle w:val="HTMLCite"/>
          <w:rFonts w:cs="Arial"/>
          <w:iCs w:val="false"/>
          <w:color w:val="000000"/>
          <w:szCs w:val="19"/>
        </w:rPr>
        <w:t>The Menehune of Polynesia and other mythical little people of Oceania.</w:t>
      </w:r>
      <w:r>
        <w:rPr>
          <w:rStyle w:val="HTMLCite"/>
          <w:rFonts w:cs="Arial"/>
          <w:i w:val="false"/>
          <w:color w:val="000000"/>
          <w:szCs w:val="19"/>
        </w:rPr>
        <w:t xml:space="preserve"> Bernice P. Bishop Museum Bulletin  no. 203. Honolulu: Bernice P. Bishop Museum.</w:t>
      </w:r>
    </w:p>
    <w:p>
      <w:pPr>
        <w:pStyle w:val="Normal"/>
        <w:rPr>
          <w:rStyle w:val="HTMLCite"/>
          <w:rFonts w:cs="Arial"/>
          <w:i w:val="false"/>
          <w:i w:val="false"/>
          <w:iCs w:val="false"/>
          <w:color w:val="000000"/>
          <w:szCs w:val="19"/>
        </w:rPr>
      </w:pPr>
      <w:r>
        <w:rPr/>
      </w:r>
    </w:p>
    <w:p>
      <w:pPr>
        <w:pStyle w:val="Normal"/>
        <w:rPr/>
      </w:pPr>
      <w:r>
        <w:rPr/>
        <w:t>Appendix: Photograph showing the tree rigs of the kou wood of the sculpture’s base.</w:t>
      </w:r>
    </w:p>
    <w:p>
      <w:pPr>
        <w:pStyle w:val="Normal"/>
        <w:rPr/>
      </w:pPr>
      <w:r>
        <w:rPr/>
        <w:drawing>
          <wp:inline distT="0" distB="0" distL="0" distR="0">
            <wp:extent cx="1760220" cy="180276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7" r="-7" b="-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02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vertAlign w:val="superscript"/>
        <w:sz w:val="20"/>
        <w:rFonts w:cs="Symbo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i w:val="false"/>
        <w:szCs w:val="19"/>
        <w:iCs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  <w:vertAlign w:val="superscript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cs="Arial"/>
      <w:i w:val="false"/>
      <w:iCs/>
      <w:szCs w:val="19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Unicode">
    <w:name w:val="unicode"/>
    <w:basedOn w:val="DefaultParagraphFont"/>
    <w:qFormat/>
    <w:rPr/>
  </w:style>
  <w:style w:type="character" w:styleId="Referencetext">
    <w:name w:val="reference-tex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firstLine="720"/>
    </w:pPr>
    <w:rPr>
      <w:color w:val="000000"/>
      <w:szCs w:val="27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en.wikipedia.org/wiki/Heiau" TargetMode="External"/><Relationship Id="rId7" Type="http://schemas.openxmlformats.org/officeDocument/2006/relationships/hyperlink" Target="https://en.wikipedia.org/wiki/Ancient_Hawaiian_aquaculture" TargetMode="External"/><Relationship Id="rId8" Type="http://schemas.openxmlformats.org/officeDocument/2006/relationships/hyperlink" Target="https://en.wikipedia.org/wiki/Canoe" TargetMode="External"/><Relationship Id="rId9" Type="http://schemas.openxmlformats.org/officeDocument/2006/relationships/hyperlink" Target="https://en.wikipedia.org/wiki/Hawaii" TargetMode="External"/><Relationship Id="rId10" Type="http://schemas.openxmlformats.org/officeDocument/2006/relationships/hyperlink" Target="https://en.wikipedia.org/wiki/Polynesia" TargetMode="External"/><Relationship Id="rId11" Type="http://schemas.openxmlformats.org/officeDocument/2006/relationships/hyperlink" Target="https://en.wikipedia.org/wiki/Nawao" TargetMode="External"/><Relationship Id="rId12" Type="http://schemas.openxmlformats.org/officeDocument/2006/relationships/hyperlink" Target="https://en.wikipedia.org/w/index.php?title=Lua-nu&apos;u&amp;action=edit&amp;redlink=1" TargetMode="External"/><Relationship Id="rId13" Type="http://schemas.openxmlformats.org/officeDocument/2006/relationships/hyperlink" Target="https://en.wikipedia.org/wiki/Marquesas_Islands" TargetMode="External"/><Relationship Id="rId14" Type="http://schemas.openxmlformats.org/officeDocument/2006/relationships/hyperlink" Target="https://en.wikipedia.org/wiki/Tahiti" TargetMode="External"/><Relationship Id="rId15" Type="http://schemas.openxmlformats.org/officeDocument/2006/relationships/hyperlink" Target="https://en.wikipedia.org/wiki/Tahitian_language" TargetMode="External"/><Relationship Id="rId16" Type="http://schemas.openxmlformats.org/officeDocument/2006/relationships/hyperlink" Target="https://en.wikipedia.org/wiki/Kauai" TargetMode="External"/><Relationship Id="rId17" Type="http://schemas.openxmlformats.org/officeDocument/2006/relationships/hyperlink" Target="https://en.wikipedia.org/wiki/Kaumualii" TargetMode="External"/><Relationship Id="rId18" Type="http://schemas.openxmlformats.org/officeDocument/2006/relationships/hyperlink" Target="https://en.wikipedia.org/wiki/Alii" TargetMode="External"/><Relationship Id="rId19" Type="http://schemas.openxmlformats.org/officeDocument/2006/relationships/hyperlink" Target="https://en.wikipedia.org/wiki/Katharine_Luomala" TargetMode="External"/><Relationship Id="rId20" Type="http://schemas.openxmlformats.org/officeDocument/2006/relationships/hyperlink" Target="https://en.wikipedia.org/wiki/Brownie_(elf)" TargetMode="External"/><Relationship Id="rId21" Type="http://schemas.openxmlformats.org/officeDocument/2006/relationships/hyperlink" Target="https://en.wikipedia.org/wiki/Oahu" TargetMode="External"/><Relationship Id="rId22" Type="http://schemas.openxmlformats.org/officeDocument/2006/relationships/hyperlink" Target="https://en.wikipedia.org/wiki/Alii" TargetMode="External"/><Relationship Id="rId23" Type="http://schemas.openxmlformats.org/officeDocument/2006/relationships/hyperlink" Target="https://en.wikipedia.org/wiki/Niumalu" TargetMode="External"/><Relationship Id="rId24" Type="http://schemas.openxmlformats.org/officeDocument/2006/relationships/hyperlink" Target="https://en.wikipedia.org/wiki/Kikiaola" TargetMode="External"/><Relationship Id="rId25" Type="http://schemas.openxmlformats.org/officeDocument/2006/relationships/hyperlink" Target="https://en.wikipedia.org/wiki/Waimea,_Kauai_County,_Hawaii" TargetMode="External"/><Relationship Id="rId26" Type="http://schemas.openxmlformats.org/officeDocument/2006/relationships/hyperlink" Target="https://en.wikipedia.org/wiki/Necker_Island_(Northwestern_Hawaiian_Islands)" TargetMode="External"/><Relationship Id="rId27" Type="http://schemas.openxmlformats.org/officeDocument/2006/relationships/hyperlink" Target="https://en.wikipedia.org/wiki/Kahaluu_Bay" TargetMode="External"/><Relationship Id="rId28" Type="http://schemas.openxmlformats.org/officeDocument/2006/relationships/hyperlink" Target="https://en.wikipedia.org/wiki/Ulupo_Heiau_State_Historic_Site" TargetMode="External"/><Relationship Id="rId29" Type="http://schemas.openxmlformats.org/officeDocument/2006/relationships/hyperlink" Target="https://en.wikipedia.org/wiki/University_of_Hawaii_Press" TargetMode="External"/><Relationship Id="rId30" Type="http://schemas.openxmlformats.org/officeDocument/2006/relationships/image" Target="media/image5.jpe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2018-07-24T10:05:00Z</dcterms:created>
  <dc:creator>owner</dc:creator>
  <dc:description/>
  <cp:keywords/>
  <dc:language>en-US</dc:language>
  <cp:lastModifiedBy>Ralph Coffman</cp:lastModifiedBy>
  <dcterms:modified xsi:type="dcterms:W3CDTF">2018-07-24T10:05:00Z</dcterms:modified>
  <cp:revision>2</cp:revision>
  <dc:subject/>
  <dc:title>DIS-PAC-POLY-Hawai’i-Menehune</dc:title>
</cp:coreProperties>
</file>