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D4372A" w14:textId="77777777" w:rsidR="00B70CF7" w:rsidRPr="00BC00C5" w:rsidRDefault="00BC00C5" w:rsidP="00BC00C5">
      <w:pPr>
        <w:spacing w:after="0"/>
      </w:pPr>
      <w:r>
        <w:rPr>
          <w:rFonts w:eastAsia="Times New Roman"/>
        </w:rPr>
        <w:t>A1502-</w:t>
      </w:r>
      <w:r w:rsidR="00B70CF7">
        <w:rPr>
          <w:rFonts w:eastAsia="Times New Roman"/>
        </w:rPr>
        <w:t>MEX-</w:t>
      </w:r>
      <w:r w:rsidRPr="00BC00C5">
        <w:rPr>
          <w:rFonts w:eastAsia="Times New Roman"/>
        </w:rPr>
        <w:t xml:space="preserve"> </w:t>
      </w:r>
      <w:r>
        <w:rPr>
          <w:rFonts w:eastAsia="Times New Roman"/>
        </w:rPr>
        <w:t>Teotihuacan-</w:t>
      </w:r>
      <w:proofErr w:type="spellStart"/>
      <w:r w:rsidRPr="001D1318">
        <w:rPr>
          <w:rFonts w:eastAsia="Times New Roman"/>
          <w:iCs/>
        </w:rPr>
        <w:t>Incensario</w:t>
      </w:r>
      <w:proofErr w:type="spellEnd"/>
      <w:r w:rsidRPr="001D1318">
        <w:rPr>
          <w:rFonts w:eastAsia="Times New Roman"/>
          <w:iCs/>
        </w:rPr>
        <w:t xml:space="preserve"> Lid</w:t>
      </w:r>
      <w:r>
        <w:rPr>
          <w:rFonts w:eastAsia="Times New Roman"/>
        </w:rPr>
        <w:t xml:space="preserve"> –</w:t>
      </w:r>
      <w:r w:rsidRPr="001D1318">
        <w:rPr>
          <w:rFonts w:eastAsia="Times New Roman"/>
        </w:rPr>
        <w:t>Ceramic</w:t>
      </w:r>
      <w:r>
        <w:rPr>
          <w:rFonts w:eastAsia="Times New Roman"/>
        </w:rPr>
        <w:t>-</w:t>
      </w:r>
      <w:r w:rsidRPr="001D1318">
        <w:rPr>
          <w:rFonts w:eastAsia="Times New Roman"/>
        </w:rPr>
        <w:t>400-700 CE</w:t>
      </w:r>
    </w:p>
    <w:p w14:paraId="4B55159B" w14:textId="77777777" w:rsidR="00B70CF7" w:rsidRDefault="005F3720" w:rsidP="00B70CF7">
      <w:r>
        <w:rPr>
          <w:noProof/>
        </w:rPr>
        <w:object w:dxaOrig="5037" w:dyaOrig="3604" w14:anchorId="55D027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2pt;height:180pt;mso-width-percent:0;mso-height-percent:0;mso-width-percent:0;mso-height-percent:0" o:ole="">
            <v:imagedata r:id="rId4" o:title=""/>
          </v:shape>
          <o:OLEObject Type="Embed" ProgID="Unknown" ShapeID="_x0000_i1025" DrawAspect="Content" ObjectID="_1617940946" r:id="rId5"/>
        </w:object>
      </w:r>
    </w:p>
    <w:p w14:paraId="1A2AC2DD" w14:textId="77777777" w:rsidR="009E3B11" w:rsidRDefault="00B70CF7" w:rsidP="00B70CF7">
      <w:pPr>
        <w:spacing w:after="0"/>
      </w:pPr>
      <w:r>
        <w:rPr>
          <w:rFonts w:eastAsia="Times New Roman"/>
        </w:rPr>
        <w:t xml:space="preserve">Fig. 1. </w:t>
      </w:r>
      <w:r w:rsidR="00BC00C5">
        <w:rPr>
          <w:rFonts w:eastAsia="Times New Roman"/>
        </w:rPr>
        <w:t>Teotihuacan-</w:t>
      </w:r>
      <w:proofErr w:type="spellStart"/>
      <w:r w:rsidR="00BC00C5" w:rsidRPr="001D1318">
        <w:rPr>
          <w:rFonts w:eastAsia="Times New Roman"/>
          <w:iCs/>
        </w:rPr>
        <w:t>Incensario</w:t>
      </w:r>
      <w:proofErr w:type="spellEnd"/>
      <w:r w:rsidR="00BC00C5" w:rsidRPr="001D1318">
        <w:rPr>
          <w:rFonts w:eastAsia="Times New Roman"/>
          <w:iCs/>
        </w:rPr>
        <w:t xml:space="preserve"> Lid</w:t>
      </w:r>
      <w:r w:rsidR="00BC00C5">
        <w:rPr>
          <w:rFonts w:eastAsia="Times New Roman"/>
        </w:rPr>
        <w:t xml:space="preserve"> –</w:t>
      </w:r>
      <w:r w:rsidR="00BC00C5" w:rsidRPr="001D1318">
        <w:rPr>
          <w:rFonts w:eastAsia="Times New Roman"/>
        </w:rPr>
        <w:t>Ceramic</w:t>
      </w:r>
      <w:r w:rsidR="00BC00C5">
        <w:rPr>
          <w:rFonts w:eastAsia="Times New Roman"/>
        </w:rPr>
        <w:t>-</w:t>
      </w:r>
      <w:r w:rsidR="00BC00C5" w:rsidRPr="001D1318">
        <w:rPr>
          <w:rFonts w:eastAsia="Times New Roman"/>
        </w:rPr>
        <w:t>400-700 CE</w:t>
      </w:r>
    </w:p>
    <w:p w14:paraId="75824CCF" w14:textId="77777777" w:rsidR="00B70CF7" w:rsidRPr="00AD343D" w:rsidRDefault="00B70CF7" w:rsidP="00B70CF7">
      <w:pPr>
        <w:spacing w:after="0"/>
      </w:pPr>
      <w:r w:rsidRPr="00AD343D">
        <w:t>Case no.:</w:t>
      </w:r>
      <w:r w:rsidR="002421BD">
        <w:t xml:space="preserve"> 10</w:t>
      </w:r>
    </w:p>
    <w:p w14:paraId="22C987B4" w14:textId="77777777" w:rsidR="00B70CF7" w:rsidRPr="00AD343D" w:rsidRDefault="00B70CF7" w:rsidP="00B70CF7">
      <w:pPr>
        <w:spacing w:after="0"/>
      </w:pPr>
      <w:r w:rsidRPr="00AD343D">
        <w:t>Accession Number:</w:t>
      </w:r>
      <w:r w:rsidR="00BC00C5">
        <w:t xml:space="preserve"> A1502</w:t>
      </w:r>
    </w:p>
    <w:p w14:paraId="2867CA73" w14:textId="77777777" w:rsidR="00B70CF7" w:rsidRPr="00AD343D" w:rsidRDefault="00B70CF7" w:rsidP="00B70CF7">
      <w:pPr>
        <w:spacing w:after="0"/>
      </w:pPr>
      <w:r w:rsidRPr="00AD343D">
        <w:t>Formal Label:</w:t>
      </w:r>
      <w:r>
        <w:t xml:space="preserve"> </w:t>
      </w:r>
      <w:r>
        <w:rPr>
          <w:rFonts w:eastAsia="Times New Roman"/>
        </w:rPr>
        <w:t>Teotihuacan-</w:t>
      </w:r>
      <w:proofErr w:type="spellStart"/>
      <w:r w:rsidRPr="001D1318">
        <w:rPr>
          <w:rFonts w:eastAsia="Times New Roman"/>
          <w:iCs/>
        </w:rPr>
        <w:t>Incensario</w:t>
      </w:r>
      <w:proofErr w:type="spellEnd"/>
      <w:r w:rsidRPr="001D1318">
        <w:rPr>
          <w:rFonts w:eastAsia="Times New Roman"/>
          <w:iCs/>
        </w:rPr>
        <w:t xml:space="preserve"> Lid</w:t>
      </w:r>
      <w:r w:rsidR="00BC00C5">
        <w:rPr>
          <w:rFonts w:eastAsia="Times New Roman"/>
        </w:rPr>
        <w:t xml:space="preserve"> –</w:t>
      </w:r>
      <w:r w:rsidRPr="001D1318">
        <w:rPr>
          <w:rFonts w:eastAsia="Times New Roman"/>
        </w:rPr>
        <w:t>Ceramic</w:t>
      </w:r>
      <w:r w:rsidR="00BC00C5">
        <w:rPr>
          <w:rFonts w:eastAsia="Times New Roman"/>
        </w:rPr>
        <w:t>-</w:t>
      </w:r>
      <w:r w:rsidR="00BC00C5" w:rsidRPr="001D1318">
        <w:rPr>
          <w:rFonts w:eastAsia="Times New Roman"/>
        </w:rPr>
        <w:t>400-700 CE</w:t>
      </w:r>
    </w:p>
    <w:p w14:paraId="30CE7140" w14:textId="77777777" w:rsidR="00B70CF7" w:rsidRPr="00B70CF7" w:rsidRDefault="00B70CF7" w:rsidP="00B70CF7">
      <w:r w:rsidRPr="00AD343D">
        <w:t>Display Description:</w:t>
      </w:r>
      <w:r>
        <w:t xml:space="preserve"> </w:t>
      </w:r>
      <w:r w:rsidRPr="00B70CF7">
        <w:t>This elaborate lid fragment from a ceremonial </w:t>
      </w:r>
      <w:proofErr w:type="spellStart"/>
      <w:r w:rsidRPr="009E3B11">
        <w:rPr>
          <w:i/>
        </w:rPr>
        <w:t>incensario</w:t>
      </w:r>
      <w:proofErr w:type="spellEnd"/>
      <w:r w:rsidRPr="00B70CF7">
        <w:t> (incense burner) depicts the head of a warrior wearing a large headdress and earplugs. In 500 C.E. Teotihuacan, in central Mexico, was one of the largest cities in the world, with an estimated population of 150,000. Teotihuacan’s culture, religion, and art spread throughout Mexico and Central America. This lid represents the Teotihuacan prototype.</w:t>
      </w:r>
    </w:p>
    <w:p w14:paraId="7ADB650F" w14:textId="77777777" w:rsidR="00B70CF7" w:rsidRPr="00AD343D" w:rsidRDefault="00B70CF7" w:rsidP="00B70CF7">
      <w:pPr>
        <w:spacing w:after="0"/>
      </w:pPr>
      <w:r w:rsidRPr="00AD343D">
        <w:t>LC Classification:</w:t>
      </w:r>
      <w:r w:rsidR="00BC00C5" w:rsidRPr="00BC00C5">
        <w:rPr>
          <w:color w:val="000000" w:themeColor="text1"/>
        </w:rPr>
        <w:t xml:space="preserve">  </w:t>
      </w:r>
      <w:hyperlink r:id="rId6" w:history="1">
        <w:r w:rsidR="00BC00C5" w:rsidRPr="00BC00C5">
          <w:rPr>
            <w:rStyle w:val="Hyperlink"/>
            <w:color w:val="000000" w:themeColor="text1"/>
            <w:u w:val="none"/>
          </w:rPr>
          <w:t>F1301</w:t>
        </w:r>
      </w:hyperlink>
    </w:p>
    <w:p w14:paraId="4DC0F539" w14:textId="77777777" w:rsidR="00B70CF7" w:rsidRPr="00AD343D" w:rsidRDefault="00B70CF7" w:rsidP="00B70CF7">
      <w:pPr>
        <w:spacing w:after="0"/>
      </w:pPr>
      <w:r w:rsidRPr="00AD343D">
        <w:t xml:space="preserve">Date or Time Horizon: </w:t>
      </w:r>
      <w:r w:rsidR="009E3B11" w:rsidRPr="001D1318">
        <w:rPr>
          <w:rFonts w:eastAsia="Times New Roman"/>
        </w:rPr>
        <w:t>400-700 CE</w:t>
      </w:r>
    </w:p>
    <w:p w14:paraId="7E8C6073" w14:textId="77777777" w:rsidR="00B70CF7" w:rsidRPr="00AD343D" w:rsidRDefault="00B70CF7" w:rsidP="00B70CF7">
      <w:pPr>
        <w:spacing w:after="0"/>
      </w:pPr>
      <w:r w:rsidRPr="00AD343D">
        <w:t xml:space="preserve">Geographical Area: </w:t>
      </w:r>
      <w:r w:rsidR="009E3B11">
        <w:rPr>
          <w:rFonts w:eastAsia="Times New Roman"/>
        </w:rPr>
        <w:t>Teotihuacan</w:t>
      </w:r>
    </w:p>
    <w:p w14:paraId="6A5D0653" w14:textId="77777777" w:rsidR="00B70CF7" w:rsidRDefault="00B70CF7" w:rsidP="00B70CF7">
      <w:pPr>
        <w:spacing w:after="0"/>
      </w:pPr>
      <w:r w:rsidRPr="00AD343D">
        <w:t>Map, GPS coordinates:</w:t>
      </w:r>
      <w:r w:rsidR="009E3B11">
        <w:t xml:space="preserve"> </w:t>
      </w:r>
      <w:hyperlink r:id="rId7" w:history="1">
        <w:r w:rsidR="009E3B11" w:rsidRPr="009E3B11">
          <w:rPr>
            <w:rStyle w:val="Hyperlink"/>
          </w:rPr>
          <w:t>19°41′33″N 98°50′37.68″W</w:t>
        </w:r>
      </w:hyperlink>
    </w:p>
    <w:p w14:paraId="0DC88362" w14:textId="77777777" w:rsidR="009E3B11" w:rsidRDefault="009E3B11" w:rsidP="00B70CF7">
      <w:pPr>
        <w:spacing w:after="0"/>
      </w:pPr>
      <w:r>
        <w:rPr>
          <w:noProof/>
        </w:rPr>
        <w:drawing>
          <wp:inline distT="0" distB="0" distL="0" distR="0" wp14:anchorId="6F0A3D42" wp14:editId="76DD108C">
            <wp:extent cx="2857500" cy="2514600"/>
            <wp:effectExtent l="0" t="0" r="0" b="0"/>
            <wp:docPr id="2" name="Picture 2" descr="https://upload.wikimedia.org/wikipedia/commons/thumb/b/b9/Classic_sites_1.png/300px-Classic_sit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b/b9/Classic_sites_1.png/300px-Classic_sites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514600"/>
                    </a:xfrm>
                    <a:prstGeom prst="rect">
                      <a:avLst/>
                    </a:prstGeom>
                    <a:noFill/>
                    <a:ln>
                      <a:noFill/>
                    </a:ln>
                  </pic:spPr>
                </pic:pic>
              </a:graphicData>
            </a:graphic>
          </wp:inline>
        </w:drawing>
      </w:r>
    </w:p>
    <w:p w14:paraId="60650949" w14:textId="77777777" w:rsidR="008D110F" w:rsidRPr="008D110F" w:rsidRDefault="008D110F" w:rsidP="008D110F">
      <w:r w:rsidRPr="008D110F">
        <w:t>Fig. 2. Map of Teotihuacan and other important Classic Era settlements</w:t>
      </w:r>
      <w:r>
        <w:t xml:space="preserve">. From </w:t>
      </w:r>
      <w:r w:rsidRPr="008D110F">
        <w:t>https://upload.wikimedia.org/wikipedia/commons/thumb/b/b9/Classic_sites_1.png/450px-Classic_sites_1.png</w:t>
      </w:r>
    </w:p>
    <w:p w14:paraId="1F2228B0" w14:textId="77777777" w:rsidR="00B70CF7" w:rsidRPr="00AD343D" w:rsidRDefault="00B70CF7" w:rsidP="00B70CF7">
      <w:pPr>
        <w:spacing w:after="0"/>
      </w:pPr>
      <w:r w:rsidRPr="00AD343D">
        <w:t xml:space="preserve">Cultural Affiliation: </w:t>
      </w:r>
      <w:r w:rsidR="009E3B11">
        <w:rPr>
          <w:rFonts w:eastAsia="Times New Roman"/>
        </w:rPr>
        <w:t>Teotihuacan</w:t>
      </w:r>
    </w:p>
    <w:p w14:paraId="7C7FA261" w14:textId="77777777" w:rsidR="009E3B11" w:rsidRDefault="00B70CF7" w:rsidP="00B70CF7">
      <w:pPr>
        <w:spacing w:after="0"/>
      </w:pPr>
      <w:r w:rsidRPr="00AD343D">
        <w:t xml:space="preserve">Media: </w:t>
      </w:r>
      <w:r w:rsidR="009E3B11">
        <w:t>ceramic</w:t>
      </w:r>
    </w:p>
    <w:p w14:paraId="47855727" w14:textId="77777777" w:rsidR="00B70CF7" w:rsidRPr="00AD343D" w:rsidRDefault="00B70CF7" w:rsidP="00B70CF7">
      <w:pPr>
        <w:spacing w:after="0"/>
      </w:pPr>
      <w:r w:rsidRPr="00AD343D">
        <w:t xml:space="preserve">Dimensions: </w:t>
      </w:r>
    </w:p>
    <w:p w14:paraId="616D4D01" w14:textId="77777777" w:rsidR="00B70CF7" w:rsidRPr="00AD343D" w:rsidRDefault="00B70CF7" w:rsidP="00B70CF7">
      <w:pPr>
        <w:spacing w:after="0"/>
      </w:pPr>
      <w:r w:rsidRPr="00AD343D">
        <w:t xml:space="preserve">Weight:  </w:t>
      </w:r>
    </w:p>
    <w:p w14:paraId="39301766" w14:textId="77777777" w:rsidR="00B70CF7" w:rsidRPr="00AD343D" w:rsidRDefault="00B70CF7" w:rsidP="00B70CF7">
      <w:pPr>
        <w:spacing w:after="0"/>
      </w:pPr>
      <w:r w:rsidRPr="00AD343D">
        <w:t>Condition:</w:t>
      </w:r>
      <w:r w:rsidR="009E3B11">
        <w:t xml:space="preserve"> original</w:t>
      </w:r>
    </w:p>
    <w:p w14:paraId="04FE7D73" w14:textId="77777777" w:rsidR="00B70CF7" w:rsidRPr="00AD343D" w:rsidRDefault="00B70CF7" w:rsidP="00B70CF7">
      <w:pPr>
        <w:spacing w:after="0"/>
      </w:pPr>
      <w:r w:rsidRPr="00AD343D">
        <w:t xml:space="preserve">Provenance: </w:t>
      </w:r>
      <w:r w:rsidR="009E3B11">
        <w:t>unknown</w:t>
      </w:r>
    </w:p>
    <w:p w14:paraId="321F4CA4" w14:textId="77777777" w:rsidR="008D110F" w:rsidRDefault="008D110F" w:rsidP="008D110F">
      <w:pPr>
        <w:spacing w:after="0"/>
      </w:pPr>
      <w:r>
        <w:lastRenderedPageBreak/>
        <w:t xml:space="preserve">Discussion: </w:t>
      </w:r>
    </w:p>
    <w:p w14:paraId="75CBFB54" w14:textId="77777777" w:rsidR="009E3B11" w:rsidRPr="009E3B11" w:rsidRDefault="008D110F" w:rsidP="008D110F">
      <w:pPr>
        <w:spacing w:after="0"/>
      </w:pPr>
      <w:r>
        <w:tab/>
      </w:r>
      <w:r w:rsidR="009E3B11" w:rsidRPr="009E3B11">
        <w:t xml:space="preserve">This lid, found more than seven hundred miles away from Teotihuacan in the </w:t>
      </w:r>
      <w:proofErr w:type="spellStart"/>
      <w:r w:rsidR="009E3B11" w:rsidRPr="009E3B11">
        <w:t>Tiquisate</w:t>
      </w:r>
      <w:proofErr w:type="spellEnd"/>
      <w:r w:rsidR="009E3B11" w:rsidRPr="009E3B11">
        <w:t xml:space="preserve"> Region, Department of Escuintla, Guatemala, represents a local version of the Teotihuacan prototype that is illustrated in our example. The following is the Brooklyn Museum’s description of it: </w:t>
      </w:r>
    </w:p>
    <w:p w14:paraId="2D75B7DC" w14:textId="77777777" w:rsidR="009E3B11" w:rsidRPr="001D1318" w:rsidRDefault="009E3B11" w:rsidP="009E3B11">
      <w:pPr>
        <w:rPr>
          <w:rFonts w:eastAsia="Times New Roman"/>
        </w:rPr>
      </w:pPr>
      <w:r w:rsidRPr="009E3B11">
        <w:t xml:space="preserve">“Elaborate </w:t>
      </w:r>
      <w:proofErr w:type="spellStart"/>
      <w:r w:rsidRPr="009E3B11">
        <w:t>incensario</w:t>
      </w:r>
      <w:proofErr w:type="spellEnd"/>
      <w:r w:rsidRPr="009E3B11">
        <w:t xml:space="preserve"> or incense burner lid in the form of a male bust wearing a spectacular headdress with three discs, two feathered quetzal eyes and three bundles of spear ends. The figure wears large circular ear spools and a removable </w:t>
      </w:r>
      <w:proofErr w:type="spellStart"/>
      <w:r w:rsidRPr="009E3B11">
        <w:t>trapazoidal</w:t>
      </w:r>
      <w:proofErr w:type="spellEnd"/>
      <w:r w:rsidRPr="009E3B11">
        <w:t xml:space="preserve"> </w:t>
      </w:r>
      <w:proofErr w:type="spellStart"/>
      <w:r w:rsidRPr="009E3B11">
        <w:t>talud-tablero</w:t>
      </w:r>
      <w:proofErr w:type="spellEnd"/>
      <w:r w:rsidRPr="009E3B11">
        <w:t xml:space="preserve"> style nose ornament. He carries a blade-like object in the left hand and a bundle of spear ends in the right, suggesting a warrior figure. White, buff, yellow, ochre and red paint are still visible throughout the piece. Teotihuacan-style incense burners usually consist of two basic sections: an hourglass-shaped base (missing) and an elaborate chimney lid. Incense burners from Escuintla, Guatemala generally have unadorned bases and elaborate lids. The presence of Teotihuacan-style </w:t>
      </w:r>
      <w:proofErr w:type="spellStart"/>
      <w:r w:rsidRPr="009E3B11">
        <w:t>incensarios</w:t>
      </w:r>
      <w:proofErr w:type="spellEnd"/>
      <w:r w:rsidRPr="009E3B11">
        <w:t xml:space="preserve"> on Guatemala's Pacific coast (about 700 miles away from the Valley of Mexico), attest to the success of Teotihuacan expansion throughout Central America. The original molds for the decorative elements were probably brought south from Central Mexico,</w:t>
      </w:r>
      <w:r>
        <w:t xml:space="preserve"> </w:t>
      </w:r>
      <w:r>
        <w:rPr>
          <w:sz w:val="22"/>
          <w:szCs w:val="22"/>
          <w:shd w:val="clear" w:color="auto" w:fill="FFFFFF"/>
        </w:rPr>
        <w:t xml:space="preserve">but assembled in a local manner typical of Escuintla.” From </w:t>
      </w:r>
      <w:r w:rsidRPr="00B70CF7">
        <w:rPr>
          <w:sz w:val="22"/>
          <w:szCs w:val="22"/>
          <w:shd w:val="clear" w:color="auto" w:fill="FFFFFF"/>
        </w:rPr>
        <w:t>https://www.brooklynmuseum.org/opencollection/objects/1542</w:t>
      </w:r>
    </w:p>
    <w:p w14:paraId="181B2D98" w14:textId="77777777" w:rsidR="008D110F" w:rsidRPr="008D110F" w:rsidRDefault="008D110F" w:rsidP="008D110F">
      <w:pPr>
        <w:shd w:val="clear" w:color="auto" w:fill="F8F9FA"/>
        <w:spacing w:after="0" w:line="240" w:lineRule="auto"/>
        <w:jc w:val="center"/>
        <w:rPr>
          <w:rFonts w:ascii="Arial" w:eastAsia="Times New Roman" w:hAnsi="Arial" w:cs="Arial"/>
          <w:color w:val="222222"/>
          <w:sz w:val="20"/>
          <w:szCs w:val="20"/>
          <w14:shadow w14:blurRad="50800" w14:dist="50800" w14:dir="5400000" w14:sx="0" w14:sy="0" w14:kx="0" w14:ky="0" w14:algn="ctr">
            <w14:schemeClr w14:val="bg2">
              <w14:lumMod w14:val="75000"/>
            </w14:schemeClr>
          </w14:shadow>
        </w:rPr>
      </w:pPr>
      <w:r w:rsidRPr="001D1318">
        <w:rPr>
          <w:rFonts w:ascii="Arial" w:eastAsia="Times New Roman" w:hAnsi="Arial" w:cs="Arial"/>
          <w:noProof/>
          <w:color w:val="0B0080"/>
          <w:sz w:val="20"/>
          <w:szCs w:val="20"/>
        </w:rPr>
        <w:drawing>
          <wp:anchor distT="0" distB="0" distL="114300" distR="114300" simplePos="0" relativeHeight="251659264" behindDoc="0" locked="0" layoutInCell="1" allowOverlap="1" wp14:anchorId="19D0C991" wp14:editId="79D17925">
            <wp:simplePos x="0" y="0"/>
            <wp:positionH relativeFrom="column">
              <wp:posOffset>2482850</wp:posOffset>
            </wp:positionH>
            <wp:positionV relativeFrom="paragraph">
              <wp:posOffset>1174750</wp:posOffset>
            </wp:positionV>
            <wp:extent cx="2178050" cy="1722640"/>
            <wp:effectExtent l="0" t="38100" r="0" b="30480"/>
            <wp:wrapNone/>
            <wp:docPr id="31" name="Picture 31" descr="https://upload.wikimedia.org/wikipedia/commons/thumb/1/16/Incensario_Lid%2CTeotihuacan_style%2C_400-700_C.E.%2C75.148.jpg/220px-Incensario_Lid%2CTeotihuacan_style%2C_400-700_C.E.%2C7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1/16/Incensario_Lid%2CTeotihuacan_style%2C_400-700_C.E.%2C75.148.jpg/220px-Incensario_Lid%2CTeotihuacan_style%2C_400-700_C.E.%2C75.148.jpg">
                      <a:hlinkClick r:id="rId9"/>
                    </pic:cNvPr>
                    <pic:cNvPicPr>
                      <a:picLocks noChangeAspect="1" noChangeArrowheads="1"/>
                    </pic:cNvPicPr>
                  </pic:nvPicPr>
                  <pic:blipFill>
                    <a:blip r:embed="rId10">
                      <a:duotone>
                        <a:schemeClr val="accent2">
                          <a:shade val="45000"/>
                          <a:satMod val="135000"/>
                        </a:schemeClr>
                        <a:prstClr val="white"/>
                      </a:duotone>
                      <a:extLst>
                        <a:ext uri="{BEBA8EAE-BF5A-486C-A8C5-ECC9F3942E4B}">
                          <a14:imgProps xmlns:a14="http://schemas.microsoft.com/office/drawing/2010/main">
                            <a14:imgLayer r:embed="rId11">
                              <a14:imgEffect>
                                <a14:colorTemperature colorTemp="4700"/>
                              </a14:imgEffect>
                              <a14:imgEffect>
                                <a14:saturation sat="330000"/>
                              </a14:imgEffect>
                            </a14:imgLayer>
                          </a14:imgProps>
                        </a:ext>
                        <a:ext uri="{28A0092B-C50C-407E-A947-70E740481C1C}">
                          <a14:useLocalDpi xmlns:a14="http://schemas.microsoft.com/office/drawing/2010/main" val="0"/>
                        </a:ext>
                      </a:extLst>
                    </a:blip>
                    <a:srcRect/>
                    <a:stretch>
                      <a:fillRect/>
                    </a:stretch>
                  </pic:blipFill>
                  <pic:spPr bwMode="auto">
                    <a:xfrm>
                      <a:off x="0" y="0"/>
                      <a:ext cx="2178050" cy="1722640"/>
                    </a:xfrm>
                    <a:prstGeom prst="rect">
                      <a:avLst/>
                    </a:prstGeom>
                    <a:noFill/>
                    <a:ln>
                      <a:noFill/>
                    </a:ln>
                    <a:effectLst>
                      <a:outerShdw blurRad="914400" sx="1000" sy="1000" algn="ctr" rotWithShape="0">
                        <a:schemeClr val="bg2">
                          <a:lumMod val="75000"/>
                        </a:schemeClr>
                      </a:outerShdw>
                    </a:effec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421667E" wp14:editId="4065D8E6">
            <wp:extent cx="3742866" cy="3765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62000"/>
                              </a14:imgEffect>
                            </a14:imgLayer>
                          </a14:imgProps>
                        </a:ext>
                      </a:extLst>
                    </a:blip>
                    <a:stretch>
                      <a:fillRect/>
                    </a:stretch>
                  </pic:blipFill>
                  <pic:spPr>
                    <a:xfrm>
                      <a:off x="0" y="0"/>
                      <a:ext cx="3747374" cy="3770086"/>
                    </a:xfrm>
                    <a:prstGeom prst="rect">
                      <a:avLst/>
                    </a:prstGeom>
                  </pic:spPr>
                </pic:pic>
              </a:graphicData>
            </a:graphic>
          </wp:inline>
        </w:drawing>
      </w:r>
      <w:r w:rsidRPr="009E3B11">
        <w:rPr>
          <w:rFonts w:ascii="Arial" w:eastAsia="Times New Roman" w:hAnsi="Arial" w:cs="Arial"/>
          <w:noProof/>
          <w:color w:val="0B0080"/>
          <w:sz w:val="20"/>
          <w:szCs w:val="20"/>
        </w:rPr>
        <w:t xml:space="preserve"> </w:t>
      </w:r>
    </w:p>
    <w:p w14:paraId="65B0DC4F" w14:textId="77777777" w:rsidR="008D110F" w:rsidRPr="001D1318" w:rsidRDefault="008D110F" w:rsidP="008D110F">
      <w:pPr>
        <w:spacing w:after="0" w:line="240" w:lineRule="auto"/>
        <w:rPr>
          <w:rFonts w:eastAsia="Times New Roman"/>
        </w:rPr>
      </w:pPr>
      <w:r w:rsidRPr="001D1318">
        <w:rPr>
          <w:rFonts w:eastAsia="Times New Roman"/>
        </w:rPr>
        <w:t>Teotihuacan style. </w:t>
      </w:r>
      <w:proofErr w:type="spellStart"/>
      <w:r w:rsidRPr="001D1318">
        <w:rPr>
          <w:rFonts w:eastAsia="Times New Roman"/>
          <w:i/>
          <w:iCs/>
        </w:rPr>
        <w:t>Incensario</w:t>
      </w:r>
      <w:proofErr w:type="spellEnd"/>
      <w:r w:rsidRPr="001D1318">
        <w:rPr>
          <w:rFonts w:eastAsia="Times New Roman"/>
          <w:i/>
          <w:iCs/>
        </w:rPr>
        <w:t xml:space="preserve"> Lid</w:t>
      </w:r>
      <w:r w:rsidRPr="001D1318">
        <w:rPr>
          <w:rFonts w:eastAsia="Times New Roman"/>
        </w:rPr>
        <w:t>, 400-700 C.E. Ceramic, pigment, 18 1/8 x 19 1/2 x 9 1/4in. (46 x 49.5 x 23.5cm). Brooklyn Museum, Gift of Mr. and Mrs. Richard Danziger, 75.148. Creative Commons-BY (Photo: Brooklyn Museum, 75.148_bw.jpg)</w:t>
      </w:r>
      <w:r>
        <w:rPr>
          <w:rFonts w:eastAsia="Times New Roman"/>
        </w:rPr>
        <w:t xml:space="preserve">. </w:t>
      </w:r>
    </w:p>
    <w:p w14:paraId="4D00B677" w14:textId="77777777" w:rsidR="009E3B11" w:rsidRDefault="009E3B11" w:rsidP="009E3B11">
      <w:pPr>
        <w:spacing w:after="0"/>
      </w:pPr>
    </w:p>
    <w:p w14:paraId="2F64BF0F" w14:textId="77777777" w:rsidR="00B70CF7" w:rsidRDefault="00B70CF7" w:rsidP="00B70CF7">
      <w:pPr>
        <w:shd w:val="clear" w:color="auto" w:fill="F8F9FA"/>
        <w:spacing w:after="0" w:line="240" w:lineRule="auto"/>
        <w:jc w:val="center"/>
        <w:rPr>
          <w:rFonts w:ascii="Arial" w:eastAsia="Times New Roman" w:hAnsi="Arial" w:cs="Arial"/>
          <w:color w:val="222222"/>
          <w:sz w:val="20"/>
          <w:szCs w:val="20"/>
        </w:rPr>
      </w:pPr>
    </w:p>
    <w:p w14:paraId="47027565" w14:textId="77777777" w:rsidR="00B70CF7" w:rsidRDefault="00B70CF7" w:rsidP="00B70CF7">
      <w:pPr>
        <w:spacing w:after="0"/>
      </w:pPr>
    </w:p>
    <w:p w14:paraId="445E8074" w14:textId="65481E35" w:rsidR="00B70CF7" w:rsidRPr="00AD343D" w:rsidRDefault="002C7B3A" w:rsidP="00B70CF7">
      <w:pPr>
        <w:spacing w:after="0"/>
      </w:pPr>
      <w:r>
        <w:t>Appendix:</w:t>
      </w:r>
      <w:bookmarkStart w:id="0" w:name="_GoBack"/>
      <w:bookmarkEnd w:id="0"/>
    </w:p>
    <w:p w14:paraId="7872B708" w14:textId="77777777" w:rsidR="00B70CF7" w:rsidRDefault="00B70CF7" w:rsidP="00B70CF7">
      <w:r>
        <w:t>AP.7</w:t>
      </w:r>
    </w:p>
    <w:p w14:paraId="63E4A664" w14:textId="77777777" w:rsidR="00151F1C" w:rsidRDefault="00151F1C" w:rsidP="00B70CF7"/>
    <w:sectPr w:rsidR="00151F1C" w:rsidSect="008D110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CF7"/>
    <w:rsid w:val="00151F1C"/>
    <w:rsid w:val="001916B2"/>
    <w:rsid w:val="002421BD"/>
    <w:rsid w:val="002C7B3A"/>
    <w:rsid w:val="005F3720"/>
    <w:rsid w:val="006C62CA"/>
    <w:rsid w:val="008349E9"/>
    <w:rsid w:val="008D110F"/>
    <w:rsid w:val="009E3B11"/>
    <w:rsid w:val="00B70CF7"/>
    <w:rsid w:val="00BC00C5"/>
    <w:rsid w:val="00D3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B03B5"/>
  <w15:chartTrackingRefBased/>
  <w15:docId w15:val="{AB747C09-5FDA-4DD5-A41F-0C19DB0AF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C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v33">
    <w:name w:val="g-v33"/>
    <w:basedOn w:val="DefaultParagraphFont"/>
    <w:rsid w:val="00B70CF7"/>
  </w:style>
  <w:style w:type="character" w:styleId="Hyperlink">
    <w:name w:val="Hyperlink"/>
    <w:basedOn w:val="DefaultParagraphFont"/>
    <w:uiPriority w:val="99"/>
    <w:unhideWhenUsed/>
    <w:rsid w:val="00BC00C5"/>
    <w:rPr>
      <w:color w:val="0000FF"/>
      <w:u w:val="single"/>
    </w:rPr>
  </w:style>
  <w:style w:type="character" w:customStyle="1" w:styleId="geo-dms">
    <w:name w:val="geo-dms"/>
    <w:basedOn w:val="DefaultParagraphFont"/>
    <w:rsid w:val="009E3B11"/>
  </w:style>
  <w:style w:type="character" w:customStyle="1" w:styleId="latitude">
    <w:name w:val="latitude"/>
    <w:basedOn w:val="DefaultParagraphFont"/>
    <w:rsid w:val="009E3B11"/>
  </w:style>
  <w:style w:type="character" w:customStyle="1" w:styleId="longitude">
    <w:name w:val="longitude"/>
    <w:basedOn w:val="DefaultParagraphFont"/>
    <w:rsid w:val="009E3B11"/>
  </w:style>
  <w:style w:type="paragraph" w:styleId="BalloonText">
    <w:name w:val="Balloon Text"/>
    <w:basedOn w:val="Normal"/>
    <w:link w:val="BalloonTextChar"/>
    <w:uiPriority w:val="99"/>
    <w:semiHidden/>
    <w:unhideWhenUsed/>
    <w:rsid w:val="002C7B3A"/>
    <w:pPr>
      <w:spacing w:after="0" w:line="240" w:lineRule="auto"/>
    </w:pPr>
    <w:rPr>
      <w:sz w:val="18"/>
      <w:szCs w:val="18"/>
    </w:rPr>
  </w:style>
  <w:style w:type="character" w:customStyle="1" w:styleId="BalloonTextChar">
    <w:name w:val="Balloon Text Char"/>
    <w:basedOn w:val="DefaultParagraphFont"/>
    <w:link w:val="BalloonText"/>
    <w:uiPriority w:val="99"/>
    <w:semiHidden/>
    <w:rsid w:val="002C7B3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2.wdp"/><Relationship Id="rId3" Type="http://schemas.openxmlformats.org/officeDocument/2006/relationships/webSettings" Target="webSettings.xml"/><Relationship Id="rId7" Type="http://schemas.openxmlformats.org/officeDocument/2006/relationships/hyperlink" Target="https://tools.wmflabs.org/geohack/geohack.php?pagename=Teotihuacan&amp;params=19_41_33_N_98_50_37.68_W_type:landmark" TargetMode="External"/><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librarycatalog.unh.edu/search~S5?/fF1301+.W85/ff++1301+w85/-3,-1,,B/browse" TargetMode="External"/><Relationship Id="rId11" Type="http://schemas.microsoft.com/office/2007/relationships/hdphoto" Target="media/hdphoto1.wdp"/><Relationship Id="rId5" Type="http://schemas.openxmlformats.org/officeDocument/2006/relationships/oleObject" Target="embeddings/oleObject1.bin"/><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image" Target="media/image1.emf"/><Relationship Id="rId9" Type="http://schemas.openxmlformats.org/officeDocument/2006/relationships/hyperlink" Target="https://en.wikipedia.org/wiki/File:Incensario_Lid,Teotihuacan_style,_400-700_C.E.,75.148.jp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448</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cathy Tipton</cp:lastModifiedBy>
  <cp:revision>3</cp:revision>
  <dcterms:created xsi:type="dcterms:W3CDTF">2018-07-20T18:27:00Z</dcterms:created>
  <dcterms:modified xsi:type="dcterms:W3CDTF">2019-04-28T11:15:00Z</dcterms:modified>
</cp:coreProperties>
</file>