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DIS-Basket-Apache-Burden</w:t>
      </w:r>
    </w:p>
    <w:p>
      <w:pPr>
        <w:pStyle w:val="Normal"/>
        <w:rPr/>
      </w:pPr>
      <w:r>
        <w:rPr/>
        <w:t>Apache children’s burden basket of the last quarter of the 19</w:t>
      </w:r>
      <w:r>
        <w:rPr>
          <w:vertAlign w:val="superscript"/>
        </w:rPr>
        <w:t>th</w:t>
      </w:r>
      <w:r>
        <w:rPr/>
        <w:t xml:space="preserve"> century. </w:t>
      </w:r>
    </w:p>
    <w:p>
      <w:pPr>
        <w:pStyle w:val="Normal"/>
        <w:rPr/>
      </w:pPr>
      <w:r>
        <w:rPr/>
        <w:t>This burden basket has an authentic Apache banded design with three horizontal encircling geometric bands (See Tanner 1982: 38-39. Its 19</w:t>
      </w:r>
      <w:r>
        <w:rPr>
          <w:vertAlign w:val="superscript"/>
        </w:rPr>
        <w:t>th</w:t>
      </w:r>
      <w:r>
        <w:rPr/>
        <w:t xml:space="preserve"> century age is indicated by the scalloped-rim bottom patch “with a piece of red [trade] cloth under the patch and showing at this edge” (Tanner 1982: 39). Deer hide chamois fringes distinguish the rim. This basket measures approximately 7 1/4" tall (not including the fringes) x 8 3/4" diameter. Condition is good for its age. It does have some wear from age and use. </w:t>
      </w:r>
    </w:p>
    <w:p>
      <w:pPr>
        <w:pStyle w:val="Normal"/>
        <w:rPr/>
      </w:pPr>
      <w:r>
        <w:rPr/>
        <w:drawing>
          <wp:inline distT="0" distB="0" distL="0" distR="0">
            <wp:extent cx="2820670" cy="197040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2" r="-2" b="-2"/>
                    <a:stretch>
                      <a:fillRect/>
                    </a:stretch>
                  </pic:blipFill>
                  <pic:spPr bwMode="auto">
                    <a:xfrm>
                      <a:off x="0" y="0"/>
                      <a:ext cx="2820670" cy="1970405"/>
                    </a:xfrm>
                    <a:prstGeom prst="rect">
                      <a:avLst/>
                    </a:prstGeom>
                  </pic:spPr>
                </pic:pic>
              </a:graphicData>
            </a:graphic>
          </wp:inline>
        </w:drawing>
      </w:r>
      <w:r>
        <w:rPr/>
        <w:drawing>
          <wp:inline distT="0" distB="0" distL="0" distR="0">
            <wp:extent cx="2070100" cy="195834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2" r="-2" b="-2"/>
                    <a:stretch>
                      <a:fillRect/>
                    </a:stretch>
                  </pic:blipFill>
                  <pic:spPr bwMode="auto">
                    <a:xfrm>
                      <a:off x="0" y="0"/>
                      <a:ext cx="2070100" cy="1958340"/>
                    </a:xfrm>
                    <a:prstGeom prst="rect">
                      <a:avLst/>
                    </a:prstGeom>
                  </pic:spPr>
                </pic:pic>
              </a:graphicData>
            </a:graphic>
          </wp:inline>
        </w:drawing>
      </w:r>
    </w:p>
    <w:p>
      <w:pPr>
        <w:pStyle w:val="Normal"/>
        <w:rPr/>
      </w:pPr>
      <w:r>
        <w:rPr/>
        <w:drawing>
          <wp:inline distT="0" distB="0" distL="0" distR="0">
            <wp:extent cx="2821305" cy="199136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2" t="-2" r="-2" b="-2"/>
                    <a:stretch>
                      <a:fillRect/>
                    </a:stretch>
                  </pic:blipFill>
                  <pic:spPr bwMode="auto">
                    <a:xfrm>
                      <a:off x="0" y="0"/>
                      <a:ext cx="2821305" cy="1991360"/>
                    </a:xfrm>
                    <a:prstGeom prst="rect">
                      <a:avLst/>
                    </a:prstGeom>
                  </pic:spPr>
                </pic:pic>
              </a:graphicData>
            </a:graphic>
          </wp:inline>
        </w:drawing>
      </w:r>
      <w:r>
        <w:rPr/>
        <w:drawing>
          <wp:inline distT="0" distB="0" distL="0" distR="0">
            <wp:extent cx="2705735" cy="198056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 t="-2" r="-2" b="-2"/>
                    <a:stretch>
                      <a:fillRect/>
                    </a:stretch>
                  </pic:blipFill>
                  <pic:spPr bwMode="auto">
                    <a:xfrm>
                      <a:off x="0" y="0"/>
                      <a:ext cx="2705735" cy="1980565"/>
                    </a:xfrm>
                    <a:prstGeom prst="rect">
                      <a:avLst/>
                    </a:prstGeom>
                  </pic:spPr>
                </pic:pic>
              </a:graphicData>
            </a:graphic>
          </wp:inline>
        </w:drawing>
      </w:r>
    </w:p>
    <w:p>
      <w:pPr>
        <w:pStyle w:val="Normal"/>
        <w:spacing w:before="280" w:after="280"/>
        <w:rPr/>
      </w:pPr>
      <w:r>
        <w:rPr>
          <w:color w:val="262626"/>
          <w:sz w:val="27"/>
          <w:szCs w:val="27"/>
        </w:rPr>
        <w:t xml:space="preserve">The burden basket of the Native American Apache tribe is one of the most recognized baskets of American Indians. Traditionally, burden baskets were originally used in everyday life for gathering wild foods and harvesting crops like corn. Burden baskets are also an integral part of Apache history being used in their rituals and ceremonies. This basket is </w:t>
      </w:r>
      <w:r>
        <w:rPr/>
        <w:t xml:space="preserve">8 3/4" </w:t>
      </w:r>
      <w:r>
        <w:rPr>
          <w:color w:val="262626"/>
          <w:sz w:val="27"/>
          <w:szCs w:val="27"/>
        </w:rPr>
        <w:t xml:space="preserve">in diameter by </w:t>
      </w:r>
      <w:r>
        <w:rPr/>
        <w:t>7 1/4"</w:t>
      </w:r>
      <w:r>
        <w:rPr>
          <w:color w:val="262626"/>
          <w:sz w:val="27"/>
          <w:szCs w:val="27"/>
        </w:rPr>
        <w:t xml:space="preserve"> tall. Small burden baskets like this one were given to Apache children by their parents. Burden baskets are very labor-intensive to weave. According to Apache tradition, burden baskets are always cone-shaped, with a flat or rounded bottom. Buckskin was added to enhance the basket. Burden baskets almost always have a buckskin strap that is used to carry the basket. A traditional custom of the Apache is to hang these baskets outside the home so that visitors to the house could place their burdens in the basket before they entered. The saying "leave your burdens at the door" originated with these baskets. The burden basket is a symbol of pride for the Apache people</w:t>
      </w:r>
    </w:p>
    <w:p>
      <w:pPr>
        <w:pStyle w:val="Normal"/>
        <w:spacing w:before="280" w:after="280"/>
        <w:rPr>
          <w:color w:val="262626"/>
          <w:sz w:val="27"/>
          <w:szCs w:val="27"/>
        </w:rPr>
      </w:pPr>
      <w:r>
        <w:rPr>
          <w:color w:val="262626"/>
          <w:sz w:val="27"/>
          <w:szCs w:val="27"/>
        </w:rPr>
        <w:t>This is a very rare piece of Native American history because it is a craft of an older generation that not many young people are continuing. Authentic Apache basket.</w:t>
      </w:r>
    </w:p>
    <w:p>
      <w:pPr>
        <w:pStyle w:val="Normal"/>
        <w:rPr/>
      </w:pPr>
      <w:r>
        <w:rPr/>
        <w:t>Reference</w:t>
      </w:r>
    </w:p>
    <w:p>
      <w:pPr>
        <w:pStyle w:val="Normal"/>
        <w:rPr/>
      </w:pPr>
      <w:r>
        <w:rPr/>
        <w:t xml:space="preserve">Tanner, Clara Lee. 1982. </w:t>
      </w:r>
      <w:r>
        <w:rPr>
          <w:i/>
          <w:iCs/>
        </w:rPr>
        <w:t>Apache Indian Baskets</w:t>
      </w:r>
      <w:r>
        <w:rPr/>
        <w:t xml:space="preserve">. Tucson: University of Arizona Press. </w:t>
      </w:r>
      <w:r>
        <w:br w:type="page"/>
      </w:r>
    </w:p>
    <w:p>
      <w:pPr>
        <w:pStyle w:val="Normal"/>
        <w:rPr/>
      </w:pPr>
      <w:r>
        <w:rPr/>
      </w:r>
    </w:p>
    <w:tbl>
      <w:tblPr>
        <w:tblW w:w="5150" w:type="pct"/>
        <w:jc w:val="start"/>
        <w:tblInd w:w="-60" w:type="dxa"/>
        <w:tblBorders/>
        <w:tblCellMar>
          <w:top w:w="15" w:type="dxa"/>
          <w:start w:w="15" w:type="dxa"/>
          <w:bottom w:w="15" w:type="dxa"/>
          <w:end w:w="15" w:type="dxa"/>
        </w:tblCellMar>
      </w:tblPr>
      <w:tblGrid>
        <w:gridCol w:w="10128"/>
        <w:gridCol w:w="143"/>
        <w:gridCol w:w="122"/>
        <w:gridCol w:w="137"/>
      </w:tblGrid>
      <w:tr>
        <w:trPr/>
        <w:tc>
          <w:tcPr>
            <w:tcW w:w="10530" w:type="dxa"/>
            <w:gridSpan w:val="4"/>
            <w:tcBorders/>
            <w:shd w:fill="auto" w:val="clear"/>
            <w:vAlign w:val="center"/>
          </w:tcPr>
          <w:p>
            <w:pPr>
              <w:pStyle w:val="Heading1"/>
              <w:spacing w:before="0" w:after="280"/>
              <w:rPr/>
            </w:pPr>
            <w:r>
              <w:rPr/>
              <w:t>Antique Native American Indian Apache Burden Basket Circa 1900 - 20's</w:t>
            </w:r>
          </w:p>
          <w:p>
            <w:pPr>
              <w:pStyle w:val="Normal"/>
              <w:rPr/>
            </w:pPr>
            <w:hyperlink r:id="rId6">
              <w:r>
                <w:rPr>
                  <w:rStyle w:val="InternetLink"/>
                </w:rPr>
                <w:t>See original listing</w:t>
              </w:r>
            </w:hyperlink>
            <w:r>
              <w:rPr>
                <w:rStyle w:val="Viinllnkvicvipprel3"/>
              </w:rPr>
              <w:t xml:space="preserve"> </w:t>
            </w:r>
          </w:p>
        </w:tc>
      </w:tr>
      <w:tr>
        <w:trPr/>
        <w:tc>
          <w:tcPr>
            <w:tcW w:w="10271" w:type="dxa"/>
            <w:gridSpan w:val="2"/>
            <w:vMerge w:val="restart"/>
            <w:tcBorders/>
            <w:shd w:fill="auto" w:val="clear"/>
            <w:tcMar>
              <w:end w:w="69" w:type="dxa"/>
            </w:tcMar>
          </w:tcPr>
          <w:tbl>
            <w:tblPr>
              <w:tblW w:w="10256" w:type="dxa"/>
              <w:jc w:val="start"/>
              <w:tblInd w:w="8" w:type="dxa"/>
              <w:tblBorders/>
              <w:tblCellMar>
                <w:top w:w="15" w:type="dxa"/>
                <w:start w:w="15" w:type="dxa"/>
                <w:bottom w:w="15" w:type="dxa"/>
                <w:end w:w="15" w:type="dxa"/>
              </w:tblCellMar>
            </w:tblPr>
            <w:tblGrid>
              <w:gridCol w:w="10256"/>
            </w:tblGrid>
            <w:tr>
              <w:trPr/>
              <w:tc>
                <w:tcPr>
                  <w:tcW w:w="10256" w:type="dxa"/>
                  <w:tcBorders/>
                  <w:shd w:fill="auto" w:val="clear"/>
                  <w:vAlign w:val="center"/>
                </w:tcPr>
                <w:p>
                  <w:pPr>
                    <w:pStyle w:val="Normal"/>
                    <w:snapToGrid w:val="false"/>
                    <w:rPr>
                      <w:rStyle w:val="InternetLink"/>
                    </w:rPr>
                  </w:pPr>
                  <w:hyperlink r:id="rId7">
                    <w:r>
                      <w:rPr/>
                    </w:r>
                  </w:hyperlink>
                </w:p>
                <w:p>
                  <w:pPr>
                    <w:pStyle w:val="Normal"/>
                    <w:rPr>
                      <w:rStyle w:val="InternetLink"/>
                    </w:rPr>
                  </w:pPr>
                  <w:hyperlink r:id="rId8">
                    <w:r>
                      <w:rPr/>
                    </w:r>
                  </w:hyperlink>
                </w:p>
                <w:tbl>
                  <w:tblPr>
                    <w:tblW w:w="10120" w:type="dxa"/>
                    <w:jc w:val="start"/>
                    <w:tblInd w:w="8" w:type="dxa"/>
                    <w:tblBorders/>
                    <w:tblCellMar>
                      <w:top w:w="15" w:type="dxa"/>
                      <w:start w:w="15" w:type="dxa"/>
                      <w:bottom w:w="15" w:type="dxa"/>
                      <w:end w:w="15" w:type="dxa"/>
                    </w:tblCellMar>
                  </w:tblPr>
                  <w:tblGrid>
                    <w:gridCol w:w="10120"/>
                  </w:tblGrid>
                  <w:tr>
                    <w:trPr/>
                    <w:tc>
                      <w:tcPr>
                        <w:tcW w:w="10120" w:type="dxa"/>
                        <w:tcBorders/>
                        <w:shd w:fill="auto" w:val="clear"/>
                        <w:vAlign w:val="center"/>
                      </w:tcPr>
                      <w:p>
                        <w:pPr>
                          <w:pStyle w:val="Normal"/>
                          <w:rPr/>
                        </w:pPr>
                        <w:r>
                          <w:rPr/>
                          <w:drawing>
                            <wp:inline distT="0" distB="0" distL="0" distR="0">
                              <wp:extent cx="6350000" cy="4432300"/>
                              <wp:effectExtent l="0" t="0" r="0" b="0"/>
                              <wp:docPr id="5"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Img" descr="" title=""/>
                                      <pic:cNvPicPr>
                                        <a:picLocks noChangeAspect="1" noChangeArrowheads="1"/>
                                      </pic:cNvPicPr>
                                    </pic:nvPicPr>
                                    <pic:blipFill>
                                      <a:blip r:embed="rId9"/>
                                      <a:srcRect l="-5" t="-8" r="-5" b="-8"/>
                                      <a:stretch>
                                        <a:fillRect/>
                                      </a:stretch>
                                    </pic:blipFill>
                                    <pic:spPr bwMode="auto">
                                      <a:xfrm>
                                        <a:off x="0" y="0"/>
                                        <a:ext cx="6350000" cy="4432300"/>
                                      </a:xfrm>
                                      <a:prstGeom prst="rect">
                                        <a:avLst/>
                                      </a:prstGeom>
                                    </pic:spPr>
                                  </pic:pic>
                                </a:graphicData>
                              </a:graphic>
                            </wp:inline>
                          </w:drawing>
                        </w:r>
                      </w:p>
                    </w:tc>
                  </w:tr>
                </w:tbl>
                <w:p>
                  <w:pPr>
                    <w:pStyle w:val="Normal"/>
                    <w:rPr/>
                  </w:pPr>
                  <w:r>
                    <w:rPr/>
                    <w:drawing>
                      <wp:inline distT="0" distB="0" distL="0" distR="0">
                        <wp:extent cx="914400" cy="914400"/>
                        <wp:effectExtent l="0" t="0" r="0" b="0"/>
                        <wp:docPr id="6" name="imgSoldCvi_96x9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SoldCvi_96x96" descr="" title=""/>
                                <pic:cNvPicPr>
                                  <a:picLocks noChangeAspect="1" noChangeArrowheads="1"/>
                                </pic:cNvPicPr>
                              </pic:nvPicPr>
                              <pic:blipFill>
                                <a:blip r:embed="rId10"/>
                                <a:srcRect l="-29" t="-29" r="-29" b="-29"/>
                                <a:stretch>
                                  <a:fillRect/>
                                </a:stretch>
                              </pic:blipFill>
                              <pic:spPr bwMode="auto">
                                <a:xfrm>
                                  <a:off x="0" y="0"/>
                                  <a:ext cx="914400" cy="914400"/>
                                </a:xfrm>
                                <a:prstGeom prst="rect">
                                  <a:avLst/>
                                </a:prstGeom>
                              </pic:spPr>
                            </pic:pic>
                          </a:graphicData>
                        </a:graphic>
                      </wp:inline>
                    </w:drawing>
                  </w:r>
                </w:p>
              </w:tc>
            </w:tr>
          </w:tbl>
          <w:p>
            <w:pPr>
              <w:pStyle w:val="Normal"/>
              <w:rPr/>
            </w:pPr>
            <w:r>
              <w:rPr/>
            </w:r>
          </w:p>
        </w:tc>
        <w:tc>
          <w:tcPr>
            <w:tcW w:w="122" w:type="dxa"/>
            <w:tcBorders/>
            <w:shd w:fill="auto" w:val="clear"/>
            <w:vAlign w:val="center"/>
          </w:tcPr>
          <w:p>
            <w:pPr>
              <w:pStyle w:val="Normal"/>
              <w:snapToGrid w:val="false"/>
              <w:rPr>
                <w:sz w:val="20"/>
                <w:szCs w:val="20"/>
              </w:rPr>
            </w:pPr>
            <w:r>
              <w:rPr>
                <w:sz w:val="20"/>
                <w:szCs w:val="20"/>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271" w:type="dxa"/>
            <w:gridSpan w:val="2"/>
            <w:vMerge w:val="continue"/>
            <w:tcBorders/>
            <w:shd w:fill="auto" w:val="clear"/>
            <w:tcMar>
              <w:end w:w="69" w:type="dxa"/>
            </w:tcMar>
          </w:tcPr>
          <w:p>
            <w:pPr>
              <w:pStyle w:val="Normal"/>
              <w:snapToGrid w:val="false"/>
              <w:rPr>
                <w:sz w:val="20"/>
                <w:szCs w:val="20"/>
              </w:rPr>
            </w:pPr>
            <w:r>
              <w:rPr>
                <w:sz w:val="20"/>
                <w:szCs w:val="20"/>
              </w:rPr>
            </w:r>
          </w:p>
        </w:tc>
        <w:tc>
          <w:tcPr>
            <w:tcW w:w="122" w:type="dxa"/>
            <w:tcBorders/>
            <w:shd w:fill="auto" w:val="clear"/>
            <w:vAlign w:val="center"/>
          </w:tcPr>
          <w:p>
            <w:pPr>
              <w:pStyle w:val="Normal"/>
              <w:snapToGrid w:val="false"/>
              <w:rPr/>
            </w:pPr>
            <w:r>
              <w:rPr/>
            </w:r>
          </w:p>
        </w:tc>
        <w:tc>
          <w:tcPr>
            <w:tcW w:w="137" w:type="dxa"/>
            <w:tcBorders/>
            <w:shd w:fill="auto" w:val="clear"/>
            <w:vAlign w:val="center"/>
          </w:tcPr>
          <w:p>
            <w:pPr>
              <w:pStyle w:val="Normal"/>
              <w:snapToGrid w:val="false"/>
              <w:rPr>
                <w:sz w:val="20"/>
                <w:szCs w:val="20"/>
              </w:rPr>
            </w:pPr>
            <w:r>
              <w:rPr>
                <w:sz w:val="20"/>
                <w:szCs w:val="20"/>
              </w:rPr>
            </w:r>
          </w:p>
        </w:tc>
      </w:tr>
      <w:tr>
        <w:trPr/>
        <w:tc>
          <w:tcPr>
            <w:tcW w:w="10128" w:type="dxa"/>
            <w:tcBorders/>
            <w:shd w:fill="auto" w:val="clear"/>
            <w:vAlign w:val="center"/>
          </w:tcPr>
          <w:p>
            <w:pPr>
              <w:pStyle w:val="Normal"/>
              <w:rPr/>
            </w:pPr>
            <w:r>
              <w:rPr/>
              <w:t>Item condition:</w:t>
            </w:r>
          </w:p>
          <w:p>
            <w:pPr>
              <w:pStyle w:val="Normal"/>
              <w:rPr/>
            </w:pPr>
            <w:r>
              <w:rPr/>
              <w:t>Used</w:t>
            </w:r>
          </w:p>
        </w:tc>
        <w:tc>
          <w:tcPr>
            <w:tcW w:w="402" w:type="dxa"/>
            <w:gridSpan w:val="3"/>
            <w:tcBorders/>
            <w:shd w:fill="auto" w:val="clear"/>
            <w:tcMar>
              <w:top w:w="0" w:type="dxa"/>
              <w:start w:w="0" w:type="dxa"/>
              <w:bottom w:w="0" w:type="dxa"/>
              <w:end w:w="0" w:type="dxa"/>
            </w:tcMar>
          </w:tcPr>
          <w:p>
            <w:pPr>
              <w:pStyle w:val="Normal"/>
              <w:snapToGrid w:val="false"/>
              <w:rPr/>
            </w:pPr>
            <w:r>
              <w:rPr/>
            </w:r>
          </w:p>
        </w:tc>
      </w:tr>
      <w:tr>
        <w:trPr/>
        <w:tc>
          <w:tcPr>
            <w:tcW w:w="10128" w:type="dxa"/>
            <w:tcBorders/>
            <w:shd w:fill="auto" w:val="clear"/>
            <w:vAlign w:val="center"/>
          </w:tcPr>
          <w:p>
            <w:pPr>
              <w:pStyle w:val="Normal"/>
              <w:rPr/>
            </w:pPr>
            <w:r>
              <w:rPr/>
              <w:t>Ended:</w:t>
            </w:r>
          </w:p>
          <w:p>
            <w:pPr>
              <w:pStyle w:val="Normal"/>
              <w:rPr/>
            </w:pPr>
            <w:r>
              <w:rPr/>
              <w:t>Oct 20, 2015</w:t>
            </w:r>
            <w:r>
              <w:rPr>
                <w:rStyle w:val="Endeddate"/>
              </w:rPr>
              <w:t xml:space="preserve"> </w:t>
            </w:r>
            <w:r>
              <w:rPr>
                <w:rStyle w:val="Timems"/>
              </w:rPr>
              <w:t>, 8:30PM</w:t>
            </w:r>
            <w:r>
              <w:rPr>
                <w:rStyle w:val="Endeddate"/>
              </w:rPr>
              <w:t xml:space="preserve"> </w:t>
            </w:r>
          </w:p>
        </w:tc>
        <w:tc>
          <w:tcPr>
            <w:tcW w:w="402" w:type="dxa"/>
            <w:gridSpan w:val="3"/>
            <w:tcBorders/>
            <w:shd w:fill="auto" w:val="clear"/>
            <w:tcMar>
              <w:top w:w="0" w:type="dxa"/>
              <w:start w:w="0" w:type="dxa"/>
              <w:bottom w:w="0" w:type="dxa"/>
              <w:end w:w="0" w:type="dxa"/>
            </w:tcMar>
          </w:tcPr>
          <w:p>
            <w:pPr>
              <w:pStyle w:val="Normal"/>
              <w:snapToGrid w:val="false"/>
              <w:rPr/>
            </w:pPr>
            <w:r>
              <w:rPr/>
            </w:r>
          </w:p>
        </w:tc>
      </w:tr>
      <w:tr>
        <w:trPr/>
        <w:tc>
          <w:tcPr>
            <w:tcW w:w="10128" w:type="dxa"/>
            <w:tcBorders/>
            <w:shd w:fill="auto" w:val="clear"/>
            <w:vAlign w:val="center"/>
          </w:tcPr>
          <w:p>
            <w:pPr>
              <w:pStyle w:val="Normal"/>
              <w:rPr/>
            </w:pPr>
            <w:r>
              <w:rPr/>
              <w:t>Winning bid:</w:t>
            </w:r>
          </w:p>
          <w:p>
            <w:pPr>
              <w:pStyle w:val="Normal"/>
              <w:rPr/>
            </w:pPr>
            <w:r>
              <w:rPr>
                <w:rStyle w:val="Notranslatevivrcvipprice"/>
              </w:rPr>
              <w:t>US $107.72</w:t>
            </w:r>
            <w:r>
              <w:rPr/>
              <w:t xml:space="preserve"> </w:t>
            </w:r>
          </w:p>
          <w:p>
            <w:pPr>
              <w:pStyle w:val="Normal"/>
              <w:rPr/>
            </w:pPr>
            <w:r>
              <w:rPr/>
              <w:t>[ </w:t>
            </w:r>
            <w:hyperlink r:id="rId11">
              <w:r>
                <w:rPr>
                  <w:rStyle w:val="InternetLink"/>
                </w:rPr>
                <w:t>7 bids</w:t>
              </w:r>
            </w:hyperlink>
            <w:r>
              <w:rPr/>
              <w:t xml:space="preserve"> ] </w:t>
            </w:r>
          </w:p>
        </w:tc>
        <w:tc>
          <w:tcPr>
            <w:tcW w:w="402" w:type="dxa"/>
            <w:gridSpan w:val="3"/>
            <w:tcBorders/>
            <w:shd w:fill="auto" w:val="clear"/>
            <w:tcMar>
              <w:top w:w="0" w:type="dxa"/>
              <w:start w:w="0" w:type="dxa"/>
              <w:bottom w:w="0" w:type="dxa"/>
              <w:end w:w="0" w:type="dxa"/>
            </w:tcMar>
          </w:tcPr>
          <w:p>
            <w:pPr>
              <w:pStyle w:val="Normal"/>
              <w:snapToGrid w:val="false"/>
              <w:rPr/>
            </w:pPr>
            <w:r>
              <w:rPr/>
            </w:r>
          </w:p>
        </w:tc>
      </w:tr>
      <w:tr>
        <w:trPr/>
        <w:tc>
          <w:tcPr>
            <w:tcW w:w="10128" w:type="dxa"/>
            <w:tcBorders/>
            <w:shd w:fill="auto" w:val="clear"/>
            <w:vAlign w:val="center"/>
          </w:tcPr>
          <w:p>
            <w:pPr>
              <w:pStyle w:val="Normal"/>
              <w:rPr/>
            </w:pPr>
            <w:r>
              <w:rPr/>
              <w:t>Shipping:</w:t>
            </w:r>
          </w:p>
          <w:p>
            <w:pPr>
              <w:pStyle w:val="Normal"/>
              <w:rPr/>
            </w:pPr>
            <w:r>
              <w:rPr>
                <w:rStyle w:val="Notranslateshcst"/>
              </w:rPr>
              <w:t xml:space="preserve">$15.00 </w:t>
            </w:r>
            <w:r>
              <w:rPr/>
              <w:t xml:space="preserve">Expedited Shipping </w:t>
            </w:r>
          </w:p>
        </w:tc>
        <w:tc>
          <w:tcPr>
            <w:tcW w:w="402" w:type="dxa"/>
            <w:gridSpan w:val="3"/>
            <w:tcBorders/>
            <w:shd w:fill="auto" w:val="clear"/>
            <w:tcMar>
              <w:top w:w="0" w:type="dxa"/>
              <w:start w:w="0" w:type="dxa"/>
              <w:bottom w:w="0" w:type="dxa"/>
              <w:end w:w="0" w:type="dxa"/>
            </w:tcMar>
          </w:tcPr>
          <w:p>
            <w:pPr>
              <w:pStyle w:val="Normal"/>
              <w:snapToGrid w:val="false"/>
              <w:rPr/>
            </w:pPr>
            <w:r>
              <w:rPr/>
            </w:r>
          </w:p>
        </w:tc>
      </w:tr>
      <w:tr>
        <w:trPr/>
        <w:tc>
          <w:tcPr>
            <w:tcW w:w="10128" w:type="dxa"/>
            <w:tcBorders/>
            <w:shd w:fill="auto" w:val="clear"/>
            <w:vAlign w:val="center"/>
          </w:tcPr>
          <w:p>
            <w:pPr>
              <w:pStyle w:val="Normal"/>
              <w:spacing w:before="21" w:after="0"/>
              <w:rPr/>
            </w:pPr>
            <w:r>
              <w:rPr/>
              <w:t>Item location:</w:t>
            </w:r>
          </w:p>
          <w:p>
            <w:pPr>
              <w:pStyle w:val="Normal"/>
              <w:rPr/>
            </w:pPr>
            <w:r>
              <w:rPr/>
              <w:t>Rocklin, California, United States</w:t>
            </w:r>
          </w:p>
        </w:tc>
        <w:tc>
          <w:tcPr>
            <w:tcW w:w="402" w:type="dxa"/>
            <w:gridSpan w:val="3"/>
            <w:tcBorders/>
            <w:shd w:fill="auto" w:val="clear"/>
            <w:tcMar>
              <w:top w:w="0" w:type="dxa"/>
              <w:start w:w="0" w:type="dxa"/>
              <w:bottom w:w="0" w:type="dxa"/>
              <w:end w:w="0" w:type="dxa"/>
            </w:tcMar>
          </w:tcPr>
          <w:p>
            <w:pPr>
              <w:pStyle w:val="Normal"/>
              <w:snapToGrid w:val="false"/>
              <w:rPr/>
            </w:pPr>
            <w:r>
              <w:rPr/>
            </w:r>
          </w:p>
        </w:tc>
      </w:tr>
      <w:tr>
        <w:trPr/>
        <w:tc>
          <w:tcPr>
            <w:tcW w:w="10128" w:type="dxa"/>
            <w:tcBorders/>
            <w:shd w:fill="auto" w:val="clear"/>
            <w:vAlign w:val="center"/>
          </w:tcPr>
          <w:p>
            <w:pPr>
              <w:pStyle w:val="Normal"/>
              <w:rPr/>
            </w:pPr>
            <w:r>
              <w:rPr/>
              <w:t>Seller:</w:t>
            </w:r>
          </w:p>
          <w:p>
            <w:pPr>
              <w:pStyle w:val="Normal"/>
              <w:rPr/>
            </w:pPr>
            <w:hyperlink r:id="rId12">
              <w:r>
                <w:rPr>
                  <w:rStyle w:val="Mbgnw"/>
                  <w:color w:val="0000FF"/>
                  <w:u w:val="single"/>
                </w:rPr>
                <w:t>rnjtreasures</w:t>
              </w:r>
            </w:hyperlink>
            <w:r>
              <w:rPr/>
              <w:t xml:space="preserve"> </w:t>
            </w:r>
            <w:r>
              <w:rPr>
                <w:rStyle w:val="Mbgl"/>
              </w:rPr>
              <w:t>(</w:t>
            </w:r>
            <w:hyperlink r:id="rId13">
              <w:r>
                <w:rPr>
                  <w:rStyle w:val="InternetLink"/>
                </w:rPr>
                <w:t>3212</w:t>
              </w:r>
            </w:hyperlink>
            <w:r>
              <w:rPr>
                <w:rStyle w:val="Mbgl"/>
              </w:rPr>
              <w:t xml:space="preserve"> )</w:t>
            </w:r>
            <w:r>
              <w:rPr/>
              <w:t xml:space="preserve"> </w:t>
            </w:r>
            <w:r>
              <w:rPr>
                <w:color w:val="0000FF"/>
              </w:rPr>
              <w:drawing>
                <wp:inline distT="0" distB="0" distL="0" distR="0">
                  <wp:extent cx="219075" cy="76200"/>
                  <wp:effectExtent l="0" t="0" r="0" b="0"/>
                  <wp:docPr id="7" name="aboutme-smal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me-small" descr="" title=""/>
                          <pic:cNvPicPr>
                            <a:picLocks noChangeAspect="1" noChangeArrowheads="1"/>
                          </pic:cNvPicPr>
                        </pic:nvPicPr>
                        <pic:blipFill>
                          <a:blip r:embed="rId14"/>
                          <a:srcRect l="-220" t="-632" r="-220" b="-632"/>
                          <a:stretch>
                            <a:fillRect/>
                          </a:stretch>
                        </pic:blipFill>
                        <pic:spPr bwMode="auto">
                          <a:xfrm>
                            <a:off x="0" y="0"/>
                            <a:ext cx="219075" cy="76200"/>
                          </a:xfrm>
                          <a:prstGeom prst="rect">
                            <a:avLst/>
                          </a:prstGeom>
                        </pic:spPr>
                      </pic:pic>
                    </a:graphicData>
                  </a:graphic>
                </wp:inline>
              </w:drawing>
            </w:r>
          </w:p>
        </w:tc>
        <w:tc>
          <w:tcPr>
            <w:tcW w:w="402" w:type="dxa"/>
            <w:gridSpan w:val="3"/>
            <w:tcBorders/>
            <w:shd w:fill="auto" w:val="clear"/>
            <w:tcMar>
              <w:top w:w="0" w:type="dxa"/>
              <w:start w:w="0" w:type="dxa"/>
              <w:bottom w:w="0" w:type="dxa"/>
              <w:end w:w="0" w:type="dxa"/>
            </w:tcMar>
          </w:tcPr>
          <w:p>
            <w:pPr>
              <w:pStyle w:val="Normal"/>
              <w:snapToGrid w:val="false"/>
              <w:rPr/>
            </w:pPr>
            <w:r>
              <w:rPr/>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Viinllnkvicvipprel3">
    <w:name w:val="vi-inl-lnk vi-cvip-prel3"/>
    <w:basedOn w:val="DefaultParagraphFont"/>
    <w:qFormat/>
    <w:rPr/>
  </w:style>
  <w:style w:type="character" w:styleId="InternetLink">
    <w:name w:val="Internet Link"/>
    <w:basedOn w:val="DefaultParagraphFont"/>
    <w:rPr>
      <w:color w:val="0000FF"/>
      <w:u w:val="single"/>
    </w:rPr>
  </w:style>
  <w:style w:type="character" w:styleId="Endeddate">
    <w:name w:val="endeddate"/>
    <w:basedOn w:val="DefaultParagraphFont"/>
    <w:qFormat/>
    <w:rPr/>
  </w:style>
  <w:style w:type="character" w:styleId="Timems">
    <w:name w:val="timems"/>
    <w:basedOn w:val="DefaultParagraphFont"/>
    <w:qFormat/>
    <w:rPr/>
  </w:style>
  <w:style w:type="character" w:styleId="Notranslatevivrcvipprice">
    <w:name w:val="notranslate vi-vr-cvipprice"/>
    <w:basedOn w:val="DefaultParagraphFont"/>
    <w:qFormat/>
    <w:rPr/>
  </w:style>
  <w:style w:type="character" w:styleId="Notranslateshcst">
    <w:name w:val="notranslate sh-cst"/>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Mbglmbgcardealer">
    <w:name w:val="mbg-l mbg-cardealer"/>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Antique-Native-American-Indian-Apache-Burden-Basket-Circa-1900-20s-/252124017928?ssPageName=STRK%3AMEBIDX%3AIT&amp;_trksid=p2047675.l2557&amp;nma=true&amp;si=7sZbPHdxE%252Fz1rQIaYnKLbGzWSuE%253D&amp;orig_cvip=true&amp;rt=nc" TargetMode="External"/><Relationship Id="rId7" Type="http://schemas.openxmlformats.org/officeDocument/2006/relationships/hyperlink" Target="http://www.ebay.com/itm/Antique-Native-American-Indian-Apache-Burden-Basket-Circa-1900-20s-/252124017928?ssPageName=STRK%3AMEBIDX%3AIT&amp;_trksid=p2047675.l2557&amp;nma=true&amp;si=7sZbPHdxE%252Fz1rQIaYnKLbGzWSuE%253D&amp;orig_cvip=true&amp;rt=nc" TargetMode="External"/><Relationship Id="rId8" Type="http://schemas.openxmlformats.org/officeDocument/2006/relationships/hyperlink" Target="http://www.ebay.com/itm/Antique-Native-American-Indian-Apache-Burden-Basket-Circa-1900-20s-/252124017928?ssPageName=STRK%3AMEBIDX%3AIT&amp;_trksid=p2047675.l2557&amp;nma=true&amp;si=7sZbPHdxE%252Fz1rQIaYnKLbGzWSuE%253D&amp;orig_cvip=true&amp;rt=nc" TargetMode="External"/><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hyperlink" Target="http://offer.ebay.com/ws/eBayISAPI.dll?ViewBids&amp;item=252124017928&amp;rt=nc&amp;_trksid=p2047675.l2565" TargetMode="External"/><Relationship Id="rId12" Type="http://schemas.openxmlformats.org/officeDocument/2006/relationships/hyperlink" Target="http://www.ebay.com/usr/rnjtreasures?_trksid=p2047675.l2559" TargetMode="External"/><Relationship Id="rId13" Type="http://schemas.openxmlformats.org/officeDocument/2006/relationships/hyperlink" Target="http://feedback.ebay.com/ws/eBayISAPI.dll?ViewFeedback&amp;userid=rnjtreasures&amp;iid=252124017928&amp;ssPageName=VIP:feedback&amp;ftab=FeedbackAsSeller&amp;rt=nc&amp;_trksid=p2047675.l2560" TargetMode="External"/><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2015-10-23T06:15:00Z</dcterms:created>
  <dc:creator>owner</dc:creator>
  <dc:description/>
  <dc:language>en-US</dc:language>
  <cp:lastModifiedBy>owner</cp:lastModifiedBy>
  <dcterms:modified xsi:type="dcterms:W3CDTF">2015-10-23T07:18:00Z</dcterms:modified>
  <cp:revision>4</cp:revision>
  <dc:subject/>
  <dc:title>DIS-Basket-Apache-Burden</dc:title>
</cp:coreProperties>
</file>